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October 31, 2025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 No. 001-42856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108585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Amendment No. 1 to</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0"/>
        <w:spacing w:after="0" w:line="246" w:lineRule="auto"/>
        <w:rPr>
          <w:sz w:val="20"/>
          <w:szCs w:val="20"/>
          <w:color w:val="auto"/>
        </w:rPr>
      </w:pPr>
      <w:r>
        <w:rPr>
          <w:rFonts w:ascii="Times New Roman" w:cs="Times New Roman" w:eastAsia="Times New Roman" w:hAnsi="Times New Roman"/>
          <w:sz w:val="22"/>
          <w:szCs w:val="22"/>
          <w:b w:val="1"/>
          <w:bCs w:val="1"/>
          <w:color w:val="auto"/>
        </w:rPr>
        <w:t>GENERAL FORM FOR REGISTRATION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220345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Versant Media Group, Inc.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230505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tbl>
      <w:tblPr>
        <w:tblLayout w:type="fixed"/>
        <w:tblInd w:w="1640" w:type="dxa"/>
        <w:tblCellMar>
          <w:top w:w="0" w:type="dxa"/>
          <w:left w:w="0" w:type="dxa"/>
          <w:bottom w:w="0" w:type="dxa"/>
          <w:right w:w="0" w:type="dxa"/>
        </w:tblCellMar>
      </w:tblPr>
      <w:tr>
        <w:trPr>
          <w:trHeight w:val="216"/>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040" w:type="dxa"/>
            <w:vAlign w:val="bottom"/>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39-2087186</w:t>
            </w:r>
          </w:p>
        </w:tc>
      </w:tr>
      <w:tr>
        <w:trPr>
          <w:trHeight w:val="148"/>
        </w:trPr>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5040" w:type="dxa"/>
            <w:vAlign w:val="bottom"/>
          </w:tcPr>
          <w:p>
            <w:pPr>
              <w:jc w:val="center"/>
              <w:ind w:left="3635"/>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5040" w:type="dxa"/>
            <w:vAlign w:val="bottom"/>
          </w:tcPr>
          <w:p>
            <w:pPr>
              <w:jc w:val="center"/>
              <w:ind w:left="3635"/>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420"/>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904 Sylvan Avenue</w:t>
            </w:r>
          </w:p>
        </w:tc>
        <w:tc>
          <w:tcPr>
            <w:tcW w:w="5040" w:type="dxa"/>
            <w:vAlign w:val="bottom"/>
          </w:tcPr>
          <w:p>
            <w:pPr>
              <w:spacing w:after="0"/>
              <w:rPr>
                <w:sz w:val="24"/>
                <w:szCs w:val="24"/>
                <w:color w:val="auto"/>
              </w:rPr>
            </w:pPr>
          </w:p>
        </w:tc>
      </w:tr>
      <w:tr>
        <w:trPr>
          <w:trHeight w:val="229"/>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Englewood Cliffs, New Jersey</w:t>
            </w:r>
          </w:p>
        </w:tc>
        <w:tc>
          <w:tcPr>
            <w:tcW w:w="5040" w:type="dxa"/>
            <w:vAlign w:val="bottom"/>
          </w:tcPr>
          <w:p>
            <w:pPr>
              <w:jc w:val="right"/>
              <w:ind w:right="355"/>
              <w:spacing w:after="0"/>
              <w:rPr>
                <w:sz w:val="20"/>
                <w:szCs w:val="20"/>
                <w:color w:val="auto"/>
              </w:rPr>
            </w:pPr>
            <w:r>
              <w:rPr>
                <w:rFonts w:ascii="Times New Roman" w:cs="Times New Roman" w:eastAsia="Times New Roman" w:hAnsi="Times New Roman"/>
                <w:sz w:val="18"/>
                <w:szCs w:val="18"/>
                <w:b w:val="1"/>
                <w:bCs w:val="1"/>
                <w:color w:val="auto"/>
              </w:rPr>
              <w:t>07632</w:t>
            </w:r>
          </w:p>
        </w:tc>
      </w:tr>
      <w:tr>
        <w:trPr>
          <w:trHeight w:val="188"/>
        </w:trPr>
        <w:tc>
          <w:tcPr>
            <w:tcW w:w="2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(Address of Principal Executive Office)</w:t>
            </w:r>
          </w:p>
        </w:tc>
        <w:tc>
          <w:tcPr>
            <w:tcW w:w="5040" w:type="dxa"/>
            <w:vAlign w:val="bottom"/>
          </w:tcPr>
          <w:p>
            <w:pPr>
              <w:jc w:val="center"/>
              <w:ind w:left="3635"/>
              <w:spacing w:after="0"/>
              <w:rPr>
                <w:sz w:val="20"/>
                <w:szCs w:val="20"/>
                <w:color w:val="auto"/>
              </w:rPr>
            </w:pPr>
            <w:r>
              <w:rPr>
                <w:rFonts w:ascii="Times New Roman" w:cs="Times New Roman" w:eastAsia="Times New Roman" w:hAnsi="Times New Roman"/>
                <w:sz w:val="14"/>
                <w:szCs w:val="14"/>
                <w:color w:val="auto"/>
              </w:rPr>
              <w:t>(Zip Code)</w:t>
            </w:r>
          </w:p>
        </w:tc>
      </w:tr>
      <w:tr>
        <w:trPr>
          <w:trHeight w:val="392"/>
        </w:trPr>
        <w:tc>
          <w:tcPr>
            <w:tcW w:w="2320" w:type="dxa"/>
            <w:vAlign w:val="bottom"/>
          </w:tcPr>
          <w:p>
            <w:pPr>
              <w:spacing w:after="0"/>
              <w:rPr>
                <w:sz w:val="24"/>
                <w:szCs w:val="24"/>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(201) 735-2622</w:t>
            </w:r>
          </w:p>
        </w:tc>
      </w:tr>
      <w:tr>
        <w:trPr>
          <w:trHeight w:val="188"/>
        </w:trPr>
        <w:tc>
          <w:tcPr>
            <w:tcW w:w="2320" w:type="dxa"/>
            <w:vAlign w:val="bottom"/>
          </w:tcPr>
          <w:p>
            <w:pPr>
              <w:spacing w:after="0"/>
              <w:rPr>
                <w:sz w:val="16"/>
                <w:szCs w:val="16"/>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93"/>
        </w:trPr>
        <w:tc>
          <w:tcPr>
            <w:tcW w:w="2320" w:type="dxa"/>
            <w:vAlign w:val="bottom"/>
          </w:tcPr>
          <w:p>
            <w:pPr>
              <w:spacing w:after="0"/>
              <w:rPr>
                <w:sz w:val="24"/>
                <w:szCs w:val="24"/>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color w:val="auto"/>
              </w:rPr>
              <w:t>Copies to:</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rPr>
              <w:t>John B. Meade</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Stephen A. Byeff</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rPr>
              <w:t>Meaghan Kennedy</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75"/>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r>
      <w:tr>
        <w:trPr>
          <w:trHeight w:val="216"/>
        </w:trPr>
        <w:tc>
          <w:tcPr>
            <w:tcW w:w="2320" w:type="dxa"/>
            <w:vAlign w:val="bottom"/>
          </w:tcPr>
          <w:p>
            <w:pPr>
              <w:spacing w:after="0"/>
              <w:rPr>
                <w:sz w:val="18"/>
                <w:szCs w:val="18"/>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r>
      <w:tr>
        <w:trPr>
          <w:trHeight w:val="238"/>
        </w:trPr>
        <w:tc>
          <w:tcPr>
            <w:tcW w:w="2320" w:type="dxa"/>
            <w:vAlign w:val="bottom"/>
          </w:tcPr>
          <w:p>
            <w:pPr>
              <w:spacing w:after="0"/>
              <w:rPr>
                <w:sz w:val="20"/>
                <w:szCs w:val="20"/>
                <w:color w:val="auto"/>
              </w:rPr>
            </w:pPr>
          </w:p>
        </w:tc>
        <w:tc>
          <w:tcPr>
            <w:tcW w:w="5040" w:type="dxa"/>
            <w:vAlign w:val="bottom"/>
          </w:tcPr>
          <w:p>
            <w:pPr>
              <w:jc w:val="center"/>
              <w:ind w:right="1855"/>
              <w:spacing w:after="0"/>
              <w:rPr>
                <w:sz w:val="20"/>
                <w:szCs w:val="20"/>
                <w:color w:val="auto"/>
              </w:rPr>
            </w:pPr>
            <w:r>
              <w:rPr>
                <w:rFonts w:ascii="Times New Roman" w:cs="Times New Roman" w:eastAsia="Times New Roman" w:hAnsi="Times New Roman"/>
                <w:sz w:val="18"/>
                <w:szCs w:val="18"/>
                <w:b w:val="1"/>
                <w:bCs w:val="1"/>
                <w:color w:val="auto"/>
                <w:w w:val="97"/>
              </w:rPr>
              <w:t>New York, New York 10017</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or to be registered pursuant to Section 12(b) of the Act:</w:t>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187"/>
        </w:trPr>
        <w:tc>
          <w:tcPr>
            <w:tcW w:w="5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 to be so registered</w:t>
            </w:r>
          </w:p>
        </w:tc>
        <w:tc>
          <w:tcPr>
            <w:tcW w:w="5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each class is to be registered</w:t>
            </w:r>
          </w:p>
        </w:tc>
      </w:tr>
      <w:tr>
        <w:trPr>
          <w:trHeight w:val="228"/>
        </w:trPr>
        <w:tc>
          <w:tcPr>
            <w:tcW w:w="5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 per share</w:t>
            </w:r>
          </w:p>
        </w:tc>
        <w:tc>
          <w:tcPr>
            <w:tcW w:w="100" w:type="dxa"/>
            <w:vAlign w:val="bottom"/>
          </w:tcPr>
          <w:p>
            <w:pPr>
              <w:spacing w:after="0"/>
              <w:rPr>
                <w:sz w:val="19"/>
                <w:szCs w:val="19"/>
                <w:color w:val="auto"/>
              </w:rPr>
            </w:pPr>
          </w:p>
        </w:tc>
        <w:tc>
          <w:tcPr>
            <w:tcW w:w="5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4"/>
          <w:szCs w:val="24"/>
          <w:color w:val="auto"/>
        </w:rPr>
      </w:pPr>
    </w:p>
    <w:tbl>
      <w:tblPr>
        <w:tblLayout w:type="fixed"/>
        <w:tblInd w:w="0" w:type="dxa"/>
        <w:tblCellMar>
          <w:top w:w="0" w:type="dxa"/>
          <w:left w:w="0" w:type="dxa"/>
          <w:bottom w:w="0" w:type="dxa"/>
          <w:right w:w="0" w:type="dxa"/>
        </w:tblCellMar>
      </w:tblPr>
      <w:tr>
        <w:trPr>
          <w:trHeight w:val="30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6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100" w:type="dxa"/>
            <w:vAlign w:val="bottom"/>
          </w:tcPr>
          <w:p>
            <w:pPr>
              <w:ind w:left="27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0"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225" w:right="4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Media Group, Inc.</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REGISTRATION STATEMENT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CROSS-REFERENCE SHEET BETWEEN INFORMATION STATEMENT AND ITEMS OF FORM 10</w:t>
      </w:r>
    </w:p>
    <w:p>
      <w:pPr>
        <w:spacing w:after="0" w:line="229"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Certain information required to be included herein is incorporated by reference to specifically identified portions of the body of the information statement filed herewith as Exhibit 99.1 (the “information statement”). None of the information contained in the information statement shall be incorporated by reference herein or deemed to be a part hereof unless such information is specifically incorporated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21"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“Special Note Regarding Forward-Looking Statements,” “The Separation,” “Capitalization,” “Unaudited Pro Forma Combined Financial Statements,” “Management’s Discussion and Analysis of Financial Condition and Results of Operations,” “Business,” “Management,” “Compensation Discussion and Analysis,” “Certain Relationships and Related Party Transactions,” “Where You Can Find More Information” and “Index to Combined Financial Statements” (and the statements referenced therein) of the information statement. Those sections are incorporated herein by reference.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“Risk Factors” and “Special Note Regarding Forward-Looking Statements” of the information statement. Those sections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Financial Information.</w:t>
      </w:r>
    </w:p>
    <w:p>
      <w:pPr>
        <w:spacing w:after="0" w:line="121"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“Summary,” “Risk Factors,” “Capitalization,” “Unaudited Pro Forma Combined Financial Statements,” “Management’s Discussion and Analysis of Financial Condition and Results of Operations” and “Index to Combined Financial Statements” (and the statements referenced therein)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Properties.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“Business—Properties”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Security Ownership of Certain Beneficial Owners and Management.</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“Ownership of Common Stock by Certain Beneficial Owners and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Directors and Executive Officers.</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“Management”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Executive Compensation.</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“Compensation Discussion and Analysis” and “Management” of the information statement. Those sections are incorporated herein by reference.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Certain Relationships and Related Transactions, and Director Independence.</w:t>
      </w:r>
    </w:p>
    <w:p>
      <w:pPr>
        <w:spacing w:after="0" w:line="121"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“The Separation—Agreements with Comcast,” “Certain Relationships and Related Party Transactions,” “Management,” “Compensation Discussion and Analysis” and “Ownership of Common Stock by Certain Beneficial Owners and Management” of the information statement. Those sections are incorporated herein by reference.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Legal Proceedings.</w:t>
      </w:r>
    </w:p>
    <w:p>
      <w:pPr>
        <w:spacing w:after="0" w:line="121"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“Business—Legal Proceedings”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Market Price of and Dividends on the Registrant’s Common Equity and Related Stockholder Matters.</w:t>
      </w:r>
    </w:p>
    <w:p>
      <w:pPr>
        <w:spacing w:after="0" w:line="121" w:lineRule="exact"/>
        <w:rPr>
          <w:sz w:val="20"/>
          <w:szCs w:val="20"/>
          <w:color w:val="auto"/>
        </w:rPr>
      </w:pPr>
    </w:p>
    <w:p>
      <w:pPr>
        <w:ind w:right="76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by this item is contained in the sections “Summary,” “Risk Factors,” “The Separation,” “Dividend Policy,” “Capitalization” and “Description of Capital Stock” of the information statement. Those sections are incorporated herein by reference.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Recent Sales of Unregistered Securities.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Stock—Distributions of Securities”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Description of Registrant’s Securities to Be Registered.</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Indemnification of Directors and Officers.</w:t>
      </w:r>
    </w:p>
    <w:p>
      <w:pPr>
        <w:spacing w:after="0" w:line="121"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“Description of Capital Stock”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Financial Statements and Supplementary Data.</w:t>
      </w:r>
    </w:p>
    <w:p>
      <w:pPr>
        <w:spacing w:after="0" w:line="121"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 “Index to Combined Financial Statements” (and the statements referenced therein) of the information statement. That section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Changes in and Disagreements with Accountants on Accounting and Financial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Financial Statements and Exhibits.</w:t>
      </w:r>
    </w:p>
    <w:p>
      <w:pPr>
        <w:spacing w:after="0" w:line="131" w:lineRule="exact"/>
        <w:rPr>
          <w:sz w:val="20"/>
          <w:szCs w:val="20"/>
          <w:color w:val="auto"/>
        </w:rPr>
      </w:pPr>
    </w:p>
    <w:p>
      <w:pPr>
        <w:ind w:left="960" w:hanging="532"/>
        <w:spacing w:after="0"/>
        <w:tabs>
          <w:tab w:leader="none" w:pos="960" w:val="left"/>
        </w:tabs>
        <w:numPr>
          <w:ilvl w:val="0"/>
          <w:numId w:val="1"/>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Financial Statements</w:t>
      </w:r>
    </w:p>
    <w:p>
      <w:pPr>
        <w:spacing w:after="0" w:line="121"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contained in the sections “Index to Combined Financial Statements” (and the statements referenced therein) of the information statement. That section is incorporated herein by reference.</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40"/>
          </w:cols>
          <w:pgMar w:left="440" w:top="266" w:right="719" w:bottom="1440" w:gutter="0" w:footer="0" w:header="0"/>
        </w:sectPr>
      </w:pPr>
    </w:p>
    <w:bookmarkStart w:id="3" w:name="page4"/>
    <w:bookmarkEnd w:id="3"/>
    <w:p>
      <w:pPr>
        <w:ind w:left="964" w:hanging="532"/>
        <w:spacing w:after="0"/>
        <w:tabs>
          <w:tab w:leader="none" w:pos="964" w:val="left"/>
        </w:tabs>
        <w:numPr>
          <w:ilvl w:val="0"/>
          <w:numId w:val="2"/>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Exhibits</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documents are filed as exhibits hereto:</w:t>
      </w:r>
    </w:p>
    <w:p>
      <w:pPr>
        <w:spacing w:after="0" w:line="233"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2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560" w:type="dxa"/>
            <w:vAlign w:val="bottom"/>
            <w:gridSpan w:val="14"/>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6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4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5560" w:type="dxa"/>
            <w:vAlign w:val="bottom"/>
            <w:tcBorders>
              <w:bottom w:val="single" w:sz="8" w:color="auto"/>
            </w:tcBorders>
            <w:gridSpan w:val="14"/>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2.1†+**</w:t>
            </w:r>
          </w:p>
        </w:tc>
        <w:tc>
          <w:tcPr>
            <w:tcW w:w="704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20">
              <w:r>
                <w:rPr>
                  <w:rFonts w:ascii="Times New Roman" w:cs="Times New Roman" w:eastAsia="Times New Roman" w:hAnsi="Times New Roman"/>
                  <w:sz w:val="18"/>
                  <w:szCs w:val="18"/>
                  <w:color w:val="0000EE"/>
                  <w:w w:val="99"/>
                </w:rPr>
                <w:t>Form of Separation and Distribution Agreement between Comcast and Versant Media Group, Inc.</w:t>
              </w:r>
            </w:hyperlink>
          </w:p>
        </w:tc>
        <w:tc>
          <w:tcPr>
            <w:tcW w:w="27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3.1**</w:t>
            </w:r>
          </w:p>
        </w:tc>
        <w:tc>
          <w:tcPr>
            <w:tcW w:w="628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9"/>
              </w:rPr>
            </w:pPr>
            <w:hyperlink r:id="rId21">
              <w:r>
                <w:rPr>
                  <w:rFonts w:ascii="Times New Roman" w:cs="Times New Roman" w:eastAsia="Times New Roman" w:hAnsi="Times New Roman"/>
                  <w:sz w:val="18"/>
                  <w:szCs w:val="18"/>
                  <w:color w:val="0000EE"/>
                  <w:w w:val="99"/>
                </w:rPr>
                <w:t>Form of Amended and Restated Articles of Incorporation of Versant Media Group, Inc.</w:t>
              </w:r>
            </w:hyperlink>
          </w:p>
        </w:tc>
        <w:tc>
          <w:tcPr>
            <w:tcW w:w="35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3.2**</w:t>
            </w:r>
          </w:p>
        </w:tc>
        <w:tc>
          <w:tcPr>
            <w:tcW w:w="9800" w:type="dxa"/>
            <w:vAlign w:val="bottom"/>
            <w:gridSpan w:val="19"/>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Form of Amended and Restated Bylaws of Versant Media Group, Inc.</w:t>
              </w:r>
            </w:hyperlink>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w:t>
            </w:r>
          </w:p>
        </w:tc>
        <w:tc>
          <w:tcPr>
            <w:tcW w:w="64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Form of Transition Services Agreement between Comcast and Versant Media Group, Inc.</w:t>
              </w:r>
            </w:hyperlink>
          </w:p>
        </w:tc>
        <w:tc>
          <w:tcPr>
            <w:tcW w:w="336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10.2†+**</w:t>
            </w:r>
          </w:p>
        </w:tc>
        <w:tc>
          <w:tcPr>
            <w:tcW w:w="9800" w:type="dxa"/>
            <w:vAlign w:val="bottom"/>
            <w:gridSpan w:val="19"/>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Form of Tax Matters Agreement between Comcast and Versant Media Group, Inc.</w:t>
              </w:r>
            </w:hyperlink>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Employee Matters Agreement between Comcast and Versant Media Group, Inc.</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9800" w:type="dxa"/>
            <w:vAlign w:val="bottom"/>
            <w:gridSpan w:val="19"/>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of Versant Media Group, Inc. Omnibus Equity Incentive Plan</w:t>
              </w:r>
            </w:hyperlink>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540" w:type="dxa"/>
            <w:vAlign w:val="bottom"/>
          </w:tcPr>
          <w:p>
            <w:pPr>
              <w:spacing w:after="0"/>
              <w:rPr>
                <w:sz w:val="24"/>
                <w:szCs w:val="24"/>
                <w:color w:val="auto"/>
              </w:rPr>
            </w:pPr>
          </w:p>
        </w:tc>
        <w:tc>
          <w:tcPr>
            <w:tcW w:w="484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Indemnification Agreement for Non-Employee Directors</w:t>
              </w:r>
            </w:hyperlink>
          </w:p>
        </w:tc>
        <w:tc>
          <w:tcPr>
            <w:tcW w:w="4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540" w:type="dxa"/>
            <w:vAlign w:val="bottom"/>
          </w:tcPr>
          <w:p>
            <w:pPr>
              <w:spacing w:after="0"/>
              <w:rPr>
                <w:sz w:val="24"/>
                <w:szCs w:val="24"/>
                <w:color w:val="auto"/>
              </w:rPr>
            </w:pPr>
          </w:p>
        </w:tc>
        <w:tc>
          <w:tcPr>
            <w:tcW w:w="378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Executive Employment Agreement of Mark Lazarus</w:t>
            </w:r>
          </w:p>
        </w:tc>
        <w:tc>
          <w:tcPr>
            <w:tcW w:w="940" w:type="dxa"/>
            <w:vAlign w:val="bottom"/>
            <w:tcBorders>
              <w:top w:val="single" w:sz="8" w:color="0000EE"/>
            </w:tcBorders>
            <w:gridSpan w:val="3"/>
          </w:tcPr>
          <w:p>
            <w:pPr>
              <w:spacing w:after="0"/>
              <w:rPr>
                <w:sz w:val="24"/>
                <w:szCs w:val="24"/>
                <w:color w:val="auto"/>
              </w:rPr>
            </w:pPr>
          </w:p>
        </w:tc>
        <w:tc>
          <w:tcPr>
            <w:tcW w:w="5080" w:type="dxa"/>
            <w:vAlign w:val="bottom"/>
            <w:gridSpan w:val="13"/>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Executive Employment Agreement of Anand M. Kini</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Executive Employment Agreement of Jordan R. Fasbender</w:t>
            </w:r>
          </w:p>
        </w:tc>
        <w:tc>
          <w:tcPr>
            <w:tcW w:w="0" w:type="dxa"/>
            <w:vAlign w:val="bottom"/>
          </w:tcPr>
          <w:p>
            <w:pPr>
              <w:spacing w:after="0"/>
              <w:rPr>
                <w:sz w:val="1"/>
                <w:szCs w:val="1"/>
                <w:color w:val="auto"/>
              </w:rPr>
            </w:pPr>
          </w:p>
        </w:tc>
      </w:tr>
      <w:tr>
        <w:trPr>
          <w:trHeight w:val="20"/>
        </w:trPr>
        <w:tc>
          <w:tcPr>
            <w:tcW w:w="1220" w:type="dxa"/>
            <w:vAlign w:val="bottom"/>
            <w:gridSpan w:val="2"/>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1340" w:type="dxa"/>
            <w:vAlign w:val="bottom"/>
            <w:gridSpan w:val="3"/>
            <w:shd w:val="clear" w:color="auto" w:fill="0000EE"/>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38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10.9+†</w:t>
            </w: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Credit and Guaranty Agreement, dated as of October 3, 2025, among Versant Media Group, Inc., as borrower, certain subsidiary</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2400" w:type="dxa"/>
            <w:vAlign w:val="bottom"/>
            <w:gridSpan w:val="7"/>
            <w:shd w:val="clear" w:color="auto" w:fill="0000EE"/>
          </w:tcPr>
          <w:p>
            <w:pPr>
              <w:spacing w:after="0" w:line="20" w:lineRule="exact"/>
              <w:rPr>
                <w:sz w:val="1"/>
                <w:szCs w:val="1"/>
                <w:color w:val="auto"/>
              </w:rPr>
            </w:pPr>
          </w:p>
        </w:tc>
        <w:tc>
          <w:tcPr>
            <w:tcW w:w="38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guarantors party thereto from time to time, the financial institutions party thereto, as lenders and issuing banks, and J.P. Morgan Chase</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300" w:type="dxa"/>
            <w:vAlign w:val="bottom"/>
            <w:tcBorders>
              <w:top w:val="single" w:sz="8" w:color="0000EE"/>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Bank, N.A., as administrative agent, collateral agent and swingline lender</w:t>
            </w:r>
          </w:p>
        </w:tc>
        <w:tc>
          <w:tcPr>
            <w:tcW w:w="4360" w:type="dxa"/>
            <w:vAlign w:val="bottom"/>
            <w:tcBorders>
              <w:top w:val="single" w:sz="8" w:color="0000EE"/>
            </w:tcBorders>
            <w:gridSpan w:val="9"/>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10.10+†</w:t>
            </w:r>
          </w:p>
        </w:tc>
        <w:tc>
          <w:tcPr>
            <w:tcW w:w="95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Form of Credit and Guaranty Agreement among Versant Media Group, Inc., as borrower, certain subsidiary guarantors party thereto</w:t>
            </w:r>
          </w:p>
        </w:tc>
        <w:tc>
          <w:tcPr>
            <w:tcW w:w="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from time to time, the financial institutions party thereto, as lenders and issuing banks, and Morgan Stanley Senior Funding, Inc., as</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administrative agent and collateral agent</w:t>
            </w:r>
          </w:p>
        </w:tc>
        <w:tc>
          <w:tcPr>
            <w:tcW w:w="3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6240" w:type="dxa"/>
            <w:vAlign w:val="bottom"/>
            <w:gridSpan w:val="12"/>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Indenture, dated as of October 29, 2025, between Versant Media Group, Inc., as issuer, and Citibank, N.A., as trustee and notes</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1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7"/>
              </w:rPr>
              <w:t>collateral agent</w:t>
            </w:r>
          </w:p>
        </w:tc>
        <w:tc>
          <w:tcPr>
            <w:tcW w:w="8040" w:type="dxa"/>
            <w:vAlign w:val="bottom"/>
            <w:tcBorders>
              <w:top w:val="single" w:sz="8" w:color="0000EE"/>
            </w:tcBorders>
            <w:gridSpan w:val="13"/>
          </w:tcPr>
          <w:p>
            <w:pPr>
              <w:spacing w:after="0"/>
              <w:rPr>
                <w:sz w:val="17"/>
                <w:szCs w:val="17"/>
                <w:color w:val="auto"/>
              </w:rPr>
            </w:pPr>
          </w:p>
        </w:tc>
        <w:tc>
          <w:tcPr>
            <w:tcW w:w="6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21.1*</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Subsidiaries of the Registrant</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Preliminary Information Statement dated October 31, 2025</w:t>
            </w: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40" w:type="dxa"/>
            <w:vAlign w:val="bottom"/>
            <w:gridSpan w:val="5"/>
            <w:shd w:val="clear" w:color="auto" w:fill="0000EE"/>
          </w:tcPr>
          <w:p>
            <w:pPr>
              <w:spacing w:after="0" w:line="20" w:lineRule="exact"/>
              <w:rPr>
                <w:sz w:val="1"/>
                <w:szCs w:val="1"/>
                <w:color w:val="auto"/>
              </w:rPr>
            </w:pPr>
          </w:p>
        </w:tc>
        <w:tc>
          <w:tcPr>
            <w:tcW w:w="556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99.2*</w:t>
            </w:r>
          </w:p>
        </w:tc>
        <w:tc>
          <w:tcPr>
            <w:tcW w:w="540" w:type="dxa"/>
            <w:vAlign w:val="bottom"/>
          </w:tcPr>
          <w:p>
            <w:pPr>
              <w:spacing w:after="0"/>
              <w:rPr>
                <w:sz w:val="24"/>
                <w:szCs w:val="24"/>
                <w:color w:val="auto"/>
              </w:rPr>
            </w:pPr>
          </w:p>
        </w:tc>
        <w:tc>
          <w:tcPr>
            <w:tcW w:w="980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Form of Notice of Internet Availability of Information Statement Materials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4" w:right="8660" w:hanging="4"/>
        <w:spacing w:after="0" w:line="261" w:lineRule="auto"/>
        <w:tabs>
          <w:tab w:leader="none" w:pos="4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filed by amendment. ** Previously filed.</w:t>
      </w:r>
    </w:p>
    <w:p>
      <w:pPr>
        <w:ind w:left="424" w:right="60" w:hanging="432"/>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and exhibits to this agreement have been omitted pursuant to Item 601(a)(5) of Regulation S-K. A copy of any omitted schedule and/or exhibit will be furnished supplementally to the SEC upon request.</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Certain personally identifiable information has been omitted from this exhibit pursuant to Item 601(a)(6) of Regulation S-K.</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66" w:right="439" w:bottom="1440" w:gutter="0" w:footer="0" w:header="0"/>
        </w:sectPr>
      </w:pPr>
    </w:p>
    <w:bookmarkStart w:id="4" w:name="page5"/>
    <w:bookmarkEnd w:id="4"/>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C. Murdock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Daniel C. Murdock</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31, 2025</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66" w:right="55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is hereby entered into as of the latest written date on the signature page hereto by and between Versant Media, LLC, a Pennsylvania limited liability company, (together with its parents, subsidiaries and affiliates, the “Company” or “Versant”) and Mark Lazarus (“you” or “your,” as applicable).</w:t>
      </w:r>
    </w:p>
    <w:p>
      <w:pPr>
        <w:spacing w:after="0" w:line="280" w:lineRule="exact"/>
        <w:rPr>
          <w:sz w:val="20"/>
          <w:szCs w:val="20"/>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89"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this Agreement, and each party’s rights and obligations hereunder, will commence upon the completion of the spin-off distribution of Versant’s business into a separate, publicly traded company called Versant Media Group, Inc. (the “Separation”), and the date of such separation (the “Separation Effective Date”), and will continue, subject to suspension, extension, termination, or expiration as hereinafter provided, for a period of four</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consecutive years thereafter (“Term”).</w:t>
      </w:r>
    </w:p>
    <w:p>
      <w:pPr>
        <w:spacing w:after="0" w:line="206" w:lineRule="exact"/>
        <w:rPr>
          <w:rFonts w:ascii="Times New Roman" w:cs="Times New Roman" w:eastAsia="Times New Roman" w:hAnsi="Times New Roman"/>
          <w:sz w:val="17"/>
          <w:szCs w:val="17"/>
          <w:color w:val="auto"/>
        </w:rPr>
      </w:pPr>
    </w:p>
    <w:p>
      <w:pPr>
        <w:ind w:left="4" w:right="40" w:firstLine="436"/>
        <w:spacing w:after="0" w:line="254" w:lineRule="auto"/>
        <w:tabs>
          <w:tab w:leader="none" w:pos="69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automatically terminate at the end of the Term without notice, unless the parties agree otherwise in writing. You agree that the Company has no obligation to extend the Term or to continue your employment after expiration of the Term, and you expressly acknowledge that no promises or understandings to the contrary have been made or reached. You also agree that, should the Company choose to continue your employment for any period of time following the expiration of the Term, absent a written agreement to the contrary signed by both parties, your employment with the Company will be “at will,” which means that, during any time following the expiration of the Term, the Company may terminate your employment, with or without reason and with or without notice, and you may resign at any time, with or without reason and with or without notice. In the event that your employment continues at will, it is understood and agreed that paragraphs 5(f)-(h), 6, and 10-14 of this Agreement will remain in effect in accordance with their terms.</w:t>
      </w:r>
    </w:p>
    <w:p>
      <w:pPr>
        <w:spacing w:after="0" w:line="191"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8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commencement of the Term, this Agreement will supersede the agreement, dated July 14, 2023 (as of July 1, 2023), by and between you and NBCUniversal Media, LLC (the “Prior Agreement”), which shall be null and void except for those provisions that survive expiration.</w:t>
      </w:r>
    </w:p>
    <w:p>
      <w:pPr>
        <w:spacing w:after="0" w:line="265"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You agree to be employed by and perform services for the Company and the Company agrees to employ you under the terms and conditions of this Agreement. You agree to devote all of your business time, attention and skills exclusively to the performance of all your duties, and during the Term, you will provide your services exclusively to the Company. You will serve hereunder as Chief Executive Officer of Versant Media</w:t>
      </w:r>
    </w:p>
    <w:p>
      <w:pPr>
        <w:sectPr>
          <w:pgSz w:w="11900" w:h="16838" w:orient="portrait"/>
          <w:cols w:equalWidth="0" w:num="1">
            <w:col w:w="11024"/>
          </w:cols>
          <w:pgMar w:left="436" w:top="117" w:right="439" w:bottom="1440" w:gutter="0" w:footer="0" w:header="0"/>
        </w:sectPr>
      </w:pPr>
    </w:p>
    <w:bookmarkStart w:id="6" w:name="page7"/>
    <w:bookmarkEnd w:id="6"/>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Holdings, Inc. and Versant Media, LLC, and you will perform those services that are assigned to you and are commensurate with your position. You will report to the Board of Directors of Versant Media Holdings, Inc. (the “Board”). You agree that during your employment, you will perform such duties pursuant to the highest standards of competence, skill, integrity, efficiency, and professionalism, and subject to the Company’s reasonable direction and control. You will not be required, without your consent, to perform your primary duties under this Agreement in a location other than in the greater New York City/New Jersey/Connecticut metropolitan area, except for required travel for the Company’s business.</w:t>
      </w:r>
    </w:p>
    <w:p>
      <w:pPr>
        <w:spacing w:after="0" w:line="287" w:lineRule="exact"/>
        <w:rPr>
          <w:sz w:val="20"/>
          <w:szCs w:val="20"/>
          <w:color w:val="auto"/>
        </w:rPr>
      </w:pPr>
    </w:p>
    <w:p>
      <w:pPr>
        <w:ind w:left="184" w:hanging="184"/>
        <w:spacing w:after="0"/>
        <w:tabs>
          <w:tab w:leader="none" w:pos="1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all services rendered commencing on the Separation Effective Date, the Company will pay you base salary at an annual rate of Two Million Five Hundred Thousand and 00/100 Dollars ($2,500,000.00) (“Base Salary”), less normal payroll deductions and withholdings required by law, and payable in accordance with the Company’s applicable payroll practices. Commencing in 2027, the Company agrees to review your performance and Base Salary through the normal merit review process provided such process will not result in a decrease in Base Salary. Any subsequent increase(s) in Base Salary will become your Base Salary for the purposes of this paragraph and will commence on the date determined by the Company.</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60" w:firstLine="987"/>
        <w:spacing w:after="0" w:line="272" w:lineRule="auto"/>
        <w:tabs>
          <w:tab w:leader="none" w:pos="1210" w:val="left"/>
        </w:tabs>
        <w:numPr>
          <w:ilvl w:val="2"/>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will be eligible to participate in the Company’s annual bonus plan, or any plan adopted in replacement thereof (“Bonus Plan”), as determined by the Company and in accordance with the Bonus Plan’s terms and conditions. Your target for each year in which you are eligible to participate in the Bonus Plan will be three hundred percent (300%) of Base Salary (“Bonus Plan Target”), prorated in accordance with the Bonus Plan, and your award under the Bonus Plan will be based upon a measurement of performance against objectives in accordance with the Bonus Plan, as may be amended from time to time. You understand that Bonus Plan awards are not guaranteed compensation and are subject to the sole discretion of the Board (or its Compensation Committee). Any award under the Bonus Plan will be payable no later than March 15 of the calendar year following the calendar year to which the award relates and at the same time that similarly situated executives receive Bonus Plan awards (“Bonus Payment Date”) provided that, on the date of payment, you have satisfied any requirements of the Bonus Plan and are not in breach of this Agreement.</w:t>
      </w:r>
    </w:p>
    <w:p>
      <w:pPr>
        <w:spacing w:after="0" w:line="1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7" w:name="page8"/>
    <w:bookmarkEnd w:id="7"/>
    <w:p>
      <w:pPr>
        <w:ind w:left="4" w:right="60" w:firstLine="987"/>
        <w:spacing w:after="0" w:line="269" w:lineRule="auto"/>
        <w:tabs>
          <w:tab w:leader="none" w:pos="1260" w:val="left"/>
        </w:tabs>
        <w:numPr>
          <w:ilvl w:val="2"/>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you are actively employed through the Term and your employment with the Company terminates at its expiration, provided you are not in material breach of the Agreement and you timely execute and do not revoke the Company’s standard separation agreement containing a general release of claims in a form acceptable to the Company (the “Release”), you will be entitled to: (i) an amount equal to your Bonus Plan Target (or such Bonus Plan Target as adjusted by the appropriate Company business score percentage if such business score is less than 100%) if, as the date your employment with the Company terminates, the Annual Performance Bonus for the prior Plan Year (as defined in the Bonus Plan) has not been paid; or</w:t>
      </w:r>
    </w:p>
    <w:p>
      <w:pPr>
        <w:spacing w:after="0" w:line="2" w:lineRule="exact"/>
        <w:rPr>
          <w:rFonts w:ascii="Times New Roman" w:cs="Times New Roman" w:eastAsia="Times New Roman" w:hAnsi="Times New Roman"/>
          <w:sz w:val="17"/>
          <w:szCs w:val="17"/>
          <w:color w:val="auto"/>
        </w:rPr>
      </w:pPr>
    </w:p>
    <w:p>
      <w:pPr>
        <w:ind w:left="4" w:right="200" w:hanging="4"/>
        <w:spacing w:after="0" w:line="255" w:lineRule="auto"/>
        <w:tabs>
          <w:tab w:leader="none" w:pos="26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your Bonus Plan Target (or such Bonus Plan Target as adjusted by the appropriate Company business score percentage if such business score is less than 100%), pro-rated in accordance with the Bonus Plan, for the current Bonus Plan Year. Any payment pursuant to this paragraph will be paid on the applicable Bonus Payment Date unless legally required to be delayed under paragraph 5(e).</w:t>
      </w:r>
    </w:p>
    <w:p>
      <w:pPr>
        <w:spacing w:after="0" w:line="185" w:lineRule="exact"/>
        <w:rPr>
          <w:rFonts w:ascii="Times New Roman" w:cs="Times New Roman" w:eastAsia="Times New Roman" w:hAnsi="Times New Roman"/>
          <w:sz w:val="18"/>
          <w:szCs w:val="18"/>
          <w:color w:val="auto"/>
        </w:rPr>
      </w:pPr>
    </w:p>
    <w:p>
      <w:pPr>
        <w:ind w:left="4" w:right="20" w:firstLine="436"/>
        <w:spacing w:after="0" w:line="255" w:lineRule="auto"/>
        <w:tabs>
          <w:tab w:leader="none" w:pos="68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w:t>
      </w:r>
      <w:r>
        <w:rPr>
          <w:rFonts w:ascii="Times New Roman" w:cs="Times New Roman" w:eastAsia="Times New Roman" w:hAnsi="Times New Roman"/>
          <w:sz w:val="18"/>
          <w:szCs w:val="18"/>
          <w:color w:val="auto"/>
        </w:rPr>
        <w:t>. You will be eligible to participate in and receive long-term incentive awards under the Versant Media Group, Inc. Omnibus Equity Incentive Plan (as amended from time to time, and together with any successor plan thereto, the “LTI Plan”), as determined by the Company and in accordance with the terms and conditions of the LTI Plan (such awards, “LTI Award(s)”). The annual target grant-date fair value of your LTI Award will be Twelve Million Five Hundred Thousand and 00/100 Dollars ($12,500,000.00). Notwithstanding the generality of the foregoing, the Board (or its Compensation Committee) will annually determine in its sole discretion whether to grant an LTI award to you, and if the Board (or its Compensation Committee) so determines, the LTI Award will be governed in all respects by the terms and conditions set forth in the LTI Plan and the applicable award statement. The Company reserves the right to amend, modify, and/or terminate the LTI Plan at any time.</w:t>
      </w:r>
    </w:p>
    <w:p>
      <w:pPr>
        <w:spacing w:after="0" w:line="189" w:lineRule="exact"/>
        <w:rPr>
          <w:sz w:val="20"/>
          <w:szCs w:val="20"/>
          <w:color w:val="auto"/>
        </w:rPr>
      </w:pPr>
    </w:p>
    <w:p>
      <w:pPr>
        <w:jc w:val="both"/>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the Separation Effective Date occurs after the date in March 2026 that you receive an annual LTIP grant under paragraph 3(d) of the Prior Agreement, you will be eligible as soon as administratively feasible following the Separation Effective Date to receive a one-time grant under the Company’s LTI in the amount of Six Million Two Hundred Fifty Thousand and 00/100 Dollars ($6,250,000.00), in accordance with the applicable plan documents and award statements.</w:t>
      </w:r>
    </w:p>
    <w:p>
      <w:pPr>
        <w:spacing w:after="0" w:line="180" w:lineRule="exact"/>
        <w:rPr>
          <w:sz w:val="20"/>
          <w:szCs w:val="20"/>
          <w:color w:val="auto"/>
        </w:rPr>
      </w:pPr>
    </w:p>
    <w:p>
      <w:pPr>
        <w:ind w:left="4" w:firstLine="436"/>
        <w:spacing w:after="0" w:line="256" w:lineRule="auto"/>
        <w:tabs>
          <w:tab w:leader="none" w:pos="69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Founders Grant</w:t>
      </w:r>
      <w:r>
        <w:rPr>
          <w:rFonts w:ascii="Times New Roman" w:cs="Times New Roman" w:eastAsia="Times New Roman" w:hAnsi="Times New Roman"/>
          <w:sz w:val="18"/>
          <w:szCs w:val="18"/>
          <w:color w:val="auto"/>
        </w:rPr>
        <w:t>. Subject to the approval of the Board (or its Compensation Committee), you will be awarded a long-term incentive grant having a fair market value on the day of grant of Twelve Million Five Hundred Thousand and 00/100 Dollars ($12,500,000.00) as soon as practicable following the completion of the Separation (the “Founders Grant”). The Founders Grant may be made in the form of restricted stock, performance stock units, stock options, restricted stock units, long-term cash, or a combination thereof as determined in the sole discretion of the Board (or its Compensation Committee), and will be subject to the terms and conditions, including but not limited to a vesting schedule of the applicable Company long-term incentive plan.</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Withholdings/Deductions</w:t>
      </w:r>
      <w:r>
        <w:rPr>
          <w:rFonts w:ascii="Times New Roman" w:cs="Times New Roman" w:eastAsia="Times New Roman" w:hAnsi="Times New Roman"/>
          <w:sz w:val="17"/>
          <w:szCs w:val="17"/>
          <w:color w:val="auto"/>
        </w:rPr>
        <w:t>. All payments to you hereunder are subject to normal payroll deductions and withholdings required or authorized by</w:t>
      </w:r>
    </w:p>
    <w:p>
      <w:pPr>
        <w:spacing w:after="0" w:line="38"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law.</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4"/>
          </w:cols>
          <w:pgMar w:left="436" w:top="270" w:right="519" w:bottom="1440" w:gutter="0" w:footer="0" w:header="0"/>
        </w:sectPr>
      </w:pPr>
    </w:p>
    <w:bookmarkStart w:id="8" w:name="page9"/>
    <w:bookmarkEnd w:id="8"/>
    <w:p>
      <w:pPr>
        <w:ind w:left="184" w:hanging="184"/>
        <w:spacing w:after="0"/>
        <w:tabs>
          <w:tab w:leader="none" w:pos="1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Benefits and Business Expenses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60" w:hanging="4"/>
        <w:spacing w:after="0" w:line="266" w:lineRule="auto"/>
        <w:tabs>
          <w:tab w:leader="none" w:pos="24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You will be eligible to participate in the benefit plans and programs generally available to similarly situated executive employees of the Company as in effect from time to time, so long as the Company provides such plans and programs and subject to their terms and conditions and applicable law.</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During your employment, the Company will reimburse you for your reasonable, necessary, and approved business expenses in accordance with its then-prevailing policy and procedures. Any reimbursement pursuant to this paragraph (i) will be made not later than the calendar end of the year immediately following the calendar year in which such expense is incurred; (ii) will not be subject to liquidation or exchange for another benefit, and (iii) the amount of expenses eligible for reimbursement during any calendar year will not affect the expenses eligible for reimbursement in any other calendar year.</w:t>
      </w:r>
    </w:p>
    <w:p>
      <w:pPr>
        <w:spacing w:after="0" w:line="183"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8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Travel</w:t>
      </w:r>
      <w:r>
        <w:rPr>
          <w:rFonts w:ascii="Times New Roman" w:cs="Times New Roman" w:eastAsia="Times New Roman" w:hAnsi="Times New Roman"/>
          <w:sz w:val="18"/>
          <w:szCs w:val="18"/>
          <w:color w:val="auto"/>
        </w:rPr>
        <w:t>. You will be entitled to travel and hotel accommodations in connection with all travel on behalf of the Company in accordance with the then-current Company travel policy and the Aviation Policy applicable to you.</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Personal Security</w:t>
      </w:r>
      <w:r>
        <w:rPr>
          <w:rFonts w:ascii="Times New Roman" w:cs="Times New Roman" w:eastAsia="Times New Roman" w:hAnsi="Times New Roman"/>
          <w:sz w:val="17"/>
          <w:szCs w:val="17"/>
          <w:color w:val="auto"/>
        </w:rPr>
        <w:t>. You will be entitled to receive security services as reasonably requested in accordance with the Company’s Security Policy.</w:t>
      </w:r>
    </w:p>
    <w:p>
      <w:pPr>
        <w:spacing w:after="0" w:line="341" w:lineRule="exact"/>
        <w:rPr>
          <w:sz w:val="20"/>
          <w:szCs w:val="20"/>
          <w:color w:val="auto"/>
        </w:rPr>
      </w:pPr>
    </w:p>
    <w:p>
      <w:pPr>
        <w:ind w:left="184" w:hanging="184"/>
        <w:spacing w:after="0"/>
        <w:tabs>
          <w:tab w:leader="none" w:pos="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Rights and Obligations Upon Termination and Other Events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 w:right="540" w:firstLine="436"/>
        <w:spacing w:after="0" w:line="282" w:lineRule="auto"/>
        <w:tabs>
          <w:tab w:leader="none" w:pos="689"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The Company may terminate your employment and this Agreement for Cause upon written notice following its determination that you have committed any of the following acts (“Termination for Cause”):</w:t>
      </w:r>
    </w:p>
    <w:p>
      <w:pPr>
        <w:spacing w:after="0" w:line="161" w:lineRule="exact"/>
        <w:rPr>
          <w:rFonts w:ascii="Times New Roman" w:cs="Times New Roman" w:eastAsia="Times New Roman" w:hAnsi="Times New Roman"/>
          <w:sz w:val="18"/>
          <w:szCs w:val="18"/>
          <w:color w:val="auto"/>
        </w:rPr>
      </w:pPr>
    </w:p>
    <w:p>
      <w:pPr>
        <w:ind w:left="4" w:right="180" w:firstLine="987"/>
        <w:spacing w:after="0" w:line="282" w:lineRule="auto"/>
        <w:tabs>
          <w:tab w:leader="none" w:pos="1290"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a guilty/no contest plea to a felony or a crime involving moral turpitude, the nature and circumstances of which are determined in the Company’s discretion to disqualify you from continued employment with Company;</w:t>
      </w:r>
    </w:p>
    <w:p>
      <w:pPr>
        <w:spacing w:after="0" w:line="161"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w:t>
      </w:r>
    </w:p>
    <w:p>
      <w:pPr>
        <w:spacing w:after="0" w:line="22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embezzlement or other misappropriation of funds;</w:t>
      </w:r>
    </w:p>
    <w:p>
      <w:pPr>
        <w:spacing w:after="0" w:line="22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 with respect to the Company;</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and/or repeated failure to perform duties;</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in the performance of duties;</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4"/>
          </w:cols>
          <w:pgMar w:left="436" w:top="266" w:right="519" w:bottom="1440" w:gutter="0" w:footer="0" w:header="0"/>
        </w:sectPr>
      </w:pPr>
    </w:p>
    <w:bookmarkStart w:id="9" w:name="page10"/>
    <w:bookmarkEnd w:id="9"/>
    <w:p>
      <w:pPr>
        <w:jc w:val="both"/>
        <w:ind w:firstLine="987"/>
        <w:spacing w:after="0" w:line="261" w:lineRule="auto"/>
        <w:tabs>
          <w:tab w:leader="none" w:pos="1286"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commission of any act or involvement in any situation, or occurrence, whether before or during the Term, or which brings (or if made public, would reasonably be expected to bring) you or the Company into widespread public disrepute, contempt, scandal or ridicule, or which justifiably shocks, insults or offends a significant portion of the community, or your or the Company being subject to publicity for any such conduct or involvement in such conduct;</w:t>
      </w:r>
    </w:p>
    <w:p>
      <w:pPr>
        <w:spacing w:after="0" w:line="179"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the Employee Handbook, the Code of Conduct or any other written Company policy; or</w:t>
      </w:r>
    </w:p>
    <w:p>
      <w:pPr>
        <w:spacing w:after="0" w:line="22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this Agreement.</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Prior to any Termination for Cause, the Company will provide you with notice setting forth the reasons that Cause exists, in which case you will have an opportunity to cure, provided a cure is reasonably possible and timely effected, to the Company’s satisfaction and is not a matter that was the general subject matter of an earlier cure notice given to you. It is expressly understood that the Company’s ability to effect a Termination for Cause is not an exclusive remedy, and further that nothing in this Agreement prevents the Company from obtaining any and all appropriate remedies for any injury that arises out of or is related to any breach of this Agreement.</w:t>
      </w:r>
    </w:p>
    <w:p>
      <w:pPr>
        <w:spacing w:after="0" w:line="183"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your Termination for Cause, you will be entitled to payment of any accrued but unpaid Base Salary due to you through the date of termination (payable no later than thirty (30) days after such termination); any accrued, but unpaid vacation to the extent required by Company policy or law; accrued, but unreimbursed business expenses (payable as provided in paragraph 4(b) above); and other unpaid amounts, if any, then due to you under Company benefit plans or programs, which will be payable as provided by the terms and conditions of such plans (collectively, the “Accrued Amounts”).</w:t>
      </w:r>
    </w:p>
    <w:p>
      <w:pPr>
        <w:spacing w:after="0" w:line="183" w:lineRule="exact"/>
        <w:rPr>
          <w:sz w:val="20"/>
          <w:szCs w:val="20"/>
          <w:color w:val="auto"/>
        </w:rPr>
      </w:pPr>
    </w:p>
    <w:p>
      <w:pPr>
        <w:ind w:right="340" w:firstLine="436"/>
        <w:spacing w:after="0" w:line="282" w:lineRule="auto"/>
        <w:tabs>
          <w:tab w:leader="none" w:pos="69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Services No Longer Required</w:t>
      </w:r>
      <w:r>
        <w:rPr>
          <w:rFonts w:ascii="Times New Roman" w:cs="Times New Roman" w:eastAsia="Times New Roman" w:hAnsi="Times New Roman"/>
          <w:sz w:val="18"/>
          <w:szCs w:val="18"/>
          <w:color w:val="auto"/>
        </w:rPr>
        <w:t>. The Company may elect for any reason and at any time to no longer require your services by providing you with written notice (the date you cease to provide services to the Company pursuant to such notice (the “NLR Date”)).</w:t>
      </w:r>
    </w:p>
    <w:p>
      <w:pPr>
        <w:spacing w:after="0" w:line="161" w:lineRule="exact"/>
        <w:rPr>
          <w:rFonts w:ascii="Times New Roman" w:cs="Times New Roman" w:eastAsia="Times New Roman" w:hAnsi="Times New Roman"/>
          <w:sz w:val="18"/>
          <w:szCs w:val="18"/>
          <w:color w:val="auto"/>
        </w:rPr>
      </w:pPr>
    </w:p>
    <w:p>
      <w:pPr>
        <w:ind w:firstLine="987"/>
        <w:spacing w:after="0" w:line="256" w:lineRule="auto"/>
        <w:tabs>
          <w:tab w:leader="none" w:pos="1206"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the Company exercises its rights under this subparagraph, you will be entitled to payment of the Accrued Amounts. In addition, subject to the terms and conditions of the Agreement and your timely execution and non-revocation of the Release, the Company will provide you with the following: (A) continuation of your Base Salary (as of the NLR Date) for the two (2)-year period immediately following the NLR Date (the “NLR Period”) on the Company’s regular payroll dates; (B)(i) an amount equal to your Bonus Plan Target, pro-rated for the period of the Bonus Plan year corresponding to the NLR Date that you were actively employed (exclusive of the Garden Leave) and calculated based on actual achievement of applicable performance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0" w:name="page11"/>
    <w:bookmarkEnd w:id="10"/>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criteria, and (ii) continued entitlement to payment of your Bonus Plan Target (calculated as of the NLR Date) for the NLR Period, payable on the applicable Bonus Payment Dates and subject to the terms and conditions of the Bonus Plan (which, for the avoidance of doubt, equals a total payout of two times (2x) your Bonus Plan Target); (C) continued vesting during the NLR Period of any outstanding and unvested LTI Awards (except for any unvested tranches of the Founders Grant as provided in subparagraph 3(d)) granted prior to the NLR Date (provided that to the extent the terms of the award statements governing the applicable LTI Awards provide more favorable vesting treatment at termination of employment, those terms will apply in lieu of this sub-clause); and (D) continued participation in the Company’s benefits plans and programs as provided under paragraph 4(a) for you and your eligible dependents enrolled as of the NLR Date, at a similar cost to you as active employees and subject to the terms and conditions of such plans and programs and applicable law. In the event your continued participation in the Company’s medical, dental, and/or vision plans is barred or otherwise results in adverse tax consequences for the Company, then the Company will arrange to provide you and your eligible dependents with substantially similar coverage to that which such persons would have otherwise been entitled to receive under such benefit programs from which such continued participation is barred, which may include a cash payment in lieu thereof.</w:t>
      </w:r>
    </w:p>
    <w:p>
      <w:pPr>
        <w:spacing w:after="0" w:line="192" w:lineRule="exact"/>
        <w:rPr>
          <w:sz w:val="20"/>
          <w:szCs w:val="20"/>
          <w:color w:val="auto"/>
        </w:rPr>
      </w:pPr>
    </w:p>
    <w:p>
      <w:pPr>
        <w:ind w:firstLine="987"/>
        <w:spacing w:after="0" w:line="252" w:lineRule="auto"/>
        <w:tabs>
          <w:tab w:leader="none" w:pos="125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Exclusivity/Non-Compete</w:t>
      </w:r>
      <w:r>
        <w:rPr>
          <w:rFonts w:ascii="Times New Roman" w:cs="Times New Roman" w:eastAsia="Times New Roman" w:hAnsi="Times New Roman"/>
          <w:sz w:val="18"/>
          <w:szCs w:val="18"/>
          <w:color w:val="auto"/>
        </w:rPr>
        <w:t>. During the ninety (90)-day period immediately following the NLR Date (the “Garden Leave”), your exclusivity obligations under paragraph 6(f) will remain in full force and effect, and your role will transition to facilitating, in whatever manner is reasonably necessary and requested by the Company, the transition of your duties, knowledge, and responsibilities in a cooperative and professional manner. Following the Garden Leave and for the remainder of the NLR Period, your exclusivity obligations will be waived, your employment will convert to inactive status, and you will be free to render your services to a third party except for a “Competitive Business.” In the event you wish to provide your services to a Competitive Business during the remainder of the NLR Period, you agree to give timely written notice to the Company prior to providing such services. As of the date you begin providing services to a Competitive Business, the Company will be relieved of its obligation to make any payments or provide any benefits under subparagraph 5(b)(i) for the remainder of the NLR Period, other than any unpaid Accrued Amounts. For purposes herein, a “Competitive Business” will be defined as a business (whether conducted by an entity or individual, including self-employment) that is engaged directly or indirectly in competition with the Company with regard to any of the services that you or those reporting directly or indirectly (whether within the same reporting line or dotted line to another) to you performed on behalf of the Company or any of its subsidiaries. In addition, to the extent you provide services to an entity that is not a Competitive Business and you are eligible to receive coverage under any medical benefit plan offered by such entity, the Company will be relieved of all obligations to provide any of its benefit plans or the value of such benefits to you pursuant to paragraph 5(b)(i)(D) as of the date you commence providing such services.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11" w:name="page12"/>
    <w:bookmarkEnd w:id="11"/>
    <w:p>
      <w:pPr>
        <w:ind w:left="1300" w:hanging="313"/>
        <w:spacing w:after="0"/>
        <w:tabs>
          <w:tab w:leader="none" w:pos="130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Agreement</w:t>
      </w:r>
      <w:r>
        <w:rPr>
          <w:rFonts w:ascii="Times New Roman" w:cs="Times New Roman" w:eastAsia="Times New Roman" w:hAnsi="Times New Roman"/>
          <w:sz w:val="18"/>
          <w:szCs w:val="18"/>
          <w:color w:val="auto"/>
        </w:rPr>
        <w:t>. The Term of this Agreement will be extended or terminated to be co-terminous with the NLR Period.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Failure or Refusal to Provide Services</w:t>
      </w:r>
      <w:r>
        <w:rPr>
          <w:rFonts w:ascii="Times New Roman" w:cs="Times New Roman" w:eastAsia="Times New Roman" w:hAnsi="Times New Roman"/>
          <w:sz w:val="18"/>
          <w:szCs w:val="18"/>
          <w:color w:val="auto"/>
        </w:rPr>
        <w:t>. In the event you fail, refuse or are unable to perform the services required of you for any period(s) during the Term and for any reason other than an injury, illness or condition covered by the Company’s time off, short-term sickness or injury and medical disability policies, the Company will have the right to suspend its contractual obligations to pay you during any such period(s), and the Company may, but will not be obligated to, extend the Term for a period equal to all or any part of the period or aggregate of periods of such suspension. In addition, during the period(s) of your not performing services as contemplated in this paragraph, the Company also may suspend any salary increases or grants under any long-term incentive or deferred compensation program, or modify applicable bonuses in accordance with such bonus plans, whether or not it has previously exercised any of the rights specified herein. All such rights hereunder will be subject to local, state, and federal laws governing disabilities and leaves of absence as well as the Company’s applicable policies.</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Notwithstanding any other provision of this Agreement, if during the Term you become physically or mentally disabled due to an illness, injury or condition such that you are unable to perform your essential duties for a period of more than one hundred eighty (180) consecutive days or for a cumulative period of more than one hundred eighty (180) days in any twelve (12) month period, Company will have the right (before the end of such disability), at its option, to terminate this Agreement, except if such termination would be prohibited by law. Should the Company terminate this Agreement pursuant to the foregoing, your employment with the Company will be “at will,” subject to Company’s applicable disability</w:t>
      </w:r>
    </w:p>
    <w:p>
      <w:pPr>
        <w:spacing w:after="0" w:line="3" w:lineRule="exact"/>
        <w:rPr>
          <w:rFonts w:ascii="Times New Roman" w:cs="Times New Roman" w:eastAsia="Times New Roman" w:hAnsi="Times New Roman"/>
          <w:sz w:val="18"/>
          <w:szCs w:val="18"/>
          <w:color w:val="auto"/>
        </w:rPr>
      </w:pPr>
    </w:p>
    <w:p>
      <w:pPr>
        <w:ind w:right="2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policies. Alternatively, should the Company elect to not terminate this Agreement, Company may, but will not be obligated to, extend the Term for a period equal to all or any part of the period or aggregate of periods of any such disability. During any period of disability that is covered by the Company’s disability policies and practices, your compensation may be adjusted and paid in accordance with the terms of such policy or practice. All rights and obligations hereunder will be subject to state and federal laws governing disabilities and leaves of absence as well as the Company’s applicable policies. In the event your employment is terminated due to a disability under this paragraph 5(d), you will be entitled to payment of the Accrued Amounts.</w:t>
      </w:r>
    </w:p>
    <w:p>
      <w:pPr>
        <w:spacing w:after="0" w:line="189"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you die during the Term of this Agreement, this Agreement will automatically terminate and your estate or legal representative will be paid (i) any accrued but unpaid Base Salary due to you through your date of death, (ii) your Bonus Target, pro-rated on a daily basis for any period of active service during the year of death, including any time you have received benefits under the Company’s Short Term Disability policy, (iii) any accrued but unpaid vacation, to the extent required by law and (iv) other unpaid amounts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2" w:name="page13"/>
    <w:bookmarkEnd w:id="12"/>
    <w:p>
      <w:pPr>
        <w:ind w:left="4" w:right="2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then due under express terms of the applicable Company benefit plans or programs and benefits payable due to your death under Company employee benefit plans or programs, which will be payable or provided as set forth in the applicable plans and programs. Payments under clauses (i), (ii), and</w:t>
      </w:r>
    </w:p>
    <w:p>
      <w:pPr>
        <w:spacing w:after="0" w:line="1" w:lineRule="exact"/>
        <w:rPr>
          <w:sz w:val="20"/>
          <w:szCs w:val="20"/>
          <w:color w:val="auto"/>
        </w:rPr>
      </w:pPr>
    </w:p>
    <w:p>
      <w:pPr>
        <w:ind w:left="4" w:right="80" w:hanging="4"/>
        <w:spacing w:after="0" w:line="260" w:lineRule="auto"/>
        <w:tabs>
          <w:tab w:leader="none" w:pos="31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hereunder will be made within thirty (30) days of your death. Payment of any accrued but unreimbursed expenses will be made in accordance with paragraph 4(b) above.</w:t>
      </w:r>
    </w:p>
    <w:p>
      <w:pPr>
        <w:spacing w:after="0" w:line="18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Special Rules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4" w:lineRule="auto"/>
        <w:tabs>
          <w:tab w:leader="none" w:pos="121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termination of employment does not constitute a “separation from service” within the meaning of Section 409A of the Internal Revenue Code of 1986, as amended (“Section 409A”), any payment that would otherwise have been due and payable, or would have commenced to be paid, under this paragraph 5 in connection with your termination of employment will be delayed until such time as you will incur such a separation from service (and such separation from service will be treated as a termination of your employment for purposes of determining when such payments are to be made); except (A) to the extent of amounts that do not constitute a deferral of compensation within the meaning of Treasury Regulation</w:t>
      </w:r>
    </w:p>
    <w:p>
      <w:pPr>
        <w:spacing w:after="0" w:line="3" w:lineRule="exact"/>
        <w:rPr>
          <w:rFonts w:ascii="Times New Roman" w:cs="Times New Roman" w:eastAsia="Times New Roman" w:hAnsi="Times New Roman"/>
          <w:sz w:val="18"/>
          <w:szCs w:val="18"/>
          <w:color w:val="auto"/>
        </w:rPr>
      </w:pPr>
    </w:p>
    <w:p>
      <w:pPr>
        <w:ind w:left="4" w:right="4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1.409A-1(b) (including, without limitation, by reason of the safe harbor set forth in Treasury Regulation Section 1.409A-1(b)(9)(iii), as determined by the Company); (B) benefits which qualify as excepted welfare benefits pursuant to Treasury Regulation Section 1.409A-1(a)(5); or</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other amounts that are not subject to the requirements of Section 409A.</w:t>
      </w:r>
    </w:p>
    <w:p>
      <w:pPr>
        <w:spacing w:after="0" w:line="206" w:lineRule="exact"/>
        <w:rPr>
          <w:rFonts w:ascii="Times New Roman" w:cs="Times New Roman" w:eastAsia="Times New Roman" w:hAnsi="Times New Roman"/>
          <w:sz w:val="18"/>
          <w:szCs w:val="18"/>
          <w:color w:val="auto"/>
        </w:rPr>
      </w:pPr>
    </w:p>
    <w:p>
      <w:pPr>
        <w:ind w:left="4" w:firstLine="987"/>
        <w:spacing w:after="0" w:line="256" w:lineRule="auto"/>
        <w:tabs>
          <w:tab w:leader="none" w:pos="126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date of your separation from service, you are a specified employee within the meaning of Section 409A, any payment, which constitutes “deferred compensation” under Section 409A and is payable on account of separation from service that would otherwise have been due and payable under this paragraph 5 within six (6) months of the date of such separation from service, will be delayed until the six (6) month anniversary of the date of such separation from service (the “Six Month Delay”). The Six Month Delay will not apply to any deferred compensation that is payable at a fixed date (including any payment of bonus or Base Salary that, as a series of separate payments, is a short-term deferral within the meaning of Section 409A, and any payment arising on account of your death); and</w:t>
      </w:r>
    </w:p>
    <w:p>
      <w:pPr>
        <w:spacing w:after="0" w:line="187" w:lineRule="exact"/>
        <w:rPr>
          <w:rFonts w:ascii="Times New Roman" w:cs="Times New Roman" w:eastAsia="Times New Roman" w:hAnsi="Times New Roman"/>
          <w:sz w:val="18"/>
          <w:szCs w:val="18"/>
          <w:color w:val="auto"/>
        </w:rPr>
      </w:pPr>
    </w:p>
    <w:p>
      <w:pPr>
        <w:ind w:left="4" w:right="120" w:firstLine="987"/>
        <w:spacing w:after="0" w:line="255" w:lineRule="auto"/>
        <w:tabs>
          <w:tab w:leader="none" w:pos="1310"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that this Agreement be administered in a manner consistent with, and in compliance with, Section 409A and the regulations thereunder. Accordingly, this Agreement will be construed and interpreted, to the maximum extent possible, in a manner consistent with the requirements of such Section 409A. If any amounts payable hereunder are paid in installments, each installment will be considered a separate payment; and the right to a series of installment payments under this Agreement is a right to a series of separate payments. Any provision of this Agreement to the contrary notwithstanding, the Company does not represent, warrant or guarantee that the payments and benefits that may be paid or provided pursuant to this Agreement will not be includible in your federal gross income pursuant to Section 409A, nor does the Company make any other representation, warranty or guarantee to you as to the tax consequences of this Agreement.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4"/>
          </w:cols>
          <w:pgMar w:left="436" w:top="270" w:right="499" w:bottom="1440" w:gutter="0" w:footer="0" w:header="0"/>
        </w:sectPr>
      </w:pPr>
    </w:p>
    <w:bookmarkStart w:id="13" w:name="page14"/>
    <w:bookmarkEnd w:id="13"/>
    <w:p>
      <w:pPr>
        <w:ind w:left="-60" w:firstLine="436"/>
        <w:spacing w:after="0" w:line="266"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any termination of your employment, you will be deemed to have resigned as an officer, director, trustee, agent, representative and from acting in any other capacity on behalf of the Company and all of its subsidiaries, divisions and affiliates and you agree to execute any required documentation necessary to effect such resignations.</w:t>
      </w:r>
    </w:p>
    <w:p>
      <w:pPr>
        <w:spacing w:after="0" w:line="175" w:lineRule="exact"/>
        <w:rPr>
          <w:rFonts w:ascii="Times New Roman" w:cs="Times New Roman" w:eastAsia="Times New Roman" w:hAnsi="Times New Roman"/>
          <w:sz w:val="18"/>
          <w:szCs w:val="18"/>
          <w:color w:val="auto"/>
        </w:rPr>
      </w:pPr>
    </w:p>
    <w:p>
      <w:pPr>
        <w:ind w:left="-60" w:right="60" w:firstLine="436"/>
        <w:spacing w:after="0" w:line="253" w:lineRule="auto"/>
        <w:tabs>
          <w:tab w:leader="none" w:pos="63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If you would be entitled to payments or benefits under this Agreement or under any other plan, program, agreement or arrangement that would constitute “parachute payments” as defined in Section 280G of the Code and could result in any such payment or benefit being subject to an excise tax under Section 4999 of the Code, the present value of your payments and benefits will be reduced by the minimum amount necessary such that the aggregate present value of such payments and benefits do not trigger the excise tax; provided, however, no such reductions will be given effect if you would be entitled to greater payments and benefits on an after-tax basis (taking into account the excise tax imposed pursuant to Section 4999 of the Code, any tax imposed by any comparable provision of state law, and any applicable federal, state and local income and employment taxes) than if such reductions were to be implemented. If payments or benefits are to be reduced, any such reduction in payments and/or benefits will be made in accordance with Section 409A and will occur in the manner that results in the greatest economic benefit to you as determined by a nationally recognized certified public accounting firm or other professional organization that is recognized as an expert in determinations and calculations for purposes of Sections 280G and 4999 of the Code and that is selected by the Company prior to the closing of the transaction giving rise to such payments and benefits. All determinations in applying the foregoing provisions for purposes of the “golden parachute” rules under Sections 280G and 4999 of the Code will be made by such accountants or organization and will be final and binding on the parties.</w:t>
      </w:r>
    </w:p>
    <w:p>
      <w:pPr>
        <w:spacing w:after="0" w:line="189" w:lineRule="exact"/>
        <w:rPr>
          <w:rFonts w:ascii="Times New Roman" w:cs="Times New Roman" w:eastAsia="Times New Roman" w:hAnsi="Times New Roman"/>
          <w:sz w:val="18"/>
          <w:szCs w:val="18"/>
          <w:color w:val="auto"/>
        </w:rPr>
      </w:pPr>
    </w:p>
    <w:p>
      <w:pPr>
        <w:ind w:left="-60" w:right="40" w:firstLine="436"/>
        <w:spacing w:after="0" w:line="254" w:lineRule="auto"/>
        <w:tabs>
          <w:tab w:leader="none" w:pos="5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Termination</w:t>
      </w:r>
      <w:r>
        <w:rPr>
          <w:rFonts w:ascii="Times New Roman" w:cs="Times New Roman" w:eastAsia="Times New Roman" w:hAnsi="Times New Roman"/>
          <w:sz w:val="18"/>
          <w:szCs w:val="18"/>
          <w:color w:val="auto"/>
        </w:rPr>
        <w:t>. You may terminate this Agreement and your employment for any of the following acts or actions by the Company upon sixty (60) days’ prior written notice to the Company, provided that you have given the Company such notice within ninety (90) days of the occurrence thereof and that such notice gives a reasonably detailed explanation of its basis so as to allow the Company a reasonable opportunity to cure such circumstance: (i) an involuntary change in title to one that conveys less responsibility and/or lower status, including but not limited to the removal of the position of Chief Executive Officer of the Company; (ii) a material reduction of your duties, which for purposes of clarity, includes no longer reporting to the Board; or (iii) a material breach of any material term of this Agreement, provided further that the Company has failed to remedy such act or action within the notice period set forth above. In the event the preconditions of this paragraph are satisfied, you elect to terminate your employment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70" w:right="519" w:bottom="1440" w:gutter="0" w:footer="0" w:header="0"/>
        </w:sectPr>
      </w:pPr>
    </w:p>
    <w:bookmarkStart w:id="14" w:name="page15"/>
    <w:bookmarkEnd w:id="14"/>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hereunder, and you execute and do not revoke the Release, you will be entitled to the compensation and benefits described in paragraph 5(b) in accordance with its terms, payable at such times as those amounts and benefits would have ordinarily become due and payable, and subject to the terms and conditions thereof.</w:t>
      </w:r>
    </w:p>
    <w:p>
      <w:pPr>
        <w:spacing w:after="0" w:line="280" w:lineRule="exact"/>
        <w:rPr>
          <w:sz w:val="20"/>
          <w:szCs w:val="20"/>
          <w:color w:val="auto"/>
        </w:rPr>
      </w:pPr>
    </w:p>
    <w:p>
      <w:pPr>
        <w:ind w:left="184" w:hanging="184"/>
        <w:spacing w:after="0"/>
        <w:tabs>
          <w:tab w:leader="none" w:pos="18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Freedom to Enter Agreement</w:t>
      </w:r>
      <w:r>
        <w:rPr>
          <w:rFonts w:ascii="Times New Roman" w:cs="Times New Roman" w:eastAsia="Times New Roman" w:hAnsi="Times New Roman"/>
          <w:sz w:val="18"/>
          <w:szCs w:val="18"/>
          <w:color w:val="auto"/>
        </w:rPr>
        <w:t>. You represent and warrant that you are free to work for the Company and to enter into this Agreement, and that you are not restricted in any manner from performing under this Agreement by any prior agreement, commitment, or understanding, contractual or otherwise, with any third party. If you have acquired confidential or proprietary information in the course of your employment prior to the Company, you will fully comply with any duties not to use or disclose such information then applicable to you during the Term.</w:t>
      </w:r>
    </w:p>
    <w:p>
      <w:pPr>
        <w:spacing w:after="0" w:line="179"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Nothing in this Agreement, including the following paragraphs, will restrict you from communicating directly with and providing information to any governmental agency or commission, including the Securities and Exchange Commission (“SEC”), the Occupational Safety and Health Administration (“OSHA”), the Department of Justice (“DOJ”), or the Commodity Futures Trading Commission (“CFTC”) regarding possible legal violations, without disclosure to the Company (“Whistleblower Activity”). You do not need the prior authorization of any member of the Company, nor will you be required to notify any member of the Company, to engage in Whistleblower Activity. The Company will not retaliate against you for any of these activities, and nothing in this Agreement or otherwise requires you to waive any monetary award or other payment that you might become entitled to receive from the SEC, OSHA, DOJ or CFTC. Further, pursuant to the Defend Trade Secrets Act of 2016 (18 U.S.C. § 1833(b)), you will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use the trade secret information in the court proceeding, if you (I) file any document containing the trade secret under seal, and (II) do not disclose the trade secret, except pursuant to court order. All of the foregoing rights described in this paragraph will be referred to herein as your “Protected Rights”.</w:t>
      </w:r>
    </w:p>
    <w:p>
      <w:pPr>
        <w:spacing w:after="0" w:line="197"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You acknowledge and agree that you currently possess, or will acquire, learn, obtain or develop “Confidential Information” during your employment with the Company. “Confidential Information” means any information of a confidential nature or not known to the general public, which is received by you during your</w:t>
      </w:r>
    </w:p>
    <w:p>
      <w:pPr>
        <w:spacing w:after="0" w:line="10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4"/>
          </w:cols>
          <w:pgMar w:left="436" w:top="270" w:right="559" w:bottom="1440" w:gutter="0" w:footer="0" w:header="0"/>
        </w:sectPr>
      </w:pPr>
    </w:p>
    <w:bookmarkStart w:id="15" w:name="page16"/>
    <w:bookmarkEnd w:id="1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employment, concerning the Company, its employees, contractors, suppliers or customers. “Confidential Information” includes, but is not limited to: sales, marketing and other business methods, business plans, financial information, strategies and techniques, research and development projects and results, potential business ventures, software and firmware, trade secrets, know-how, processes and other intellectual property, information relating to past, present or prospective employees, contractors, suppliers, customers, as well as matters of a creative nature, including matters regarding ideas of a literary, creative, musical, or dramatic nature, or any other proprietary information about the Company’s business which is not generally known by the public, regardless of whether any such Confidential Information is in oral, written, machine, digital, or some other form. When in doubt, you agree to assume the information is confidential and/or proprietary in nature and not to be disclosed. Notwithstanding the foregoing, “Confidential Information” does not include: (i) your general knowledge, skills, and experience in the industry and/or gained from employment prior to the Company; or (ii) information now or hereafter in the public domain lawfully.</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You will hold in a fiduciary capacity, for the benefit of the Company, all Confidential Information, which you have or may acquire, learn, obtain or develop during your employment with the Company. Except as specifically excluded in this Agreement, you agree that you will not, during the Term or at any time thereafter, directly or indirectly use, communicate or divulge for your own benefit or for the benefit of another person, corporation, entity or third party any such Confidential Information other than (i) with the express written authorization of the Company; (ii) as required by law or as ordered by a court of competent jurisdiction; or (iii) with respect to matters that are generally known to the public. You hereby make the same commitments hereunder with respect to the Confidential Information of those affiliates, suppliers, customers and others with whom the Company has a business relationship or to whom the Company owes a duty of confidentiality.</w:t>
      </w:r>
    </w:p>
    <w:p>
      <w:pPr>
        <w:spacing w:after="0" w:line="189"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You also agree that you will not publicly express your opinion about the Company or its parent, predecessor or subsidiary companies, joint ventures, or other affiliated entities, or its or their officers, directors, employees, or agents in a manner that tends to portray any such entity or person in an unfavorable light. Notwithstanding, nothing in this Agreement will prevent you from discussing or disclosing information about unlawful acts in the workplace, such as harassment or discrimination or any other conduct that you have reason to believe is unlawful. You are strongly encouraged (or, if you are a supervisor, you are required) to report concerns that may involve a violation of Company policy, including the Respect in the Workplace Policy. The reporting channels available to you to raise any workplace concerns include: your Human Resources representative or any member of the HR team, any member of your management team, the Company’s anonymous Helpline or Web Portal, the General Counsel or any member of the Company’s Legal Department.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20"/>
          </w:cols>
          <w:pgMar w:left="440" w:top="270" w:right="539" w:bottom="1440" w:gutter="0" w:footer="0" w:header="0"/>
        </w:sectPr>
      </w:pPr>
    </w:p>
    <w:bookmarkStart w:id="16" w:name="page17"/>
    <w:bookmarkEnd w:id="16"/>
    <w:p>
      <w:pPr>
        <w:ind w:firstLine="436"/>
        <w:spacing w:after="0" w:line="267" w:lineRule="auto"/>
        <w:tabs>
          <w:tab w:leader="none" w:pos="69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Property</w:t>
      </w:r>
      <w:r>
        <w:rPr>
          <w:rFonts w:ascii="Times New Roman" w:cs="Times New Roman" w:eastAsia="Times New Roman" w:hAnsi="Times New Roman"/>
          <w:sz w:val="17"/>
          <w:szCs w:val="17"/>
          <w:color w:val="auto"/>
        </w:rPr>
        <w:t>. The results and proceeds of your services or work hereunder, including, without limitation, materials, products, projects, inventions, discoveries, designs and all parts thereof, and/or works of authorship or works in progress that you create within the scope of your employment or otherwise resulting from your services during your employment with the Company and/or any of its affiliated entities or your use of any of the Company’s and/or its affiliated entities’ equipment, supplies, facilities, services or Confidential Information (collectively, the “Company Materials”), in addition to any and all copyrights, trademarks, trade secrets, and patents, extensions and renewals thereof under the United States and all other laws related to such Company Materials, will be Company’s sole and exclusive property, free from any adverse claims. All Company Materials will be deemed “works made for hire” as defined in Section 101 of the United States Copyright Act. The Company will be deemed the sole owner throughout the universe of any and all rights of whatsoever nature therein, whether or not now or hereafter known, existing, contemplated, recognized or developed, with the right to use the same in perpetuity in any manner the Company determines in its sole discretion without any further payment to you whatsoever. If, for any reason, any of the Company Materials are deemed not to legally be a work-for-hire and/or there are any rights which do not accrue to the Company hereunder or pursuant to law, then you hereby irrevocably assign and agree to assign any and all of your rights, titles and interests thereto, including, without limitation, any and all copyrights, patents, trade secrets, trademarks and/or other rights of whatsoever nature therein, whether or not now or hereafter known, existing, contemplated, recognized or developed, to the Company, and the Company will have the right to use the same in perpetuity throughout the universe in any manner the Company determines without any further payment to you whatsoever. You will, from time to time, as may be requested and directed by the Company during or subsequent to your employment with the Company (at the Company’s expense, if any), do any and all things which the Company may deem useful or desirable to assist, establish, protect or document the Company’s exclusive ownership of any and all rights in any Company Materials, including, without limitation, the execution of appropriate copyright and/or patent applications or assignments. To the extent you have any rights in the Company Materials or results and proceeds of your services that cannot be assigned in the manner described above, you unconditionally and irrevocably waive the enforcement of such rights. This subparagraph is subject to and will not be deemed to limit, restrict, or constitute any waiver by the Company of any rights of ownership to which the Company may be entitled by operation of law by virtue of the Company being your employer. This paragraph will be construed in accordance with California Labor Code Sections 2870-2872. In accordance with Section 2872, you are hereby notified that this agreement does not require you to assign to the Company any invention that qualifies for exclusion under Section 2870. If there is any doubt as to whether an invention qualifies for exclusion, you bear the burden of providing that it does.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7" w:name="page18"/>
    <w:bookmarkEnd w:id="1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Your obligations to assign property rights under this subparagraph will not, however, apply to any other non-employment based materials, products, projects, inventions, discoveries, or designs and all parts thereof, and/or works of authorship or works in progress (“Non-Company Materials”) for which you can establish and prove all of the following: (i) the Non-Company Materials were developed entirely on your own time; (ii) no Company or Company-affiliated entities’ equipment, supplies, facility, services, or Confidential Information were used in the development of the Non-Company Materials; (iii) the Non-Company Materials do not relate directly to the business of the Company or its affiliates, or to the actual or demonstrably anticipated research or development of the Company or its affiliates; and (iv) the Non-Company Materials do not result from any work performed by you for the Company or its affiliates or other persons employed or engaged by the Company or its affiliates.</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At the Company’s request, or upon termination of your employment (whether voluntary or involuntary), you agree to immediately return to the Company all Company property, including, but not limited to, corporate credit card, computers or computer software, laptop, tablet, cell or smart phones, equipment, keys, identification badges, and any and all documents, programs and/or materials containing Confidential Information (“Company Property”). Additionally, you will return all other records, files, lists, plans, data, reports with non-Confidential Information but otherwise relating to the Company’s business in whatever form (including electronic) they may exist upon the termination of your employment for any reason. When in doubt, you agree to assume that materials or property belong to the Company and/or documents, programs and/or materials contain Confidential Information, and accordingly will be returned to the Company immediately upon termination.</w:t>
      </w:r>
    </w:p>
    <w:p>
      <w:pPr>
        <w:spacing w:after="0" w:line="189" w:lineRule="exact"/>
        <w:rPr>
          <w:sz w:val="20"/>
          <w:szCs w:val="20"/>
          <w:color w:val="auto"/>
        </w:rPr>
      </w:pPr>
    </w:p>
    <w:p>
      <w:pPr>
        <w:ind w:firstLine="436"/>
        <w:spacing w:after="0" w:line="255" w:lineRule="auto"/>
        <w:tabs>
          <w:tab w:leader="none" w:pos="68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You acknowledge and agree that the Company has invested substantial time and effort in assembling its present staff of personnel. Accordingly, during your employment and through and including a period of twelve (12) months following the later of: (i) the termination of your employment with the Company; (ii) the period of any payments made to you by the Company hereunder or under any other contract or personal services agreement; or (iii) the date of entry by a court of competent jurisdiction of a final judgment enforcing this subparagraph, you will not directly or indirectly solicit, induce or attempt to solicit or induce any employee (with the exception of your personal administrative assistant/secretary, if any), exclusive consultants, exclusive contractors or exclusive representatives of the Company (or those of any of its affiliated entities) to leave employment, or otherwise stop or reduce hours working for, contracting with or representing the Company or any of its affiliated entities.</w:t>
      </w:r>
    </w:p>
    <w:p>
      <w:pPr>
        <w:spacing w:after="0" w:line="188"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As set forth in paragraph 2, you have agreed that your employment and services will be exclusive to the Company. Accordingly, during the Term, other than as excepted under this Agreement, you will not directly or indirectly render any services to others, or on your own behalf, unless expressly approved, in writing, by an authorized Company representative, and in a manner wholly consistent with the Company’s policies, including but not limited to integrity and/or conflict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8" w:name="page19"/>
    <w:bookmarkEnd w:id="18"/>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interest policies. Under no circumstances may you at any time during the Term, except as provided in this Agreement, be or become (i) interested or engaged in any manner or capacity, directly or indirectly, either alone or with any person, firm or corporation now existing or hereafter created, in any business which either is or may be competitive with the businesses of the Company and its affiliated entities or is a customer or supplier of the Company; or (ii) directly or indirectly a stockholder or officer, director, agent, advisor, consultant or employee of, or in any manner associated with, or aid or abet, or give information or financial assistance to, any such business.</w:t>
      </w:r>
    </w:p>
    <w:p>
      <w:pPr>
        <w:spacing w:after="0" w:line="183"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The provisions of this subparagraph and paragraph 2 will not be deemed to prohibit: (i) your purchase or ownership, as a passive investment, of not more than one percent (1%) of the outstanding capital stock of any corporation whose stock is publicly traded; (ii) your service on the corporate, civic or charitable boards or committees listed on Exhibit A; or (iii) your engagement in non-compensatory civic and charitable activities in accordance with applicable Company policy and with the consent of the Company, which consent will not be unreasonably withheld or delayed.</w:t>
      </w:r>
    </w:p>
    <w:p>
      <w:pPr>
        <w:spacing w:after="0" w:line="180" w:lineRule="exact"/>
        <w:rPr>
          <w:sz w:val="20"/>
          <w:szCs w:val="20"/>
          <w:color w:val="auto"/>
        </w:rPr>
      </w:pPr>
    </w:p>
    <w:p>
      <w:pPr>
        <w:ind w:left="4" w:firstLine="436"/>
        <w:spacing w:after="0" w:line="255"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Negotiation</w:t>
      </w:r>
      <w:r>
        <w:rPr>
          <w:rFonts w:ascii="Times New Roman" w:cs="Times New Roman" w:eastAsia="Times New Roman" w:hAnsi="Times New Roman"/>
          <w:sz w:val="18"/>
          <w:szCs w:val="18"/>
          <w:color w:val="auto"/>
        </w:rPr>
        <w:t>. During the Term, you will negotiate exclusively with the Company in good faith with respect to the terms and conditions for your rendering services on behalf of the Company subsequent to the Term. You agree not to negotiate, contract, or agree to contract with any other person, firm or corporation during the Term with respect to the terms and conditions for your rendering services to any such other person, firm or corporation. Notwithstanding the foregoing, if the parties have not commenced negotiations regarding your continued services by the date six</w:t>
      </w:r>
    </w:p>
    <w:p>
      <w:pPr>
        <w:spacing w:after="0" w:line="2" w:lineRule="exact"/>
        <w:rPr>
          <w:rFonts w:ascii="Times New Roman" w:cs="Times New Roman" w:eastAsia="Times New Roman" w:hAnsi="Times New Roman"/>
          <w:sz w:val="18"/>
          <w:szCs w:val="18"/>
          <w:color w:val="auto"/>
        </w:rPr>
      </w:pPr>
    </w:p>
    <w:p>
      <w:pPr>
        <w:ind w:left="4" w:right="200" w:hanging="4"/>
        <w:spacing w:after="0" w:line="265" w:lineRule="auto"/>
        <w:tabs>
          <w:tab w:leader="none" w:pos="259"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months prior to the expiration of this Agreement or have not reached an agreement under which you will continue to provide services to the Company subsequent to the Term by the date four (4) months prior to the expiration of this Agreement (each, the “Deadline”), you will be free to negotiate with third parties and not be in breach of this provision, so long as you have reminded the Company of this obligation in writing at least two</w:t>
      </w:r>
    </w:p>
    <w:p>
      <w:pPr>
        <w:ind w:left="264" w:hanging="264"/>
        <w:spacing w:after="0"/>
        <w:tabs>
          <w:tab w:leader="none" w:pos="26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weeks, but no more than four (4) weeks, prior to the Deadline.</w:t>
      </w:r>
    </w:p>
    <w:p>
      <w:pPr>
        <w:spacing w:after="0" w:line="206"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In the event your employment is terminated for Cause or you resign from your employment prior to the expiration of the Term without Good Reason or without the Company’s prior written consent, you will not for a period of one (1) year following the date of such termination or resignation, directly or indirectly, engage in any activities on behalf of, or be financially interested in, a Competitive Business (as an agent, consultant, director, employee, independent contractor, officer, owner partner, member, principal, service provider, or otherwise). This restriction will apply in any geographic area in the world in which the Company carries out business activities. You agree that not specifying a more limited geographic area is reasonable in light of the broad geographic scope of the activities carried out by the Company in the world.</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4"/>
          </w:cols>
          <w:pgMar w:left="436" w:top="270" w:right="479" w:bottom="1440" w:gutter="0" w:footer="0" w:header="0"/>
        </w:sectPr>
      </w:pPr>
    </w:p>
    <w:bookmarkStart w:id="19" w:name="page20"/>
    <w:bookmarkEnd w:id="19"/>
    <w:p>
      <w:pPr>
        <w:ind w:left="4" w:right="60" w:firstLine="436"/>
        <w:spacing w:after="0" w:line="256"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General</w:t>
      </w:r>
      <w:r>
        <w:rPr>
          <w:rFonts w:ascii="Times New Roman" w:cs="Times New Roman" w:eastAsia="Times New Roman" w:hAnsi="Times New Roman"/>
          <w:sz w:val="18"/>
          <w:szCs w:val="18"/>
          <w:color w:val="auto"/>
        </w:rPr>
        <w:t>. All covenants in this paragraph 6 will survive expiration and/or termination of this Agreement, as well as termination of your employment, in accordance with their terms. You have carefully considered the nature and extent of the restrictions imposed on you pursuant to this paragraph 6, and hereby acknowledge and agree that, in light of your position with Company, employment and/or consideration afforded by the Company, the nature of your services to be provided to Company and the competitive nature of the Company’s businesses, the foregoing restrictions are reasonable, are designed to eliminate competition which would be unfair to the Company, are fully required to protect the legitimate interests of the Company, and do not confer a benefit upon the Company disproportionate to any detriment to you.</w:t>
      </w:r>
    </w:p>
    <w:p>
      <w:pPr>
        <w:spacing w:after="0" w:line="187"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5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Enforce</w:t>
      </w:r>
      <w:r>
        <w:rPr>
          <w:rFonts w:ascii="Times New Roman" w:cs="Times New Roman" w:eastAsia="Times New Roman" w:hAnsi="Times New Roman"/>
          <w:sz w:val="18"/>
          <w:szCs w:val="18"/>
          <w:color w:val="auto"/>
        </w:rPr>
        <w:t>. Notwithstanding anything to the contrary in this Agreement or otherwise, you hereby acknowledge and agree that, from and after the Separation Effective Date, NBCUniversal Media, LLC will continue to have the right to enforce your Confidentiality and Company Property obligations under the paragraphs 6(c) and (d) of the Prior Agreement, to the extent such obligations relate to the business, property, employees or other service providers of NBCUniversal Media, LLC, Comcast or any of their respective subsidiaries or affiliates (other than, for the avoidance of doubt, Versant), including the right to obtain injunctive relief, in accordance with the terms of the Agreement).</w:t>
      </w:r>
    </w:p>
    <w:p>
      <w:pPr>
        <w:spacing w:after="0" w:line="2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Services Unique</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You recognize that your services hereunder are of a special, unique, unusual, extraordinary and intellectual character, giving them a peculiar value, the loss of which the Company cannot be reasonably or adequately compensated for in damages. In the event of an actual, attempted or threatened breach of this Agreement by you or derogation of your obligations hereunder (including, but without limitation, with respect to the provisions hereof relating to your covenants and/or exclusivity of services), the Company will, in addition to all other remedies available to it, be entitled to seek and obtain equitable relief (without the posting of any bond or security) by way of injunction and any other legal or equitable remedies. This provision will not be construed as a waiver of the rights which the Company may have for damages under this Agreement or otherwise, and all of the Company’s rights and remedies will be unrestricted.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20" w:name="page21"/>
    <w:bookmarkEnd w:id="20"/>
    <w:p>
      <w:pPr>
        <w:ind w:left="184" w:hanging="184"/>
        <w:spacing w:after="0"/>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hereunder will be in writing and will be given by hand delivery to the other party, delivery service, messenger service, postal mail, or electronic mail. Non-electronic mail will be addressed as follows:</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Employee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 your address on record with the Company.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Versant Media, LLC</w:t>
      </w:r>
    </w:p>
    <w:p>
      <w:pPr>
        <w:ind w:left="984"/>
        <w:spacing w:after="0" w:line="196" w:lineRule="auto"/>
        <w:rPr>
          <w:sz w:val="20"/>
          <w:szCs w:val="20"/>
          <w:color w:val="auto"/>
        </w:rPr>
      </w:pPr>
      <w:r>
        <w:rPr>
          <w:rFonts w:ascii="Times New Roman" w:cs="Times New Roman" w:eastAsia="Times New Roman" w:hAnsi="Times New Roman"/>
          <w:sz w:val="18"/>
          <w:szCs w:val="18"/>
          <w:color w:val="auto"/>
        </w:rPr>
        <w:t>229 W.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Chief Human Resources Officer</w:t>
      </w:r>
    </w:p>
    <w:p>
      <w:pPr>
        <w:spacing w:after="0" w:line="207"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will have furnished to the other in writing. When a notice is given by mail or by electronic mail transmission, the date of mailing or electronic mail transmission will be deemed effective as of the date sent.</w:t>
      </w:r>
    </w:p>
    <w:p>
      <w:pPr>
        <w:spacing w:after="0" w:line="266" w:lineRule="exact"/>
        <w:rPr>
          <w:sz w:val="20"/>
          <w:szCs w:val="20"/>
          <w:color w:val="auto"/>
        </w:rPr>
      </w:pPr>
    </w:p>
    <w:p>
      <w:pPr>
        <w:ind w:left="184" w:hanging="184"/>
        <w:spacing w:after="0"/>
        <w:tabs>
          <w:tab w:leader="none" w:pos="18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Company will have the right to assign this Agreement to any affiliated entity or successor of the Company, or to a party controlling or acquiring all or part of the Company, controlled by the Company or under common control with the Company, so long as this Agreement is assumed by the affiliated entity, successor or party, in which case the Company will be relieved of any obligations hereunder and all such references to the Company herein will automatically be deemed to refer to such assignee or successor. You acknowledge and agree that all of your covenants and obligations to the Company, as well as the rights of the Company hereunder, will run in favor of and will be enforceable by the Company, its affiliated entities, successors, assignees and/or controlling or acquiring parties. You are not permitted to assign this Agreement or any of your rights (except the right to receive payment) or responsibilities hereunder.</w:t>
      </w:r>
    </w:p>
    <w:p>
      <w:pPr>
        <w:spacing w:after="0" w:line="293" w:lineRule="exact"/>
        <w:rPr>
          <w:sz w:val="20"/>
          <w:szCs w:val="20"/>
          <w:color w:val="auto"/>
        </w:rPr>
      </w:pPr>
    </w:p>
    <w:p>
      <w:pPr>
        <w:ind w:left="264" w:hanging="264"/>
        <w:spacing w:after="0"/>
        <w:tabs>
          <w:tab w:leader="none" w:pos="26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Company Policies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You will abide by and be subject to all Company policies, as may be amended from time to time, that are applicable to similarly classified employees generally, including but not limited to all policies relating to standards of conduct, integrity, equal employment opportunity, discrimination, retaliation or harassment, conflict of interest insider trading, and compliance with broadcasting rules and regulations when applicable, including the Code of Conduct.</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4"/>
          </w:cols>
          <w:pgMar w:left="436" w:top="266" w:right="479" w:bottom="1440" w:gutter="0" w:footer="0" w:header="0"/>
        </w:sectPr>
      </w:pPr>
    </w:p>
    <w:bookmarkStart w:id="21" w:name="page22"/>
    <w:bookmarkEnd w:id="21"/>
    <w:p>
      <w:pPr>
        <w:ind w:left="264" w:hanging="264"/>
        <w:spacing w:after="0"/>
        <w:tabs>
          <w:tab w:leader="none" w:pos="2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Alternative Dispute Resolution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You acknowledge and agree that you will abide and be bound by the Company’s alternative dispute resolution program or any applicable successor ADR program (the “ADR Program”), which includes an obligation to submit any Claims (as such term is defined in such program) to final and binding arbitration. The ADR program may be amended by the Company from time to time. A copy of the ADR Program can be accessed through the Company’s web portal. This paragraph will survive termination and/or expiration of the Agreement and of your employment.</w:t>
      </w:r>
    </w:p>
    <w:p>
      <w:pPr>
        <w:spacing w:after="0" w:line="284" w:lineRule="exact"/>
        <w:rPr>
          <w:sz w:val="20"/>
          <w:szCs w:val="20"/>
          <w:color w:val="auto"/>
        </w:rPr>
      </w:pPr>
    </w:p>
    <w:p>
      <w:pPr>
        <w:ind w:left="264" w:hanging="264"/>
        <w:spacing w:after="0"/>
        <w:tabs>
          <w:tab w:leader="none" w:pos="2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Continuing Effectiveness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left="4" w:right="20"/>
        <w:spacing w:after="0" w:line="266" w:lineRule="auto"/>
        <w:rPr>
          <w:sz w:val="20"/>
          <w:szCs w:val="20"/>
          <w:color w:val="auto"/>
        </w:rPr>
      </w:pPr>
      <w:r>
        <w:rPr>
          <w:rFonts w:ascii="Times New Roman" w:cs="Times New Roman" w:eastAsia="Times New Roman" w:hAnsi="Times New Roman"/>
          <w:sz w:val="18"/>
          <w:szCs w:val="18"/>
          <w:color w:val="auto"/>
        </w:rPr>
        <w:t>The original and continuing effectiveness of this Agreement and your employment is contingent upon your remaining at all times, under applicable law, eligible to perform the services contracted for hereunder in the United States and/or any other location in which you may be required to perform services pursuant to this Agreement.</w:t>
      </w:r>
    </w:p>
    <w:p>
      <w:pPr>
        <w:spacing w:after="0" w:line="280" w:lineRule="exact"/>
        <w:rPr>
          <w:sz w:val="20"/>
          <w:szCs w:val="20"/>
          <w:color w:val="auto"/>
        </w:rPr>
      </w:pPr>
    </w:p>
    <w:p>
      <w:pPr>
        <w:ind w:left="264" w:hanging="264"/>
        <w:spacing w:after="0"/>
        <w:tabs>
          <w:tab w:leader="none" w:pos="26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121"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to the fullest extent permitted by law, defend, indemnify, and hold you harmless from any and all loss, damages, fees, judgments, fines, settlement amounts, charges and expenses incurred or sustained by you in connection with any allegations, complaints, actions, suits or proceedings in which you are a party or may be made a party by reason of any acts or omissions made by you in good faith in the course and scope of your employment for the Company or of any subsidiary or other affiliated entity of the Company or your being an officer, director, or employee of the Company or of any subsidiary or other affiliated entity of the Company (collectively, a “Claim”). In addition, the terms and conditions set forth in Article 3 of the Indemnification Agreement between you and the Company will apply with respect to any Claims in your capacity as an officer of the Company.</w:t>
      </w:r>
    </w:p>
    <w:p>
      <w:pPr>
        <w:spacing w:after="0" w:line="188"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agree to reasonably cooperate with the Company, both during and subsequent to the Term, in the defense of any threatened or pending legal action related to your employment or in which you may have relevant information; provided that you will not be required to provide assistance in any litigation or potential litigation in which you are an adverse party or that is related to your Whistleblower Activity or other Protected Rights. The Company will reimburse you for any reasonable and necessary out-of-pocket expenses (excluding lost or foregone wages or compensation) incurred by you in connection with such cooperation within a reasonable period of time not to exceed forty-five (45) days of your producing receipts of such expenses incurred satisfactory to the Company.</w:t>
      </w:r>
    </w:p>
    <w:p>
      <w:pPr>
        <w:spacing w:after="0" w:line="187"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89"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this paragraph 13 are non-exclusive and will be in addition to any other rights to which you may be entitled under this or any other agreement (including any indemnification agreements) or under any organizational document or under any insurance policy, as a matter of law, in equity or otherwise. The terms of this paragraph 13 will survive the expiration or termination of your employment or of this Agreement regardless of the reason therefor.</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22" w:name="page23"/>
    <w:bookmarkEnd w:id="22"/>
    <w:p>
      <w:pPr>
        <w:ind w:left="264" w:hanging="264"/>
        <w:spacing w:after="0"/>
        <w:tabs>
          <w:tab w:leader="none" w:pos="26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Repayment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any amounts payable to you during the Term will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280" w:lineRule="exact"/>
        <w:rPr>
          <w:sz w:val="20"/>
          <w:szCs w:val="20"/>
          <w:color w:val="auto"/>
        </w:rPr>
      </w:pPr>
    </w:p>
    <w:p>
      <w:pPr>
        <w:ind w:left="264" w:hanging="264"/>
        <w:spacing w:after="0"/>
        <w:tabs>
          <w:tab w:leader="none" w:pos="26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you and a duly authorized officer of the Company. A waiver of any conditions or provisions of this Agreement in a given instance will not be deemed a waiver of such conditions or provisions at any other time.</w:t>
      </w:r>
    </w:p>
    <w:p>
      <w:pPr>
        <w:spacing w:after="0" w:line="280" w:lineRule="exact"/>
        <w:rPr>
          <w:sz w:val="20"/>
          <w:szCs w:val="20"/>
          <w:color w:val="auto"/>
        </w:rPr>
      </w:pPr>
    </w:p>
    <w:p>
      <w:pPr>
        <w:ind w:left="264" w:hanging="264"/>
        <w:spacing w:after="0"/>
        <w:tabs>
          <w:tab w:leader="none" w:pos="264"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Reformation and Validity</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any tribunal of competent jurisdiction finds that any provision(s) of this Agreement is/are unenforceable, such tribunal will reform any such provision(s) so that such provision(s) may be enforced to the maximum extent possible. If any provision of this Agreement cannot be reformed so as to be enforceable, such provision will be of no effect. The invalidity or unenforceability of any provisions of this Agreement will not affect the validity or enforceability of any other provisions of this Agreement, which will remain in full force and effect.</w:t>
      </w:r>
    </w:p>
    <w:p>
      <w:pPr>
        <w:spacing w:after="0" w:line="284" w:lineRule="exact"/>
        <w:rPr>
          <w:sz w:val="20"/>
          <w:szCs w:val="20"/>
          <w:color w:val="auto"/>
        </w:rPr>
      </w:pPr>
    </w:p>
    <w:p>
      <w:pPr>
        <w:ind w:left="264" w:hanging="264"/>
        <w:spacing w:after="0"/>
        <w:tabs>
          <w:tab w:leader="none" w:pos="26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Interpretation</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The validity, interpretation, construction, and performance of this Agreement will be governed by the laws of the State of New York without regard to conflicts of law principles, except as specifically provided herein.</w:t>
      </w:r>
    </w:p>
    <w:p>
      <w:pPr>
        <w:spacing w:after="0" w:line="94"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4"/>
          </w:cols>
          <w:pgMar w:left="436" w:top="266" w:right="579" w:bottom="1440" w:gutter="0" w:footer="0" w:header="0"/>
        </w:sectPr>
      </w:pPr>
    </w:p>
    <w:bookmarkStart w:id="23" w:name="page24"/>
    <w:bookmarkEnd w:id="23"/>
    <w:p>
      <w:pPr>
        <w:ind w:left="264" w:hanging="264"/>
        <w:spacing w:after="0"/>
        <w:tabs>
          <w:tab w:leader="none" w:pos="26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Entire Agreement</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Agreement, and the agreements and instruments contemplated herein, sets forth the entire understanding between you and the Company with respect to the subject matter hereof; all oral or written agreements or representations, express or implied, with respect to the subject matter of this Agreement, are set forth in this Agreement, and the agreements and instruments contemplated herein. Notwithstanding, nothing herein will prevent the Company from terminating or amending any agreement or instruments contemplated here in accordance with their terms. All prior employment agreements, understandings, and obligations (whether written, oral, express, or implied) between you and the Company, if any, are terminated as of the commencement date of the Term and are superseded by this Agreement, except for any agreements covering any prior grants of equity or prior earned compensation, which will survive in accordance with their terms. This Agreement may be executed by original, electronic or facsimile signatures and in counterparts, each of which will be deemed an original but all of which together will constitute a single instrument.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Versant Media, LLC</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Brian Dorfler</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Date: Oct 30, 2025</w:t>
            </w:r>
          </w:p>
        </w:tc>
      </w:tr>
      <w:tr>
        <w:trPr>
          <w:trHeight w:val="191"/>
        </w:trPr>
        <w:tc>
          <w:tcPr>
            <w:tcW w:w="32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Brian Dorfler</w:t>
            </w:r>
          </w:p>
        </w:tc>
        <w:tc>
          <w:tcPr>
            <w:tcW w:w="214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2140" w:type="dxa"/>
            <w:vAlign w:val="bottom"/>
          </w:tcPr>
          <w:p>
            <w:pPr>
              <w:spacing w:after="0"/>
              <w:rPr>
                <w:sz w:val="18"/>
                <w:szCs w:val="18"/>
                <w:color w:val="auto"/>
              </w:rPr>
            </w:pPr>
          </w:p>
        </w:tc>
      </w:tr>
      <w:tr>
        <w:trPr>
          <w:trHeight w:val="216"/>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to paragraph 1(c):</w:t>
            </w:r>
          </w:p>
        </w:tc>
        <w:tc>
          <w:tcPr>
            <w:tcW w:w="2140" w:type="dxa"/>
            <w:vAlign w:val="bottom"/>
          </w:tcPr>
          <w:p>
            <w:pPr>
              <w:spacing w:after="0"/>
              <w:rPr>
                <w:sz w:val="18"/>
                <w:szCs w:val="18"/>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NBCUniversal Media, LLC</w:t>
            </w:r>
          </w:p>
        </w:tc>
        <w:tc>
          <w:tcPr>
            <w:tcW w:w="214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Vicki Williams</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Date: Oct 30, 2025</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AND AGREED:</w:t>
            </w:r>
          </w:p>
        </w:tc>
        <w:tc>
          <w:tcPr>
            <w:tcW w:w="2140" w:type="dxa"/>
            <w:vAlign w:val="bottom"/>
          </w:tcPr>
          <w:p>
            <w:pPr>
              <w:spacing w:after="0"/>
              <w:rPr>
                <w:sz w:val="19"/>
                <w:szCs w:val="19"/>
                <w:color w:val="auto"/>
              </w:rPr>
            </w:pPr>
          </w:p>
        </w:tc>
      </w:tr>
      <w:tr>
        <w:trPr>
          <w:trHeight w:val="400"/>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Mark Lazarus</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Date: Oct 31, 2025</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2140" w:type="dxa"/>
            <w:vAlign w:val="bottom"/>
          </w:tcPr>
          <w:p>
            <w:pPr>
              <w:spacing w:after="0"/>
              <w:rPr>
                <w:sz w:val="19"/>
                <w:szCs w:val="19"/>
                <w:color w:val="auto"/>
              </w:rPr>
            </w:pPr>
          </w:p>
        </w:tc>
      </w:tr>
      <w:tr>
        <w:trPr>
          <w:trHeight w:val="346"/>
        </w:trPr>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0964"/>
          </w:cols>
          <w:pgMar w:left="436" w:top="266" w:right="499" w:bottom="1440" w:gutter="0" w:footer="0" w:header="0"/>
        </w:sectPr>
      </w:pPr>
    </w:p>
    <w:bookmarkStart w:id="24" w:name="page25"/>
    <w:bookmarkEnd w:id="24"/>
    <w:p>
      <w:pPr>
        <w:jc w:val="right"/>
        <w:ind w:right="4159"/>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Hilton Grand Vacations, Inc.</w:t>
      </w:r>
    </w:p>
    <w:p>
      <w:pPr>
        <w:spacing w:after="0" w:line="158"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19"/>
          </w:cols>
          <w:pgMar w:left="440" w:top="270" w:right="1440"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is hereby entered into as of the latest written date on the signature page hereto by and between Versant Media, LLC, a Pennsylvania limited liability company, (together with its parents, subsidiaries and affiliates, the “Company” or “Versant”) and Anand Kini (“you” or “your,” as applicable).</w:t>
      </w:r>
    </w:p>
    <w:p>
      <w:pPr>
        <w:spacing w:after="0" w:line="172" w:lineRule="exact"/>
        <w:rPr>
          <w:sz w:val="20"/>
          <w:szCs w:val="20"/>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60" w:firstLine="436"/>
        <w:spacing w:after="0" w:line="272" w:lineRule="auto"/>
        <w:tabs>
          <w:tab w:leader="none" w:pos="689"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 of this Agreement, and each party’s rights and obligations hereunder, will commence upon the completion of the spin-off distribution of Versant’s business into a separate, publicly traded company called Versant Media Group, Inc. (the “Separation”), and the date of such separation (the “Separation Effective Date”), and will continue, subject to suspension, extension, termination, or expiration as hereinafter provided, for a period of five</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(5) consecutive years thereafter (“Term”).</w:t>
      </w:r>
    </w:p>
    <w:p>
      <w:pPr>
        <w:spacing w:after="0" w:line="206" w:lineRule="exact"/>
        <w:rPr>
          <w:rFonts w:ascii="Times New Roman" w:cs="Times New Roman" w:eastAsia="Times New Roman" w:hAnsi="Times New Roman"/>
          <w:sz w:val="17"/>
          <w:szCs w:val="17"/>
          <w:color w:val="auto"/>
        </w:rPr>
      </w:pPr>
    </w:p>
    <w:p>
      <w:pPr>
        <w:ind w:left="4" w:right="40" w:firstLine="436"/>
        <w:spacing w:after="0" w:line="254" w:lineRule="auto"/>
        <w:tabs>
          <w:tab w:leader="none" w:pos="69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automatically terminate at the end of the Term without notice, unless the parties agree otherwise in writing. You agree that the Company has no obligation to extend the Term or to continue your employment after expiration of the Term, and you expressly acknowledge that no promises or understandings to the contrary have been made or reached. You also agree that, should the Company choose to continue your employment for any period of time following the expiration of the Term, absent a written agreement to the contrary signed by both parties, your employment with the Company will be “at will,” which means that, during any time following the expiration of the Term, the Company may terminate your employment, with or without reason and with or without notice, and you may resign at any time, with or without reason and with or without notice. In the event that your employment continues at will, it is understood and agreed that paragraphs 5(f)-(h), 6, and 10-14 of this Agreement will remain in effect in accordance with their terms.</w:t>
      </w:r>
    </w:p>
    <w:p>
      <w:pPr>
        <w:spacing w:after="0" w:line="191" w:lineRule="exact"/>
        <w:rPr>
          <w:rFonts w:ascii="Times New Roman" w:cs="Times New Roman" w:eastAsia="Times New Roman" w:hAnsi="Times New Roman"/>
          <w:sz w:val="18"/>
          <w:szCs w:val="18"/>
          <w:color w:val="auto"/>
        </w:rPr>
      </w:pPr>
    </w:p>
    <w:p>
      <w:pPr>
        <w:ind w:left="4" w:right="680" w:firstLine="436"/>
        <w:spacing w:after="0" w:line="282" w:lineRule="auto"/>
        <w:tabs>
          <w:tab w:leader="none" w:pos="689"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commencement of the Term, this Agreement will supersede the agreement, dated January 31, 2023, by and between you and NBCUniversal Media, LLC (the “Prior Agreement”), which will be null and void except for those provisions that survive expiration.</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You agree to be employed by and perform services for the Company and the Company agrees to employ you under the terms and conditions of this Agreement. You agree to devote all of your business time, attention and skills exclusively to the performance of all your duties, and during the Term, you will provide your services exclusively to the Company. You will serve hereunder as Chief Operating Officer/Chief Financial Officer, Versant, and you will perform those services that are assigned to you and are commensurate</w:t>
      </w:r>
    </w:p>
    <w:p>
      <w:pPr>
        <w:sectPr>
          <w:pgSz w:w="11900" w:h="16838" w:orient="portrait"/>
          <w:cols w:equalWidth="0" w:num="1">
            <w:col w:w="11024"/>
          </w:cols>
          <w:pgMar w:left="436" w:top="117" w:right="439" w:bottom="1440" w:gutter="0" w:footer="0" w:header="0"/>
        </w:sectPr>
      </w:pPr>
    </w:p>
    <w:bookmarkStart w:id="26" w:name="page27"/>
    <w:bookmarkEnd w:id="26"/>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your position. You agree that during your employment, you will perform such duties pursuant to the highest standards of competence, skill, integrity, efficiency, and professionalism, and subject to the Company’s reasonable direction and control. You will not be required, without your consent, to perform your primary duties under this Agreement in a location other than in the New York/New Jersey metropolitan area, except for required travel for the Company’s business.</w:t>
      </w:r>
    </w:p>
    <w:p>
      <w:pPr>
        <w:spacing w:after="0" w:line="176" w:lineRule="exact"/>
        <w:rPr>
          <w:sz w:val="20"/>
          <w:szCs w:val="20"/>
          <w:color w:val="auto"/>
        </w:rPr>
      </w:pPr>
    </w:p>
    <w:p>
      <w:pPr>
        <w:ind w:left="184" w:hanging="184"/>
        <w:spacing w:after="0"/>
        <w:tabs>
          <w:tab w:leader="none" w:pos="1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all services rendered commencing on the Separation Effective Date, the Company will pay you base salary at an annual rate of Two Million Two Hundred Sixty-Six Thousand and 00/100 Dollars ($2,266,000.00) (“Base Salary”), less normal payroll deductions and withholdings required by law, and payable in accordance with the Company’s applicable payroll practices. Commencing in 2027, the Company agrees to review your performance and Base Salary through the normal merit review process provided such process will not result in a decrease in Base Salary. Any subsequent increase(s) in Base Salary will become your Base Salary for the purposes of this paragraph and will commence on the date determined by the Company.</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 Bonus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10"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be eligible to participate in the Company’s annual bonus plan, or any plan adopted in replacement thereof (“Bonus Plan”), as determined by the Company and in accordance with the Bonus Plan’s terms and conditions. Your target for each year in which you are eligible to participate in the Bonus Plan will be two hundred percent (200%) of Base Salary (“Bonus Plan Target”), and your award under the Bonus Plan will be based upon a measurement of performance against objectives in accordance with the Bonus Plan, as may be amended from time to time. You understand that Bonus Plan awards are not guaranteed compensation and are subject to the sole discretion of the Versant Board of Directors (or its Compensation Committee) (together, the “Board”). Any award under the Bonus Plan will be payable no later than March 15 of the calendar year following the calendar year to which the award relates and at the same time that similarly-situated executives receive Bonus Plan awards (the “Bonus Payment Date”) provided that, on the date of payment, you have satisfied any requirements of the Bonus Plan and are not in breach of this Agreement.</w:t>
      </w:r>
    </w:p>
    <w:p>
      <w:pPr>
        <w:spacing w:after="0" w:line="191" w:lineRule="exact"/>
        <w:rPr>
          <w:rFonts w:ascii="Times New Roman" w:cs="Times New Roman" w:eastAsia="Times New Roman" w:hAnsi="Times New Roman"/>
          <w:sz w:val="18"/>
          <w:szCs w:val="18"/>
          <w:color w:val="auto"/>
        </w:rPr>
      </w:pPr>
    </w:p>
    <w:p>
      <w:pPr>
        <w:ind w:left="4" w:right="160" w:firstLine="436"/>
        <w:spacing w:after="0" w:line="281" w:lineRule="auto"/>
        <w:tabs>
          <w:tab w:leader="none" w:pos="689"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Long-Term Incentive</w:t>
      </w:r>
      <w:r>
        <w:rPr>
          <w:rFonts w:ascii="Times New Roman" w:cs="Times New Roman" w:eastAsia="Times New Roman" w:hAnsi="Times New Roman"/>
          <w:sz w:val="17"/>
          <w:szCs w:val="17"/>
          <w:color w:val="auto"/>
        </w:rPr>
        <w:t>. You will be eligible to participate in and receive long-term incentive awards under the Versant Media Group, Inc. Omnibus Equity Incentive Plan (as amended from time to time, and together with any successor plan thereto, the “LTI Plan”), as determined by the Company and in accordance with the terms and conditions of the LTI Plan (such awards, “LTI Award(s)”). The annual target grant-date fair value of your LTI Award will be Six Million Four Hundred Thousand and 00/100 Dollars ($6,400,000.00). Notwithstanding the generality of the foregoing, the</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70" w:right="459" w:bottom="1440" w:gutter="0" w:footer="0" w:header="0"/>
        </w:sectPr>
      </w:pPr>
    </w:p>
    <w:bookmarkStart w:id="27" w:name="page28"/>
    <w:bookmarkEnd w:id="27"/>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Board will determine in its sole discretion whether to grant an LTI Award to you, and if the Board so determines, the amount of and terms and conditions applicable to any LTI Award will be governed in all respects by the terms and conditions of the LTI Plan and the applicable award agreement. The Company reserves the right to amend, modify, and/or terminate the LTI Plan at any time.</w:t>
      </w:r>
    </w:p>
    <w:p>
      <w:pPr>
        <w:spacing w:after="0" w:line="176" w:lineRule="exact"/>
        <w:rPr>
          <w:sz w:val="20"/>
          <w:szCs w:val="20"/>
          <w:color w:val="auto"/>
        </w:rPr>
      </w:pPr>
    </w:p>
    <w:p>
      <w:pPr>
        <w:ind w:left="4" w:right="40" w:firstLine="436"/>
        <w:spacing w:after="0" w:line="258" w:lineRule="auto"/>
        <w:tabs>
          <w:tab w:leader="none" w:pos="69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Founders Grant</w:t>
      </w:r>
      <w:r>
        <w:rPr>
          <w:rFonts w:ascii="Times New Roman" w:cs="Times New Roman" w:eastAsia="Times New Roman" w:hAnsi="Times New Roman"/>
          <w:sz w:val="18"/>
          <w:szCs w:val="18"/>
          <w:color w:val="auto"/>
        </w:rPr>
        <w:t>. Subject to the approval of the Board, you will be awarded a long-term incentive grant having a fair market value on the day of grant of Seven Million Five Hundred Thousand and 00/100 Dollars ($7,500,000.00) as soon as practicable following the completion of the Separation (the “Founders Grant”). The Founders Grant may be made in the form of restricted stock, performance stock units, stock options, restricted stock units, long-term cash, or a combination thereof as determined in the sole discretion of the Board, and will be subject to the terms and conditions, including but not limited to a vesting schedule of the applicable Company long-term incentive plan.</w:t>
      </w:r>
    </w:p>
    <w:p>
      <w:pPr>
        <w:spacing w:after="0" w:line="183" w:lineRule="exact"/>
        <w:rPr>
          <w:rFonts w:ascii="Times New Roman" w:cs="Times New Roman" w:eastAsia="Times New Roman" w:hAnsi="Times New Roman"/>
          <w:sz w:val="18"/>
          <w:szCs w:val="18"/>
          <w:color w:val="auto"/>
        </w:rPr>
      </w:pPr>
    </w:p>
    <w:p>
      <w:pPr>
        <w:ind w:left="4" w:right="740" w:firstLine="436"/>
        <w:spacing w:after="0" w:line="282" w:lineRule="auto"/>
        <w:tabs>
          <w:tab w:leader="none" w:pos="689"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Withholdings/Deductions</w:t>
      </w:r>
      <w:r>
        <w:rPr>
          <w:rFonts w:ascii="Times New Roman" w:cs="Times New Roman" w:eastAsia="Times New Roman" w:hAnsi="Times New Roman"/>
          <w:sz w:val="18"/>
          <w:szCs w:val="18"/>
          <w:color w:val="auto"/>
        </w:rPr>
        <w:t>. All payments under the Agreement are subject to applicable tax withholdings and other legally required or authorized deductions.</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Benefits and Business Expenses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You will be eligible to participate in the benefit plans and programs generally available to similarly situated executive employees of the Company as in effect from time to time, so long as the Company provides such plans and programs and subject to their terms and conditions and applicable law.</w:t>
      </w:r>
    </w:p>
    <w:p>
      <w:pPr>
        <w:spacing w:after="0" w:line="175"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During your employment, the Company will reimburse you for your reasonable, necessary, and approved business expenses in accordance with its then-prevailing policy and procedures. Any reimbursement pursuant to this paragraph (i) will be made not later than the calendar end of the year immediately following the calendar year in which such expense is incurred; (ii) will not be subject to liquidation or exchange for another benefit, and (iii) the amount of expenses eligible for reimbursement during any calendar year will not affect the expenses eligible for reimbursement in any other calendar year.</w:t>
      </w:r>
    </w:p>
    <w:p>
      <w:pPr>
        <w:spacing w:after="0" w:line="183"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8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Travel</w:t>
      </w:r>
      <w:r>
        <w:rPr>
          <w:rFonts w:ascii="Times New Roman" w:cs="Times New Roman" w:eastAsia="Times New Roman" w:hAnsi="Times New Roman"/>
          <w:sz w:val="18"/>
          <w:szCs w:val="18"/>
          <w:color w:val="auto"/>
        </w:rPr>
        <w:t>. You will be entitled to travel and hotel accommodations in connection with all travel on behalf of the Company in accordance with the then-current Company travel policy.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28" w:name="page29"/>
    <w:bookmarkEnd w:id="28"/>
    <w:p>
      <w:pPr>
        <w:ind w:left="184" w:hanging="184"/>
        <w:spacing w:after="0"/>
        <w:tabs>
          <w:tab w:leader="none" w:pos="1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Rights and Obligations Upon Termination and Other Events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89"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The Company may terminate your employment and this Agreement for Cause upon written notice following its determination that you have committed any of the following acts (“Termination for Cause”):</w:t>
      </w:r>
    </w:p>
    <w:p>
      <w:pPr>
        <w:spacing w:after="0" w:line="53"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9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a guilty/no contest plea to a felony or a crime involving moral turpitude, the nature and circumstances of which are determined in the Company’s discretion to disqualify you from continued employment with Company;</w:t>
      </w:r>
    </w:p>
    <w:p>
      <w:pPr>
        <w:spacing w:after="0" w:line="161"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w:t>
      </w:r>
    </w:p>
    <w:p>
      <w:pPr>
        <w:spacing w:after="0" w:line="22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embezzlement or other misappropriation of funds;</w:t>
      </w:r>
    </w:p>
    <w:p>
      <w:pPr>
        <w:spacing w:after="0" w:line="22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 with respect to the Company;</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and/or repeated failure to perform duties;</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in the performance of duties;</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90"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any act or involvement in any situation, or occurrence, whether before or during the Term, or which brings (or if made public, would reasonably be expected to bring) you or the Company into widespread public disrepute, contempt, scandal or ridicule, or which justifiably shocks, insults or offends a significant portion of the community, or your or the Company being subject to publicity for any such conduct or involvement in such conduct;</w:t>
      </w:r>
    </w:p>
    <w:p>
      <w:pPr>
        <w:spacing w:after="0" w:line="179"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the Employee Handbook, the Code of Conduct or any other written Company policy; or</w:t>
      </w:r>
    </w:p>
    <w:p>
      <w:pPr>
        <w:spacing w:after="0" w:line="22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2"/>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this Agreement.</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Prior to any Termination for Cause, the Company will provide you with notice setting forth the reasons that Cause exists, in which case you will have an opportunity to cure, provided a cure is reasonably possible and timely effected, to the Company’s satisfaction and is not a matter that was the general subject matter of an earlier cure notice given to you. It is expressly understood that the Company’s ability to effect a Termination for Cause is not an exclusive remedy, and further that nothing in this Agreement prevents the Company from obtaining any and all appropriate remedies for any injury that arises out of or is related to any breach of this Agreement.</w:t>
      </w:r>
    </w:p>
    <w:p>
      <w:pPr>
        <w:spacing w:after="0" w:line="18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your Termination for Cause, you will be entitled to payment of any accrued but unpaid Base Salary due to you through the date of termination (payable no later than thirty (30) days after such termination); any accrued, but unpaid vacation to the extent required by Company policy or law; accrued, but unreimbursed business expenses (payable as provided in paragraph 4(b) above); and other unpaid amounts, if any, then due to you under Company benefit plans or programs, which will be payable as provided by the terms and conditions of such plans (collectively, the “Accrued Amounts”).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29" w:name="page30"/>
    <w:bookmarkEnd w:id="29"/>
    <w:p>
      <w:pPr>
        <w:ind w:right="340" w:firstLine="436"/>
        <w:spacing w:after="0" w:line="282" w:lineRule="auto"/>
        <w:tabs>
          <w:tab w:leader="none" w:pos="695"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Services No Longer Required</w:t>
      </w:r>
      <w:r>
        <w:rPr>
          <w:rFonts w:ascii="Times New Roman" w:cs="Times New Roman" w:eastAsia="Times New Roman" w:hAnsi="Times New Roman"/>
          <w:sz w:val="18"/>
          <w:szCs w:val="18"/>
          <w:color w:val="auto"/>
        </w:rPr>
        <w:t>. The Company may elect for any reason and at any time to no longer require your services by providing you with written notice (the date you cease to provide services to the Company pursuant to such notice (the “NLR Date”)).</w:t>
      </w:r>
    </w:p>
    <w:p>
      <w:pPr>
        <w:spacing w:after="0" w:line="162" w:lineRule="exact"/>
        <w:rPr>
          <w:sz w:val="20"/>
          <w:szCs w:val="20"/>
          <w:color w:val="auto"/>
        </w:rPr>
      </w:pPr>
    </w:p>
    <w:p>
      <w:pPr>
        <w:ind w:firstLine="436"/>
        <w:spacing w:after="0" w:line="252"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the Company exercises its rights under this subparagraph, you will be entitled to payment of the Accrued Amounts. In addition, subject to and in accordance with the terms and conditions of the Agreement and your timely execution and non-revocation of the Company’s standard separation agreement containing a general release of claims in a form acceptable to the Company (the “Release”), the Company will provide you with the following: (A) continuation of your Base Salary (as of the NLR Date) for the two (2)-year period immediately following the NLR Date (the “NLR Period”) payable on the Company’s regular payroll dates; (B)(i) an amount equal to your Bonus Plan Target, pro-rated for the period of the Bonus Plan year corresponding to the NLR Date that you were actively employed (exclusive of the Garden Leave) and calculated based on actual achievement of applicable performance criteria, and (ii) continued entitlement to payment of your Bonus Plan Target (calculated as of the NLR Date) for the NLR Period, payable on the applicable Bonus Payment Dates and subject to the terms and conditions of the Bonus Plan (which, for the avoidance of doubt, equals a total payout of two times (2x) your Bonus Plan Target); (C) continued vesting during the NLR Period of any outstanding and unvested LTI Awards (except for any unvested tranches of the Founders Grant as provided in subparagraph 3(d)) granted prior to the NLR Date (provided that to the extent the terms of the LTI Plan or the award agreements governing the applicable LTI Awards provide more favorable vesting treatment at termination of employment, those terms will apply in lieu of this sub-clause); and (D) continued participation in the Company’s benefits plans and programs as provided under paragraph 4(a) for you and your eligible dependents enrolled as of the NLR Date, at a similar cost to you as active employees and subject to the terms and conditions of such plans and programs and applicable law. In the event your continued participation in the Company’s medical, dental, and/or vision plans is barred or otherwise results in adverse tax consequences for the Company, then the Company will arrange to provide you and your eligible dependents with substantially similar coverage to that which such persons would have otherwise been entitled to receive under such benefit programs from which such continued participation is barred, which may include a cash payment in lieu thereof.</w:t>
      </w:r>
    </w:p>
    <w:p>
      <w:pPr>
        <w:spacing w:after="0" w:line="19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any unvested restricted stock units of Comcast Corporate that were converted to Versant LTI will be permitted to continue to vest until fully vested.</w:t>
      </w:r>
    </w:p>
    <w:p>
      <w:pPr>
        <w:spacing w:after="0" w:line="162" w:lineRule="exact"/>
        <w:rPr>
          <w:sz w:val="20"/>
          <w:szCs w:val="20"/>
          <w:color w:val="auto"/>
        </w:rPr>
      </w:pPr>
    </w:p>
    <w:p>
      <w:pPr>
        <w:jc w:val="both"/>
        <w:ind w:right="140" w:firstLine="987"/>
        <w:spacing w:after="0" w:line="266" w:lineRule="auto"/>
        <w:tabs>
          <w:tab w:leader="none" w:pos="125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Exclusivity/Non-Compete</w:t>
      </w:r>
      <w:r>
        <w:rPr>
          <w:rFonts w:ascii="Times New Roman" w:cs="Times New Roman" w:eastAsia="Times New Roman" w:hAnsi="Times New Roman"/>
          <w:sz w:val="18"/>
          <w:szCs w:val="18"/>
          <w:color w:val="auto"/>
        </w:rPr>
        <w:t>. During the ninety (90)-day period immediately following the NLR Date (the “Garden Leave”), your exclusivity obligations under paragraph 6(f) will remain in full force and effect, and your role will transition to facilitating, in whatever manner is reasonably necessary and requested by the Company, the transition of your duties, knowledge, and responsibilities in a cooperative and professional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0" w:name="page31"/>
    <w:bookmarkEnd w:id="30"/>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manner. Following the Garden Leave and for the remainder of the NLR Period, your exclusivity obligations will be waived, your employment will convert to inactive status, and you will be free to render your services to a third party except for a “Competitive Business.” In the event you wish to provide your services to a Competitive Business during the remainder of the NLR Period, you agree to give timely written notice to the Company prior to providing such services. As of the date you begin providing services to a Competitive Business, the Company will be relieved of its obligation to make any payments or provide any benefits under subparagraph 5(b)(i) for the remainder of the NLR Period, other than any unpaid Accrued Amounts. For purposes herein, a “Competitive Business” will be defined as a business (whether conducted by an entity or individual, including self-employment) that is engaged directly or indirectly in competition with the Company with regard to any of the services that you or those reporting directly or indirectly (whether within the same reporting line or dotted line to another) to you performed on behalf of the Company or any of its subsidiaries. In addition, to the extent you provide services to an entity that is not a Competitive Business and you are eligible to receive coverage under any medical benefit plan offered by such entity, the Company will be relieved of all obligations to provide any of its benefit plans or the value of such benefits to you pursuant to paragraph 5(b)(i)(D) as of the date you commence providing such services.</w:t>
      </w:r>
    </w:p>
    <w:p>
      <w:pPr>
        <w:spacing w:after="0" w:line="192" w:lineRule="exact"/>
        <w:rPr>
          <w:sz w:val="20"/>
          <w:szCs w:val="20"/>
          <w:color w:val="auto"/>
        </w:rPr>
      </w:pPr>
    </w:p>
    <w:p>
      <w:pPr>
        <w:ind w:left="1300" w:hanging="313"/>
        <w:spacing w:after="0"/>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Agreement</w:t>
      </w:r>
      <w:r>
        <w:rPr>
          <w:rFonts w:ascii="Times New Roman" w:cs="Times New Roman" w:eastAsia="Times New Roman" w:hAnsi="Times New Roman"/>
          <w:sz w:val="18"/>
          <w:szCs w:val="18"/>
          <w:color w:val="auto"/>
        </w:rPr>
        <w:t>. The Term of this Agreement will be extended or terminated to be co-terminous with the NLR Period.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Failure or Refusal to Provide Services</w:t>
      </w:r>
      <w:r>
        <w:rPr>
          <w:rFonts w:ascii="Times New Roman" w:cs="Times New Roman" w:eastAsia="Times New Roman" w:hAnsi="Times New Roman"/>
          <w:sz w:val="18"/>
          <w:szCs w:val="18"/>
          <w:color w:val="auto"/>
        </w:rPr>
        <w:t>. In the event you fail, refuse or are unable to perform the services required of you for any period(s) during the Term and for any reason other than an injury, illness or condition covered by the Company’s time off, short-term sickness or injury and medical disability policies, the Company will have the right to suspend its contractual obligations to pay you during any such period(s), and the Company may, but will not be obligated to, extend the Term for a period equal to all or any part of the period or aggregate of periods of such suspension. In addition, during the period(s) of your not performing services as contemplated in this paragraph, the Company also may suspend any salary increases or grants under any long-term incentive or deferred compensation program, or modify applicable bonuses in accordance with such bonus plans, whether or not it has previously exercised any of the rights specified herein. All such rights hereunder will be subject to local, state, and federal laws governing disabilities and leaves of absence as well as the Company’s applicable policies.</w:t>
      </w:r>
    </w:p>
    <w:p>
      <w:pPr>
        <w:spacing w:after="0" w:line="191"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Notwithstanding any other provision of this Agreement, if during the Term you become physically or mentally disabled due to an illness, injury or condition such that you are unable to perform your essential duties for a period of more than sixty (60) consecutive days or for a cumulative period of more than sixty (60) days in any twelve (12) month period, Company will have the right (before the end of such disability), at its option, to terminate this Agreement, except if such termination would be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1" w:name="page32"/>
    <w:bookmarkEnd w:id="31"/>
    <w:p>
      <w:pPr>
        <w:ind w:left="4"/>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prohibited by law. Should the Company terminate this Agreement pursuant to the foregoing, your employment with the Company will be “at will,” subject to Company’s applicable disability policies. Alternatively, should the Company elect to not terminate this Agreement, Company may, but will not be obligated to, extend the Term for a period equal to all or any part of the period or aggregate of periods of any such disability. During any period of disability that is covered by the Company’s disability policies and practices, your compensation may be adjusted and paid in accordance with the terms of such policy or practice. All rights and obligations hereunder will be subject to state and federal laws governing disabilities and leaves of absence as well as the Company’s applicable policies. In the event your employment is terminated due to a disability under this paragraph 5(d), you will be entitled to payment of the Accrued Amounts.</w:t>
      </w:r>
    </w:p>
    <w:p>
      <w:pPr>
        <w:spacing w:after="0" w:line="189" w:lineRule="exact"/>
        <w:rPr>
          <w:sz w:val="20"/>
          <w:szCs w:val="20"/>
          <w:color w:val="auto"/>
        </w:rPr>
      </w:pPr>
    </w:p>
    <w:p>
      <w:pPr>
        <w:ind w:left="4" w:right="40" w:firstLine="436"/>
        <w:spacing w:after="0" w:line="255" w:lineRule="auto"/>
        <w:tabs>
          <w:tab w:leader="none" w:pos="689"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w:t>
      </w:r>
      <w:r>
        <w:rPr>
          <w:rFonts w:ascii="Times New Roman" w:cs="Times New Roman" w:eastAsia="Times New Roman" w:hAnsi="Times New Roman"/>
          <w:sz w:val="18"/>
          <w:szCs w:val="18"/>
          <w:color w:val="auto"/>
        </w:rPr>
        <w:t>. If you die during the Term of this Agreement, this Agreement will automatically terminate and your estate or legal representative will be paid (i) any accrued but unpaid Base Salary due to you through your date of death, (ii) your Bonus Target, pro-rated on a daily basis for any period of active service during the year of death, including any time you have received benefits under the Company’s short term disability policy (iii) any accrued but unpaid vacation, to the extent required by law and (iv) other unpaid amounts then due under express terms of the applicable Company benefit plans or programs and benefits payable due to your death under Company employee benefit plans or programs, which will be payable or provided as set forth in the applicable plans and programs. Payments under clauses (i)—(iv) hereunder will be made within thirty (30) days of your death. Payment of any accrued but unreimbursed expenses will be made in accordance with paragraph 4(b) above.</w:t>
      </w:r>
    </w:p>
    <w:p>
      <w:pPr>
        <w:spacing w:after="0" w:line="18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Special Rules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987"/>
        <w:spacing w:after="0" w:line="254" w:lineRule="auto"/>
        <w:tabs>
          <w:tab w:leader="none" w:pos="1210" w:val="left"/>
        </w:tabs>
        <w:numPr>
          <w:ilvl w:val="2"/>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termination of employment does not constitute a “separation from service” within the meaning of Section 409A of the Internal Revenue Code of 1986, as amended (“Section 409A”), any payment that would otherwise have been due and payable, or would have commenced to be paid, under this paragraph 5 in connection with your termination of employment will be delayed until such time as you will incur such a separation from service (and such separation from service will be treated as a termination of your employment for purposes of determining when such payments are to be made); except (A) to the extent of amounts that do not constitute a deferral of compensation within the meaning of Treasury Regulation</w:t>
      </w:r>
    </w:p>
    <w:p>
      <w:pPr>
        <w:spacing w:after="0" w:line="3" w:lineRule="exact"/>
        <w:rPr>
          <w:rFonts w:ascii="Times New Roman" w:cs="Times New Roman" w:eastAsia="Times New Roman" w:hAnsi="Times New Roman"/>
          <w:sz w:val="18"/>
          <w:szCs w:val="18"/>
          <w:color w:val="auto"/>
        </w:rPr>
      </w:pPr>
    </w:p>
    <w:p>
      <w:pPr>
        <w:ind w:left="4" w:right="5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1.409A-1(b) (including, without limitation, by reason of the safe harbor set forth in Treasury Regulation Section 1.409A-1(b)(9)(iii), as determined by the Company); (B) benefits which qualify as excepted welfare benefits pursuant to Treasury Regulation Section 1.409A-1(a)(5); or</w:t>
      </w:r>
    </w:p>
    <w:p>
      <w:pPr>
        <w:ind w:left="284" w:hanging="284"/>
        <w:spacing w:after="0"/>
        <w:tabs>
          <w:tab w:leader="none" w:pos="284"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that are not subject to the requirements of Section 409A.</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2" w:name="page33"/>
    <w:bookmarkEnd w:id="32"/>
    <w:p>
      <w:pPr>
        <w:ind w:firstLine="987"/>
        <w:spacing w:after="0" w:line="256" w:lineRule="auto"/>
        <w:tabs>
          <w:tab w:leader="none" w:pos="125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on the date of your separation from service, you are a specified employee within the meaning of Section 409A, any payment, which constitutes “deferred compensation” under Section 409A and is payable on account of separation from service that would otherwise have been due and payable under this paragraph 5 within six (6) months of the date of such separation from service, will be delayed until the six (6) month anniversary of the date of such separation from service (the “Six Month Delay”). The Six Month Delay will not apply to any deferred compensation that is payable at a fixed date (including any payment of bonus or Base Salary that, as a series of separate payments, is a short-term deferral within the meaning of Section 409A, and any payment arising on account of your death); and</w:t>
      </w:r>
    </w:p>
    <w:p>
      <w:pPr>
        <w:spacing w:after="0" w:line="187" w:lineRule="exact"/>
        <w:rPr>
          <w:rFonts w:ascii="Times New Roman" w:cs="Times New Roman" w:eastAsia="Times New Roman" w:hAnsi="Times New Roman"/>
          <w:sz w:val="18"/>
          <w:szCs w:val="18"/>
          <w:color w:val="auto"/>
        </w:rPr>
      </w:pPr>
    </w:p>
    <w:p>
      <w:pPr>
        <w:ind w:right="120" w:firstLine="987"/>
        <w:spacing w:after="0" w:line="255" w:lineRule="auto"/>
        <w:tabs>
          <w:tab w:leader="none" w:pos="130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that this Agreement be administered in a manner consistent with, and in compliance with, Section 409A and the regulations thereunder. Accordingly, this Agreement will be construed and interpreted, to the maximum extent possible, in a manner consistent with the requirements of such Section 409A. If any amounts payable hereunder are paid in installments, each installment will be considered a separate payment; and the right to a series of installment payments under this Agreement is a right to a series of separate payments. Any provision of this Agreement to the contrary notwithstanding, the Company does not represent, warrant or guarantee that the payments and benefits that may be paid or provided pursuant to this Agreement will not be includible in your federal gross income pursuant to Section 409A, nor does the Company make any other representation, warranty or guarantee to you as to the tax consequences of this Agreement.</w:t>
      </w:r>
    </w:p>
    <w:p>
      <w:pPr>
        <w:spacing w:after="0" w:line="189"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For the sake of clarity, you acknowledge and agree that neither the transfer of your employment to Versant or one of its subsidiaries on or prior to the date of the Separation nor the occurrence of the Separation will, in either case constitute a termination of your employment for purposes of this Agreement.</w:t>
      </w:r>
    </w:p>
    <w:p>
      <w:pPr>
        <w:spacing w:after="0" w:line="176" w:lineRule="exact"/>
        <w:rPr>
          <w:sz w:val="20"/>
          <w:szCs w:val="20"/>
          <w:color w:val="auto"/>
        </w:rPr>
      </w:pPr>
    </w:p>
    <w:p>
      <w:pPr>
        <w:ind w:right="20" w:firstLine="436"/>
        <w:spacing w:after="0" w:line="266" w:lineRule="auto"/>
        <w:tabs>
          <w:tab w:leader="none" w:pos="69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your employment, you will be deemed to have resigned as an officer, director, trustee, agent, representative and from acting in any other capacity on behalf of the Company and all of its subsidiaries, divisions and affiliates and you agree to execute any required documentation necessary to effect such resignations.</w:t>
      </w:r>
    </w:p>
    <w:p>
      <w:pPr>
        <w:spacing w:after="0" w:line="175" w:lineRule="exact"/>
        <w:rPr>
          <w:rFonts w:ascii="Times New Roman" w:cs="Times New Roman" w:eastAsia="Times New Roman" w:hAnsi="Times New Roman"/>
          <w:sz w:val="18"/>
          <w:szCs w:val="18"/>
          <w:color w:val="auto"/>
        </w:rPr>
      </w:pPr>
    </w:p>
    <w:p>
      <w:pPr>
        <w:ind w:right="80" w:firstLine="436"/>
        <w:spacing w:after="0" w:line="274" w:lineRule="auto"/>
        <w:tabs>
          <w:tab w:leader="none" w:pos="695"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Section 280G</w:t>
      </w:r>
      <w:r>
        <w:rPr>
          <w:rFonts w:ascii="Times New Roman" w:cs="Times New Roman" w:eastAsia="Times New Roman" w:hAnsi="Times New Roman"/>
          <w:sz w:val="17"/>
          <w:szCs w:val="17"/>
          <w:color w:val="auto"/>
        </w:rPr>
        <w:t>. If you would be entitled to payments or benefits under this Agreement or under any other plan, program, agreement or arrangement that would constitute “parachute payments” as defined in Section 280G of the Code and could result in any such payment or benefit being subject to an excise tax under Section 4999 of the Code, the present value of your payments and benefits will be reduced by the minimum amount necessary such that the aggregate present value of such payments and benefits do not trigger the excise tax; provided, however, no such reductions will be given effect if you would be entitled to greater payments and benefits on an after-tax basis (taking into account the excise tax imposed pursuant to Section 4999 of the Code, any tax imposed by any comparable provision of state law, and any applicable federal, state and local income</w:t>
      </w:r>
    </w:p>
    <w:p>
      <w:pPr>
        <w:spacing w:after="0" w:line="1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60"/>
          </w:cols>
          <w:pgMar w:left="440" w:top="270" w:right="499" w:bottom="1440" w:gutter="0" w:footer="0" w:header="0"/>
        </w:sectPr>
      </w:pPr>
    </w:p>
    <w:bookmarkStart w:id="33" w:name="page34"/>
    <w:bookmarkEnd w:id="33"/>
    <w:p>
      <w:pPr>
        <w:ind w:left="4" w:right="18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employment taxes) than if such reductions were to be implemented. If payments or benefits are to be reduced, any such reduction in payments and/or benefits will be made in accordance with Section 409A and will occur in the manner that results in the greatest economic benefit to you as determined by a nationally recognized certified public accounting firm or other professional organization that is recognized as an expert in determinations and calculations for purposes of Sections 280G and 4999 of the Code and that is selected by the Company prior to the closing of the transaction giving rise to such payments and benefits. All determinations in applying the foregoing provisions for purposes of the “golden parachute” rules under Sections 280G and 4999 of the Code will be made by such accountants or organization and will be final and binding on the parties.</w:t>
      </w:r>
    </w:p>
    <w:p>
      <w:pPr>
        <w:spacing w:after="0" w:line="173" w:lineRule="exact"/>
        <w:rPr>
          <w:sz w:val="20"/>
          <w:szCs w:val="20"/>
          <w:color w:val="auto"/>
        </w:rPr>
      </w:pPr>
    </w:p>
    <w:p>
      <w:pPr>
        <w:ind w:left="4" w:firstLine="436"/>
        <w:spacing w:after="0" w:line="254" w:lineRule="auto"/>
        <w:tabs>
          <w:tab w:leader="none" w:pos="659"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 Termination</w:t>
      </w:r>
      <w:r>
        <w:rPr>
          <w:rFonts w:ascii="Times New Roman" w:cs="Times New Roman" w:eastAsia="Times New Roman" w:hAnsi="Times New Roman"/>
          <w:sz w:val="18"/>
          <w:szCs w:val="18"/>
          <w:color w:val="auto"/>
        </w:rPr>
        <w:t>. You may terminate this Agreement and your employment for any of the following acts or actions by the Company upon sixty (60) days’ prior written notice to the Company, provided that you have given the Company such notice within ninety (90) days of the occurrence thereof and that such notice gives a reasonably detailed explanation of its basis so as to allow the Company a reasonable opportunity to cure such circumstance: (i) an involuntary change in title to one that conveys less responsibility and/or lower status; (ii) an involuntary change of your primary work location outside of the New York/New Jersey Metropolitan area; or (iii) a material breach of any material term of this Agreement, provided further that the Company has failed to remedy such act or action within the notice period set forth above. In the event the preconditions of this paragraph are satisfied, you elect to terminate your employment hereunder, and you execute and do not revoke the Release, you will be entitled to the compensation and benefits described in paragraph 5(b) in accordance with its terms, payable at such times as those amounts and benefits would have ordinarily become due and payable, and subject to the terms and conditions thereof.</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8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Freedom to Enter Agreement</w:t>
      </w:r>
      <w:r>
        <w:rPr>
          <w:rFonts w:ascii="Times New Roman" w:cs="Times New Roman" w:eastAsia="Times New Roman" w:hAnsi="Times New Roman"/>
          <w:sz w:val="18"/>
          <w:szCs w:val="18"/>
          <w:color w:val="auto"/>
        </w:rPr>
        <w:t>. You represent and warrant that you are free to work for the Company and to enter into this Agreement, and that you are not restricted in any manner from performing under this Agreement by any prior agreement, commitment, or understanding, contractual or otherwise, with any third party. If you have acquired confidential or proprietary information in the course of your employment prior to the Company, you will fully comply with any duties not to use or disclose such information then applicable to you during the Term.</w:t>
      </w:r>
    </w:p>
    <w:p>
      <w:pPr>
        <w:spacing w:after="0" w:line="179" w:lineRule="exact"/>
        <w:rPr>
          <w:rFonts w:ascii="Times New Roman" w:cs="Times New Roman" w:eastAsia="Times New Roman" w:hAnsi="Times New Roman"/>
          <w:sz w:val="18"/>
          <w:szCs w:val="18"/>
          <w:color w:val="auto"/>
        </w:rPr>
      </w:pPr>
    </w:p>
    <w:p>
      <w:pPr>
        <w:jc w:val="both"/>
        <w:ind w:left="4" w:right="40" w:firstLine="436"/>
        <w:spacing w:after="0" w:line="261" w:lineRule="auto"/>
        <w:tabs>
          <w:tab w:leader="none" w:pos="699"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Nothing in this Agreement, including the following paragraphs, will restrict you from communicating directly with and providing information to any governmental agency or commission, including the Securities and Exchange Commission (“SEC”), the Occupational Safety and Health Administration (“OSHA”), the Department of Justice (“DOJ”), or the Commodity Futures Trading Commission (“CFTC”) regarding possible legal violations, without disclosure to the Company (“Whistleblower</w:t>
      </w:r>
    </w:p>
    <w:p>
      <w:pPr>
        <w:spacing w:after="0" w:line="112"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4"/>
          </w:cols>
          <w:pgMar w:left="436" w:top="270" w:right="539" w:bottom="1440" w:gutter="0" w:footer="0" w:header="0"/>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Activity”). You do not need the prior authorization of any member of the Company, nor will you be required to notify any member of the Company, to engage in Whistleblower Activity. The Company will not retaliate against you for any of these activities, and nothing in this Agreement or otherwise requires you to waive any monetary award or other payment that you might become entitled to receive from the SEC, OSHA, DOJ or CFTC. Further, pursuant to the Defend Trade Secrets Act of 2016 (18 U.S.C. § 1833(b)), you will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use the trade secret information in the court proceeding, if you (I) file any document containing the trade secret under seal, and (II) do not disclose the trade secret, except pursuant to court order. All of the foregoing rights described in this paragraph will be referred to herein as your “Protected Rights”.</w:t>
      </w:r>
    </w:p>
    <w:p>
      <w:pPr>
        <w:spacing w:after="0" w:line="194" w:lineRule="exact"/>
        <w:rPr>
          <w:sz w:val="20"/>
          <w:szCs w:val="20"/>
          <w:color w:val="auto"/>
        </w:rPr>
      </w:pPr>
    </w:p>
    <w:p>
      <w:pPr>
        <w:ind w:right="80" w:firstLine="436"/>
        <w:spacing w:after="0" w:line="253" w:lineRule="auto"/>
        <w:tabs>
          <w:tab w:leader="none" w:pos="685"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You acknowledge and agree that you currently possess, or will acquire, learn, obtain or develop “Confidential Information” during your employment with the Company. “Confidential Information” means any information of a confidential nature or not known to the general public, which is received by you during your employment, concerning the Company, its employees, contractors, suppliers or customers. “Confidential Information” includes, but is not limited to: sales, marketing and other business methods, business plans, financial information, strategies and techniques, research and development projects and results, potential business ventures, software and firmware, trade secrets, know-how, processes and other intellectual property, information relating to past, present or prospective employees, contractors, suppliers, customers, as well as matters of a creative nature, including matters regarding ideas of a literary, creative, musical, or dramatic nature, or any other proprietary information about the Company’s business which is not generally known by the public, regardless of whether any such Confidential Information is in oral, written, machine, digital, or some other form. When in doubt, you agree to assume the information is confidential and/or proprietary in nature and not to be disclosed. Notwithstanding the foregoing, “Confidential Information” does not include: (i) your general knowledge, skills, and experience in the industry and/or gained from employment prior to the Company; or (ii) information now or hereafter in the public domain lawfully.</w:t>
      </w:r>
    </w:p>
    <w:p>
      <w:pPr>
        <w:spacing w:after="0" w:line="19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You will hold in a fiduciary capacity, for the benefit of the Company, all Confidential Information, which you have or may acquire, learn, obtain or develop during your employment with the Company. Except as specifically excluded in this Agreement, you agree that you will not, during the Term or at any time thereafter, directly or indirectly use, communicate or divulge for your own benefit or for the benefit of another person,</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corporation, entity or third party any such Confidential Information other than (i) with the express written authorization of the Company; (ii) as required by law or as ordered by a court of competent jurisdiction; or (iii) with respect to matters that are generally known to the public. You hereby make the same commitments hereunder with respect to the Confidential Information of those affiliates, suppliers, customers and others with whom the Company has a business relationship or to whom the Company owes a duty of confidentiality.</w:t>
      </w:r>
    </w:p>
    <w:p>
      <w:pPr>
        <w:spacing w:after="0" w:line="18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You hereby acknowledge and agree to abide by Sections 6(c) and (d) of the Prior Agreement, to the extent such obligations relate to NBCUniversal Media, LLC, Comcast or any of their respective subsidiaries or affiliates (other than, for the avoidance of doubt, Versant), in accordance with the terms of the Prior Agreement.</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You also agree that you will not publicly express your opinion about the Company, or its or their officers, directors, employees, or agents in a manner that tends to portray any such entity or person in an unfavorable light. Notwithstanding, nothing in this Agreement will prevent you from discussing or disclosing information about unlawful acts in the workplace, such as harassment or discrimination or any other conduct that you have reason to believe is unlawful. You are strongly encouraged (or, if you are a supervisor, you are required) to report concerns that may involve a violation of Company policy, including the Respect in the Workplace Policy. The reporting channels available to you to raise any workplace concerns include: your Human Resources representative or any member of the HR team, any member of your management team, the Company’s anonymous Helpline or Web Portal, the General Counsel or any member of the Company’s Legal Department.</w:t>
      </w:r>
    </w:p>
    <w:p>
      <w:pPr>
        <w:spacing w:after="0" w:line="189" w:lineRule="exact"/>
        <w:rPr>
          <w:sz w:val="20"/>
          <w:szCs w:val="20"/>
          <w:color w:val="auto"/>
        </w:rPr>
      </w:pPr>
    </w:p>
    <w:p>
      <w:pPr>
        <w:ind w:firstLine="436"/>
        <w:spacing w:after="0" w:line="253" w:lineRule="auto"/>
        <w:tabs>
          <w:tab w:leader="none" w:pos="69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The results and proceeds of your services or work hereunder, including, without limitation, materials, products, projects, inventions, discoveries, designs and all parts thereof, and/or works of authorship or works in progress that you create within the scope of your employment or otherwise resulting from your services during your employment with the Company and/or any of its affiliated entities or your use of any of the Company’s and/or its affiliated entities’ equipment, supplies, facilities, services or Confidential Information (collectively, the “Company Materials”), in addition to any and all copyrights, trademarks, trade secrets, and patents, extensions and renewals thereof under the United States and all other laws related to such Company Materials, will be Company’s sole and exclusive property, free from any adverse claims. All Company Materials will be deemed “works made for hire” as defined in Section 101 of the United States Copyright Act. The Company will be deemed the sole owner throughout the universe of any and all rights of whatsoever nature therein, whether or not now or hereafter known, existing, contemplated, recognized or developed, with the right to use the same in perpetuity in any manner the Company determines in its sole discretion without any further payment to you whatsoever. If, for any reason, any of the Company Materials are deemed not to legally be a work-for-hire and/or there are any rights which do not accrue to the Company hereunder or pursuant to law, then you hereby irrevocably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36" w:name="page37"/>
    <w:bookmarkEnd w:id="3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 and agree to assign any and all of your rights, titles and interests thereto, including, without limitation, any and all copyrights, patents, trade secrets, trademarks and/or other rights of whatsoever nature therein, whether or not now or hereafter known, existing, contemplated, recognized or developed, to the Company, and the Company will have the right to use the same in perpetuity throughout the universe in any manner the Company determines without any further payment to you whatsoever. You will, from time to time, as may be requested and directed by the Company during or subsequent to your employment with the Company (at the Company’s expense, if any), do any and all things which the Company may deem useful or desirable to assist, establish, protect or document the Company’s exclusive ownership of any and all rights in any Company Materials, including, without limitation, the execution of appropriate copyright and/or patent applications or assignments. To the extent you have any rights in the Company Materials or results and proceeds of your services that cannot be assigned in the manner described above, you unconditionally and irrevocably waive the enforcement of such rights. This subparagraph is subject to and will not be deemed to limit, restrict, or constitute any waiver by the Company of any rights of ownership to which the Company may be entitled by operation of law by virtue of the Company being your employer. This paragraph will be construed in accordance with California Labor Code Sections 2870-2872. In accordance with Section 2872, you are hereby notified that this agreement does not require you to assign to the Company any invention that qualifies for exclusion under Section 2870. If there is any doubt as to whether an invention qualifies for exclusion, you bear the burden of providing that it does.</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Your obligations to assign property rights under this subparagraph will not, however, apply to any other non-employment based materials, products, projects, inventions, discoveries, or designs and all parts thereof, and/or works of authorship or works in progress (“Non-Company Materials”) for which you can establish and prove all of the following: (i) the Non-Company Materials were developed entirely on your own time; (ii) no Company or Company-affiliated entities’ equipment, supplies, facility, services, or Confidential Information were used in the development of the Non-Company Materials; (iii) the Non-Company Materials do not relate directly to the business of the Company or its affiliates, or to the actual or demonstrably anticipated research or development of the Company or its affiliates; and (iv) the Non-Company Materials do not result from any work performed by you for the Company or its affiliates or other persons employed or engaged by the Company or its affiliates.</w:t>
      </w:r>
    </w:p>
    <w:p>
      <w:pPr>
        <w:spacing w:after="0" w:line="18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At the Company’s request, or upon termination of your employment (whether voluntary or involuntary), you agree to immediately return to the Company all Company property, including, but not limited to, corporate credit card, computers or computer software, laptop, tablet, cell or smart phones, equipment, keys, identification badges, and any and all documents, programs and/or materials containing Confidential Information (“Company Property”). Additionally, you will return all other records, files, lists, plans, data, reports with non-Confidential Information but otherwise relating to the Company’s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37" w:name="page38"/>
    <w:bookmarkEnd w:id="37"/>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in whatever form (including electronic) they may exist upon the termination of your employment for any reason. When in doubt, you agree to assume that materials or property belong to the Company and/or documents, programs and/or materials contain Confidential Information, and accordingly will be returned to the Company immediately upon termination.</w:t>
      </w:r>
    </w:p>
    <w:p>
      <w:pPr>
        <w:spacing w:after="0" w:line="176" w:lineRule="exact"/>
        <w:rPr>
          <w:sz w:val="20"/>
          <w:szCs w:val="20"/>
          <w:color w:val="auto"/>
        </w:rPr>
      </w:pPr>
    </w:p>
    <w:p>
      <w:pPr>
        <w:ind w:firstLine="436"/>
        <w:spacing w:after="0" w:line="255" w:lineRule="auto"/>
        <w:tabs>
          <w:tab w:leader="none" w:pos="68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You acknowledge and agree that the Company has invested substantial time and effort in assembling its present staff of personnel. Accordingly, during your employment and through and including a period of twelve (12) months following the later of: (i) the termination of your employment with the Company; (ii) the period of any payments made to you by the Company hereunder or under any other contract or personal services agreement; or (iii) the date of entry by a court of competent jurisdiction of a final judgment enforcing this subparagraph, you will not directly or indirectly solicit, induce or attempt to solicit or induce any employee (with the exception of your personal administrative assistant/secretary, if any), exclusive consultants, exclusive contractors or exclusive representatives of the Company (or those of any of its affiliated entities) to leave employment, or otherwise stop or reduce hours working for, contracting with or representing the Company or any of its affiliated entities.</w:t>
      </w:r>
    </w:p>
    <w:p>
      <w:pPr>
        <w:spacing w:after="0" w:line="188" w:lineRule="exact"/>
        <w:rPr>
          <w:rFonts w:ascii="Times New Roman" w:cs="Times New Roman" w:eastAsia="Times New Roman" w:hAnsi="Times New Roman"/>
          <w:sz w:val="18"/>
          <w:szCs w:val="18"/>
          <w:color w:val="auto"/>
        </w:rPr>
      </w:pPr>
    </w:p>
    <w:p>
      <w:pPr>
        <w:ind w:right="140" w:firstLine="436"/>
        <w:spacing w:after="0" w:line="254" w:lineRule="auto"/>
        <w:tabs>
          <w:tab w:leader="none" w:pos="66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Exclusivity</w:t>
      </w:r>
      <w:r>
        <w:rPr>
          <w:rFonts w:ascii="Times New Roman" w:cs="Times New Roman" w:eastAsia="Times New Roman" w:hAnsi="Times New Roman"/>
          <w:sz w:val="18"/>
          <w:szCs w:val="18"/>
          <w:color w:val="auto"/>
        </w:rPr>
        <w:t>. As set forth in paragraph 2, you have agreed that your employment and services will be exclusive to the Company. Accordingly, during the Term, you will not directly or indirectly render any services to others, or on your own behalf, unless expressly approved, in writing, by an authorized Company representative, and in a manner wholly consistent with the Company’s policies, including but not limited to integrity and/or conflict of interest policies. Under no circumstances may you at any time during the Term, be or become (i) interested or engaged in any manner or capacity, directly or indirectly, either alone or with any person, firm or corporation now existing or hereafter created, in any business which either is or may be competitive with the businesses of the Company and its affiliated entities or is a customer or supplier of the Company; or (ii) directly or indirectly a stockholder or officer, director, agent, advisor, consultant or employee of, or in any manner associated with, or aid or abet, or give information or financial assistance to, any such business.</w:t>
      </w:r>
    </w:p>
    <w:p>
      <w:pPr>
        <w:spacing w:after="0" w:line="19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this subparagraph and paragraph 2 will not be deemed to prohibit: (i) your purchase or ownership, as a passive investment, of not more than one percent (1%) of the outstanding capital stock of any corporation whose stock is publicly traded; and (ii) your engagement in non-compensatory civic and charitable activities with the consent of the Company and in accordance with Company policy.</w:t>
      </w:r>
    </w:p>
    <w:p>
      <w:pPr>
        <w:spacing w:after="0" w:line="176" w:lineRule="exact"/>
        <w:rPr>
          <w:sz w:val="20"/>
          <w:szCs w:val="20"/>
          <w:color w:val="auto"/>
        </w:rPr>
      </w:pPr>
    </w:p>
    <w:p>
      <w:pPr>
        <w:ind w:firstLine="436"/>
        <w:spacing w:after="0" w:line="261" w:lineRule="auto"/>
        <w:tabs>
          <w:tab w:leader="none" w:pos="69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Negotiation</w:t>
      </w:r>
      <w:r>
        <w:rPr>
          <w:rFonts w:ascii="Times New Roman" w:cs="Times New Roman" w:eastAsia="Times New Roman" w:hAnsi="Times New Roman"/>
          <w:sz w:val="18"/>
          <w:szCs w:val="18"/>
          <w:color w:val="auto"/>
        </w:rPr>
        <w:t>. During the Term, you will negotiate exclusively with the Company in good faith with respect to the terms and conditions for your rendering services on behalf of the Company subsequent to the Term. You agree not to negotiate, contract, or agree to contract with any other person, firm or corporation during the Term with respect to the terms and conditions for your rendering services to any such other person, firm or corporation.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8" w:name="page39"/>
    <w:bookmarkEnd w:id="38"/>
    <w:p>
      <w:pPr>
        <w:ind w:left="4" w:right="20" w:firstLine="436"/>
        <w:spacing w:after="0" w:line="256" w:lineRule="auto"/>
        <w:tabs>
          <w:tab w:leader="none" w:pos="69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Non-Compete</w:t>
      </w:r>
      <w:r>
        <w:rPr>
          <w:rFonts w:ascii="Times New Roman" w:cs="Times New Roman" w:eastAsia="Times New Roman" w:hAnsi="Times New Roman"/>
          <w:sz w:val="18"/>
          <w:szCs w:val="18"/>
          <w:color w:val="auto"/>
        </w:rPr>
        <w:t>. In the event your employment is terminated for Cause or you resign from your employment prior to the expiration of the Term without Good Reason or without the Company’s prior written consent, you will not for a period of one (1) year following the date of such termination or resignation, directly or indirectly, engage in any activities on behalf of, or be financially interested in, a Competitive Business (as an agent, consultant, director, employee, independent contractor, officer, owner partner, member, principal, service provider, or otherwise). This restriction will apply in any geographic area in the world in which the Company carries out business activities. You agree that not specifying a more limited geographic area is reasonable in light of the broad geographic scope of the activities carried out by the Company in the world.</w:t>
      </w:r>
    </w:p>
    <w:p>
      <w:pPr>
        <w:spacing w:after="0" w:line="187"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5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covenants in this paragraph 6 will survive expiration and/or termination of this Agreement, as well as termination of your employment, in accordance with their terms. You have carefully considered the nature and extent of the restrictions imposed on you pursuant to this paragraph 6, and hereby acknowledge and agree that, in light of your position with Company, employment and/or consideration afforded by the Company, the nature of your services to be provided to Company and the competitive nature of the Company’s businesses, the foregoing restrictions are reasonable, are designed to eliminate competition which would be unfair to the Company, are fully required to protect the legitimate interests of the Company, and do not confer a benefit upon the Company disproportionate to any detriment to you.</w:t>
      </w:r>
    </w:p>
    <w:p>
      <w:pPr>
        <w:spacing w:after="0" w:line="187"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59"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Enforce</w:t>
      </w:r>
      <w:r>
        <w:rPr>
          <w:rFonts w:ascii="Times New Roman" w:cs="Times New Roman" w:eastAsia="Times New Roman" w:hAnsi="Times New Roman"/>
          <w:sz w:val="18"/>
          <w:szCs w:val="18"/>
          <w:color w:val="auto"/>
        </w:rPr>
        <w:t>. Notwithstanding anything to the contrary in this Agreement or otherwise, you hereby acknowledge and agree that, from and after the Separation Effective Date, NBCUniversal Media, LLC will continue to have the right to enforce your Confidentiality and Company Property obligations under the paragraphs 6(c) and (d) of the Prior Agreement, to the extent such obligations relate to the business, property, employees or other service providers of NBCUniversal Media, LLC, Comcast or any of their respective subsidiaries or affiliates (other than, for the avoidance of doubt, Versant), including the right to obtain injunctive relief, in accordance with the terms of the Agreement).</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Services Unique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89" w:lineRule="auto"/>
        <w:rPr>
          <w:sz w:val="20"/>
          <w:szCs w:val="20"/>
          <w:color w:val="auto"/>
        </w:rPr>
      </w:pPr>
      <w:r>
        <w:rPr>
          <w:rFonts w:ascii="Times New Roman" w:cs="Times New Roman" w:eastAsia="Times New Roman" w:hAnsi="Times New Roman"/>
          <w:sz w:val="17"/>
          <w:szCs w:val="17"/>
          <w:color w:val="auto"/>
        </w:rPr>
        <w:t>You recognize that your services hereunder are of a special, unique, unusual, extraordinary and intellectual character, giving them a peculiar value, the loss of which the Company cannot be reasonably or adequately compensated for in damages. In the event of an actual, attempted or threatened breach of this Agreement by you or derogation of your obligations hereunder (including, but without limitation, with respect to the provisions</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39" w:name="page40"/>
    <w:bookmarkEnd w:id="39"/>
    <w:p>
      <w:pPr>
        <w:jc w:val="both"/>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hereof relating to your covenants and/or exclusivity of services), the Company will, in addition to all other remedies available to it, be entitled to seek and obtain equitable relief (without the posting of any bond or security) by way of injunction and any other legal or equitable remedies. This provision will not be construed as a waiver of the rights which the Company may have for damages under this Agreement or otherwise, and all of the Company’s rights and remedies will be unrestricted.</w:t>
      </w:r>
    </w:p>
    <w:p>
      <w:pPr>
        <w:spacing w:after="0" w:line="176" w:lineRule="exact"/>
        <w:rPr>
          <w:sz w:val="20"/>
          <w:szCs w:val="20"/>
          <w:color w:val="auto"/>
        </w:rPr>
      </w:pPr>
    </w:p>
    <w:p>
      <w:pPr>
        <w:ind w:left="184" w:hanging="184"/>
        <w:spacing w:after="0"/>
        <w:tabs>
          <w:tab w:leader="none" w:pos="18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60" w:firstLine="440"/>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hereunder will be in writing and will be given by hand delivery to the other party, delivery service, messenger service, postal mail, or electronic mail. Non-electronic mail will be addressed as follows:</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Employee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 your address on record with the Company.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Versant Media, LLC</w:t>
      </w:r>
    </w:p>
    <w:p>
      <w:pPr>
        <w:ind w:left="984"/>
        <w:spacing w:after="0" w:line="196" w:lineRule="auto"/>
        <w:rPr>
          <w:sz w:val="20"/>
          <w:szCs w:val="20"/>
          <w:color w:val="auto"/>
        </w:rPr>
      </w:pPr>
      <w:r>
        <w:rPr>
          <w:rFonts w:ascii="Times New Roman" w:cs="Times New Roman" w:eastAsia="Times New Roman" w:hAnsi="Times New Roman"/>
          <w:sz w:val="18"/>
          <w:szCs w:val="18"/>
          <w:color w:val="auto"/>
        </w:rPr>
        <w:t>229 W.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Chief Human Resources Officer</w:t>
      </w:r>
    </w:p>
    <w:p>
      <w:pPr>
        <w:spacing w:after="0" w:line="207" w:lineRule="exact"/>
        <w:rPr>
          <w:sz w:val="20"/>
          <w:szCs w:val="20"/>
          <w:color w:val="auto"/>
        </w:rPr>
      </w:pPr>
    </w:p>
    <w:p>
      <w:pPr>
        <w:ind w:left="4" w:right="40"/>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will have furnished to the other in writing. When a notice is given by mail or by electronic mail transmission, the date of mailing or electronic mail transmission will be deemed effective as of the date sent.</w:t>
      </w:r>
    </w:p>
    <w:p>
      <w:pPr>
        <w:spacing w:after="0" w:line="158" w:lineRule="exact"/>
        <w:rPr>
          <w:sz w:val="20"/>
          <w:szCs w:val="20"/>
          <w:color w:val="auto"/>
        </w:rPr>
      </w:pPr>
    </w:p>
    <w:p>
      <w:pPr>
        <w:ind w:left="184" w:hanging="184"/>
        <w:spacing w:after="0"/>
        <w:tabs>
          <w:tab w:leader="none" w:pos="184"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Company will have the right to assign this Agreement to any affiliated entity or successor of the Company, or to a party controlling or acquiring all or part of the Company, controlled by the Company or under common control with the Company, so long as this Agreement is assumed by the affiliated entity, successor or party, in which case the Company will be relieved of any obligations hereunder and all such references to the Company herein will automatically be deemed to refer to such assignee or successor. You acknowledge and agree that all of your covenants and obligations to the Company, as well as the rights of the Company hereunder, will run in favor of and will be enforceable by the Company, its affiliated entities, successors, assignees and/or controlling or acquiring parties. You are not permitted to assign this Agreement or any of your rights (except the right to receive payment) or responsibilities hereunder.</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70" w:right="479" w:bottom="1440" w:gutter="0" w:footer="0" w:header="0"/>
        </w:sectPr>
      </w:pPr>
    </w:p>
    <w:bookmarkStart w:id="40" w:name="page41"/>
    <w:bookmarkEnd w:id="40"/>
    <w:p>
      <w:pPr>
        <w:ind w:left="264" w:hanging="264"/>
        <w:spacing w:after="0"/>
        <w:tabs>
          <w:tab w:leader="none" w:pos="264"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Policies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You will abide by and be subject to all Company policies, as may be amended from time to time, that are applicable to similarly classified employees generally, including but not limited to all policies relating to standards of conduct, integrity, equal employment opportunity, discrimination, retaliation or harassment, conflict of interest insider trading, and compliance with broadcasting rules and regulations when applicable, including the Code of Conduct.</w:t>
      </w:r>
    </w:p>
    <w:p>
      <w:pPr>
        <w:spacing w:after="0" w:line="176" w:lineRule="exact"/>
        <w:rPr>
          <w:sz w:val="20"/>
          <w:szCs w:val="20"/>
          <w:color w:val="auto"/>
        </w:rPr>
      </w:pPr>
    </w:p>
    <w:p>
      <w:pPr>
        <w:ind w:left="264" w:hanging="264"/>
        <w:spacing w:after="0"/>
        <w:tabs>
          <w:tab w:leader="none" w:pos="264"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Alternative Dispute Resolution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You acknowledge and agree that you will abide and be bound by the Company’s alternative dispute resolution program (the “ADR Program”) or any applicable successor ADR program, which includes an obligation to submit any Claims (as such term is defined in such program) to final and binding arbitration. The ADR Program may be amended by the Company from time to time. A copy of the ADR Program can be accessed through the Company’s web portal. This paragraph will survive termination and/or expiration of the Agreement and of your employment.</w:t>
      </w:r>
    </w:p>
    <w:p>
      <w:pPr>
        <w:spacing w:after="0" w:line="176" w:lineRule="exact"/>
        <w:rPr>
          <w:sz w:val="20"/>
          <w:szCs w:val="20"/>
          <w:color w:val="auto"/>
        </w:rPr>
      </w:pPr>
    </w:p>
    <w:p>
      <w:pPr>
        <w:ind w:left="264" w:hanging="264"/>
        <w:spacing w:after="0"/>
        <w:tabs>
          <w:tab w:leader="none" w:pos="264"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Continuing 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original and continuing effectiveness of this Agreement and your employment is contingent upon your remaining at all times, under applicable law, eligible to perform the services contracted for hereunder in the United States and/or any other location in which you may be required to perform services pursuant to this Agreement.</w:t>
      </w:r>
    </w:p>
    <w:p>
      <w:pPr>
        <w:spacing w:after="0" w:line="172" w:lineRule="exact"/>
        <w:rPr>
          <w:sz w:val="20"/>
          <w:szCs w:val="20"/>
          <w:color w:val="auto"/>
        </w:rPr>
      </w:pPr>
    </w:p>
    <w:p>
      <w:pPr>
        <w:ind w:left="264" w:hanging="264"/>
        <w:spacing w:after="0"/>
        <w:tabs>
          <w:tab w:leader="none" w:pos="264"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firstLine="436"/>
        <w:spacing w:after="0" w:line="255" w:lineRule="auto"/>
        <w:tabs>
          <w:tab w:leader="none" w:pos="68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to the fullest extent permitted by law, defend, indemnify, and hold you harmless from any and all loss, damages, fees, judgments, fines, settlement amounts, charges and expenses incurred or sustained by you in connection with any allegations, complaints, actions, suits or proceedings in which you are a party or may be made a party by reason of any acts or omissions made by you in good faith in the course and scope of your employment for the Company or of any subsidiary or other affiliated entity of the Company or your being an officer, director, or employee of the Company or of any subsidiary or other affiliated entity of the Company (collectively, a “Claim”). In addition, the terms and conditions set forth in Article 3 of the Indemnification Agreement between you and the Company will apply with respect to any Claims in your capacity as an officer of the Company.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4"/>
          </w:cols>
          <w:pgMar w:left="436" w:top="266" w:right="459" w:bottom="1440" w:gutter="0" w:footer="0" w:header="0"/>
        </w:sectPr>
      </w:pPr>
    </w:p>
    <w:bookmarkStart w:id="41" w:name="page42"/>
    <w:bookmarkEnd w:id="41"/>
    <w:p>
      <w:pPr>
        <w:ind w:left="4" w:right="60" w:firstLine="436"/>
        <w:spacing w:after="0" w:line="256" w:lineRule="auto"/>
        <w:tabs>
          <w:tab w:leader="none" w:pos="69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agree to reasonably cooperate with the Company, both during and subsequent to the Term, in the defense of any threatened or pending legal action related to your employment or in which you may have relevant information; provided that you will not be required to provide assistance in any litigation or potential litigation in which you are an adverse party or that is related to your Whistleblower Activity or other Protected Rights. The Company will reimburse you for any reasonable and necessary out-of-pocket expenses (excluding lost or foregone wages or compensation) incurred by you in connection with such cooperation within a reasonable period of time not to exceed forty-five (45) days of your producing receipts of such expenses incurred satisfactory to the Company.</w:t>
      </w:r>
    </w:p>
    <w:p>
      <w:pPr>
        <w:spacing w:after="0" w:line="187"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this paragraph 13 are non-exclusive and will be in addition to any other rights to which you may be entitled under this or any other agreement (including any indemnification agreements) or under any organizational document or under any insurance policy, as a matter of law, in equity or otherwise. The terms of this paragraph 13 will survive the expiration or termination of your employment or of this Agreement regardless of the reason therefor.</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Repayment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any amounts payable to you during the Term will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172" w:lineRule="exact"/>
        <w:rPr>
          <w:sz w:val="20"/>
          <w:szCs w:val="20"/>
          <w:color w:val="auto"/>
        </w:rPr>
      </w:pPr>
    </w:p>
    <w:p>
      <w:pPr>
        <w:ind w:left="264" w:hanging="264"/>
        <w:spacing w:after="0"/>
        <w:tabs>
          <w:tab w:leader="none" w:pos="264"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you and a duly authorized officer of the Company. A waiver of any conditions or provisions of this Agreement in a given instance will not be deemed a waiver of such conditions or provisions at any other time.</w:t>
      </w:r>
    </w:p>
    <w:p>
      <w:pPr>
        <w:spacing w:after="0" w:line="172" w:lineRule="exact"/>
        <w:rPr>
          <w:sz w:val="20"/>
          <w:szCs w:val="20"/>
          <w:color w:val="auto"/>
        </w:rPr>
      </w:pPr>
    </w:p>
    <w:p>
      <w:pPr>
        <w:ind w:left="264" w:hanging="264"/>
        <w:spacing w:after="0"/>
        <w:tabs>
          <w:tab w:leader="none" w:pos="264"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Reformation and Validity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If any tribunal of competent jurisdiction finds that any provision(s) of this Agreement is/are unenforceable, such tribunal will reform any such provision(s) so that such provision(s) may be enforced to the maximum extent possible. If any provision of this Agreement cannot be reformed so as to be enforceable, such provision will be of no effect. The invalidity or unenforceability of any provisions of this Agreement will not affect the validity or enforceability of any other provisions of this Agreement, which will remain in full force and effect.</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4"/>
          </w:cols>
          <w:pgMar w:left="436" w:top="270" w:right="499" w:bottom="1440" w:gutter="0" w:footer="0" w:header="0"/>
        </w:sectPr>
      </w:pPr>
    </w:p>
    <w:bookmarkStart w:id="42" w:name="page43"/>
    <w:bookmarkEnd w:id="42"/>
    <w:p>
      <w:pPr>
        <w:ind w:left="264" w:hanging="264"/>
        <w:spacing w:after="0"/>
        <w:tabs>
          <w:tab w:leader="none" w:pos="264"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The validity, interpretation, construction, and performance of this Agreement will be governed by the laws of the State of New York without regard to conflicts of law principles, except as specifically provided herein.</w:t>
      </w:r>
    </w:p>
    <w:p>
      <w:pPr>
        <w:spacing w:after="0" w:line="94" w:lineRule="exact"/>
        <w:rPr>
          <w:sz w:val="20"/>
          <w:szCs w:val="20"/>
          <w:color w:val="auto"/>
        </w:rPr>
      </w:pPr>
    </w:p>
    <w:p>
      <w:pPr>
        <w:jc w:val="center"/>
        <w:ind w:right="-46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4"/>
          </w:cols>
          <w:pgMar w:left="436" w:top="266" w:right="919" w:bottom="1440" w:gutter="0" w:footer="0" w:header="0"/>
        </w:sectPr>
      </w:pPr>
    </w:p>
    <w:bookmarkStart w:id="43" w:name="page44"/>
    <w:bookmarkEnd w:id="43"/>
    <w:p>
      <w:pPr>
        <w:ind w:left="264" w:hanging="264"/>
        <w:spacing w:after="0"/>
        <w:tabs>
          <w:tab w:leader="none" w:pos="264"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Entire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Agreement, and the agreements and instruments contemplated herein, sets forth the entire understanding between you and the Company with respect to the subject matter hereof; all oral or written agreements or representations, express or implied, with respect to the subject matter of this Agreement, are set forth in this Agreement, and the agreements and instruments contemplated herein. Notwithstanding, nothing herein will prevent the Company from terminating or amending any agreement or instruments contemplated here in accordance with their terms. All prior employment agreements, understandings, and obligations (whether written, oral, express, or implied) between you and the Company, if any, are terminated as of the commencement date of the Term and are superseded by this Agreement, except for any agreements covering any prior grants of equity or prior earned compensation, which will survive in accordance with their terms. This Agreement may be executed by original, electronic or facsimile signatures and in counterparts, each of which will be deemed an original but all of which together will constitute a single instrument.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last written below.</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Versant Media, LLC</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Brian Dorfler</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Date: Oct 30, 2025</w:t>
            </w:r>
          </w:p>
        </w:tc>
      </w:tr>
      <w:tr>
        <w:trPr>
          <w:trHeight w:val="191"/>
        </w:trPr>
        <w:tc>
          <w:tcPr>
            <w:tcW w:w="32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Brian Dorfler</w:t>
            </w:r>
          </w:p>
        </w:tc>
        <w:tc>
          <w:tcPr>
            <w:tcW w:w="214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2140" w:type="dxa"/>
            <w:vAlign w:val="bottom"/>
          </w:tcPr>
          <w:p>
            <w:pPr>
              <w:spacing w:after="0"/>
              <w:rPr>
                <w:sz w:val="20"/>
                <w:szCs w:val="20"/>
                <w:color w:val="auto"/>
              </w:rPr>
            </w:pPr>
          </w:p>
        </w:tc>
      </w:tr>
      <w:tr>
        <w:trPr>
          <w:trHeight w:val="41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to paragraph 1(c):</w:t>
            </w:r>
          </w:p>
        </w:tc>
        <w:tc>
          <w:tcPr>
            <w:tcW w:w="2140" w:type="dxa"/>
            <w:vAlign w:val="bottom"/>
          </w:tcPr>
          <w:p>
            <w:pPr>
              <w:spacing w:after="0"/>
              <w:rPr>
                <w:sz w:val="24"/>
                <w:szCs w:val="24"/>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NBCUniversal Media, LLC</w:t>
            </w:r>
          </w:p>
        </w:tc>
        <w:tc>
          <w:tcPr>
            <w:tcW w:w="2140" w:type="dxa"/>
            <w:vAlign w:val="bottom"/>
          </w:tcPr>
          <w:p>
            <w:pPr>
              <w:spacing w:after="0"/>
              <w:rPr>
                <w:sz w:val="20"/>
                <w:szCs w:val="20"/>
                <w:color w:val="auto"/>
              </w:rPr>
            </w:pPr>
          </w:p>
        </w:tc>
      </w:tr>
      <w:tr>
        <w:trPr>
          <w:trHeight w:val="432"/>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Vicki Williams</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Date: Oct 30, 2025</w:t>
            </w:r>
          </w:p>
        </w:tc>
      </w:tr>
      <w:tr>
        <w:trPr>
          <w:trHeight w:val="41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AND AGREED:</w:t>
            </w:r>
          </w:p>
        </w:tc>
        <w:tc>
          <w:tcPr>
            <w:tcW w:w="2140" w:type="dxa"/>
            <w:vAlign w:val="bottom"/>
          </w:tcPr>
          <w:p>
            <w:pPr>
              <w:spacing w:after="0"/>
              <w:rPr>
                <w:sz w:val="24"/>
                <w:szCs w:val="24"/>
                <w:color w:val="auto"/>
              </w:rPr>
            </w:pPr>
          </w:p>
        </w:tc>
      </w:tr>
      <w:tr>
        <w:trPr>
          <w:trHeight w:val="432"/>
        </w:trPr>
        <w:tc>
          <w:tcPr>
            <w:tcW w:w="5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Anand Kini</w:t>
            </w:r>
          </w:p>
        </w:tc>
        <w:tc>
          <w:tcPr>
            <w:tcW w:w="214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Date: Oct 30, 2025</w:t>
            </w: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Kini</w:t>
            </w:r>
          </w:p>
        </w:tc>
        <w:tc>
          <w:tcPr>
            <w:tcW w:w="2140" w:type="dxa"/>
            <w:vAlign w:val="bottom"/>
          </w:tcPr>
          <w:p>
            <w:pPr>
              <w:spacing w:after="0"/>
              <w:rPr>
                <w:sz w:val="19"/>
                <w:szCs w:val="19"/>
                <w:color w:val="auto"/>
              </w:rPr>
            </w:pPr>
          </w:p>
        </w:tc>
      </w:tr>
      <w:tr>
        <w:trPr>
          <w:trHeight w:val="346"/>
        </w:trPr>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2140" w:type="dxa"/>
            <w:vAlign w:val="bottom"/>
          </w:tcPr>
          <w:p>
            <w:pPr>
              <w:jc w:val="right"/>
              <w:ind w:right="1730"/>
              <w:spacing w:after="0"/>
              <w:rPr>
                <w:sz w:val="20"/>
                <w:szCs w:val="20"/>
                <w:color w:val="auto"/>
              </w:rPr>
            </w:pPr>
            <w:r>
              <w:rPr>
                <w:rFonts w:ascii="Times New Roman" w:cs="Times New Roman" w:eastAsia="Times New Roman" w:hAnsi="Times New Roman"/>
                <w:sz w:val="18"/>
                <w:szCs w:val="18"/>
                <w:color w:val="auto"/>
              </w:rPr>
              <w:t>19</w:t>
            </w:r>
          </w:p>
        </w:tc>
      </w:tr>
    </w:tbl>
    <w:p>
      <w:pPr>
        <w:sectPr>
          <w:pgSz w:w="11900" w:h="16838" w:orient="portrait"/>
          <w:cols w:equalWidth="0" w:num="1">
            <w:col w:w="10964"/>
          </w:cols>
          <w:pgMar w:left="436" w:top="266" w:right="4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AGREEMENT</w:t>
      </w:r>
    </w:p>
    <w:p>
      <w:pPr>
        <w:spacing w:after="0" w:line="229" w:lineRule="exact"/>
        <w:rPr>
          <w:sz w:val="20"/>
          <w:szCs w:val="20"/>
          <w:color w:val="auto"/>
        </w:rPr>
      </w:pPr>
    </w:p>
    <w:p>
      <w:pPr>
        <w:jc w:val="both"/>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This Employment Agreement (the “Agreement”) is hereby entered into as of the latest written date on the signature page hereto by and between Versant Media, LLC, a Pennsylvania limited liability company, (together with its parents, subsidiaries and affiliates, the “Company” or “Versant”) and Jordan R. Fasbender (“you” or “your,” as applicable).</w:t>
      </w:r>
    </w:p>
    <w:p>
      <w:pPr>
        <w:spacing w:after="0" w:line="176"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Comcast Corporation is currently in the process of completing a spin-off distribution of Versant Media Group, Inc. from Comcast Corporation into a separate, publicly-traded company (the “Separation”), and the date of such Separation (the “Separation Effective Date”). Upon the Separation, Versant will be the wholly-owned subsidiary of Versant Media Group, Inc.</w:t>
      </w:r>
    </w:p>
    <w:p>
      <w:pPr>
        <w:spacing w:after="0" w:line="172" w:lineRule="exact"/>
        <w:rPr>
          <w:sz w:val="20"/>
          <w:szCs w:val="20"/>
          <w:color w:val="auto"/>
        </w:rPr>
      </w:pPr>
    </w:p>
    <w:p>
      <w:pPr>
        <w:ind w:left="184" w:hanging="184"/>
        <w:spacing w:after="0"/>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this Agreement will commence upon your execution of this Agreement (the “Start Date”) and will continue, subject to suspension, extension, termination, or expiration as hereinafter provided, for a period of four (4) consecutive years thereafter (“Term”).</w:t>
      </w:r>
    </w:p>
    <w:p>
      <w:pPr>
        <w:spacing w:after="0" w:line="161"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99"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will automatically terminate at the end of the Term without notice, unless the parties agree otherwise in writing. You agree that the Company has no obligation to extend the Term or to continue your employment after expiration of the Term, and you expressly acknowledge that no promises or understandings to the contrary have been made or reached. You also agree that, should the Company choose to continue your employment for any period of time following the expiration of the Term, absent a written agreement to the contrary signed by both parties, your employment with the Company will be “at will,” which means that, during any time following the expiration of the Term, the Company may terminate your employment, with or without reason and with or without notice, and you may resign at any time, with or without reason and with or without notice. In the event that your employment continues at will, it is understood and agreed that paragraphs 5(f)-(h), 6, and 10-14 of this Agreement will remain in effect in accordance with their terms.</w:t>
      </w:r>
    </w:p>
    <w:p>
      <w:pPr>
        <w:spacing w:after="0" w:line="18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Duties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20" w:firstLine="440"/>
        <w:spacing w:after="0" w:line="261" w:lineRule="auto"/>
        <w:rPr>
          <w:sz w:val="20"/>
          <w:szCs w:val="20"/>
          <w:color w:val="auto"/>
        </w:rPr>
      </w:pPr>
      <w:r>
        <w:rPr>
          <w:rFonts w:ascii="Times New Roman" w:cs="Times New Roman" w:eastAsia="Times New Roman" w:hAnsi="Times New Roman"/>
          <w:sz w:val="18"/>
          <w:szCs w:val="18"/>
          <w:color w:val="auto"/>
        </w:rPr>
        <w:t>You agree to be employed by and perform services for the Company and the Company agrees to employ you under the terms and conditions of this Agreement. You agree to devote all of your business time, attention and skills exclusively to the performance of all your duties, and during the Term, you will provide your services exclusively to the Company. You will serve hereunder as General Counsel and Corporate Secretary, Versant, and you will perform those services that are assigned to you and are commensurate with</w:t>
      </w:r>
    </w:p>
    <w:p>
      <w:pPr>
        <w:sectPr>
          <w:pgSz w:w="11900" w:h="16838" w:orient="portrait"/>
          <w:cols w:equalWidth="0" w:num="1">
            <w:col w:w="11024"/>
          </w:cols>
          <w:pgMar w:left="436" w:top="117" w:right="439" w:bottom="1440" w:gutter="0" w:footer="0" w:header="0"/>
        </w:sectPr>
      </w:pPr>
    </w:p>
    <w:bookmarkStart w:id="45" w:name="page46"/>
    <w:bookmarkEnd w:id="45"/>
    <w:p>
      <w:pPr>
        <w:ind w:left="4"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position. You agree that during your employment, you will perform such duties pursuant to the highest standards of competence, skill, integrity, efficiency, and professionalism, and subject to the Company’s reasonable direction and control. You will not be required, without your consent, to perform your primary duties under this Agreement in a location other than in the New York/New Jersey metropolitan area, except for required travel for the Company’s business.</w:t>
      </w:r>
    </w:p>
    <w:p>
      <w:pPr>
        <w:spacing w:after="0" w:line="176" w:lineRule="exact"/>
        <w:rPr>
          <w:sz w:val="20"/>
          <w:szCs w:val="20"/>
          <w:color w:val="auto"/>
        </w:rPr>
      </w:pPr>
    </w:p>
    <w:p>
      <w:pPr>
        <w:ind w:left="184" w:hanging="184"/>
        <w:spacing w:after="0"/>
        <w:tabs>
          <w:tab w:leader="none" w:pos="184"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Compensation and Related Matters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For all services rendered commencing on the Start Date, the Company will pay you a base salary at an annual rate of One Million and 00/100 Dollars ($1,000,000.00) (“Base Salary”), less normal payroll deductions and withholdings required by law, and payable in accordance with the Company’s applicable payroll practices. The Company agrees to review your performance and Base Salary through the normal merit review process provided such process will not result in a decrease in Base Salary. Any subsequent increase(s) in Base Salary will become your Base Salary for the purposes of this paragraph and will commence on the date determined by the Company.</w:t>
      </w:r>
    </w:p>
    <w:p>
      <w:pPr>
        <w:spacing w:after="0" w:line="183"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Performance Bonus</w:t>
      </w:r>
      <w:r>
        <w:rPr>
          <w:rFonts w:ascii="Times New Roman" w:cs="Times New Roman" w:eastAsia="Times New Roman" w:hAnsi="Times New Roman"/>
          <w:sz w:val="18"/>
          <w:szCs w:val="18"/>
          <w:color w:val="auto"/>
        </w:rPr>
        <w:t>. You will be eligible to participate in the Company’s annual bonus plan, or any plan adopted in replacement thereof (“Bonus Plan”), as determined by the Company and in accordance with the Bonus Plan’s terms and conditions. Your target for each year in which you are eligible to participate in the Bonus Plan will be one hundred twenty percent (120%) of Base Salary (“Bonus Plan Target”), and your award under the Bonus Plan will be based upon a measurement of performance against objectives in accordance with the Bonus Plan, as may be amended from time to time. You understand that Bonus Plan awards are not guaranteed compensation and are subject to the sole discretion of the Company and the Versant Board of Directors (or its Compensation Committee) (together, the “Board”). Any award under the Bonus Plan will be payable no later than March 15 of the calendar year following the calendar year to which the award relates and at the same time that similarly-situated executives receive Bonus Plan awards (the “Bonus Payment Date”) provided that, on the date of payment, you have satisfied any requirements of the Bonus Plan and are not in breach of this Agreement.</w:t>
      </w:r>
    </w:p>
    <w:p>
      <w:pPr>
        <w:spacing w:after="0" w:line="188"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89" w:val="left"/>
        </w:tabs>
        <w:numPr>
          <w:ilvl w:val="1"/>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Long-Term Incentive</w:t>
      </w:r>
      <w:r>
        <w:rPr>
          <w:rFonts w:ascii="Times New Roman" w:cs="Times New Roman" w:eastAsia="Times New Roman" w:hAnsi="Times New Roman"/>
          <w:sz w:val="18"/>
          <w:szCs w:val="18"/>
          <w:color w:val="auto"/>
        </w:rPr>
        <w:t>. You will be eligible to participate in and receive long-term incentive awards under the Versant Media Group, Inc. Omnibus Equity Incentive Plan (as amended from time to time, and together with any successor plan thereto, the “LTI Plan”), as determined by the Company and in accordance with the terms and conditions of the LTI Plan (such awards, “LTI Award(s)”). The annual target grant-date fair value of your LTI Award will be Two Million and 00/100 Dollars ($2,000,000.00). Notwithstanding the generality of the foregoing, the Board (or its Compensation Committee) will determine in its sole discretion whether to grant an LTI Award to you, and if the Board so determines, the amount of and terms and conditions applicable to any LTI Award will be governed in all respects by the terms and conditions of the LTI Plan and the applicable award agreement. The Company reserves the right to amend, modify, and/or terminate the LTI Plan at any time.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70" w:right="439" w:bottom="1440" w:gutter="0" w:footer="0" w:header="0"/>
        </w:sectPr>
      </w:pPr>
    </w:p>
    <w:bookmarkStart w:id="46" w:name="page47"/>
    <w:bookmarkEnd w:id="46"/>
    <w:p>
      <w:pPr>
        <w:ind w:left="4" w:firstLine="436"/>
        <w:spacing w:after="0" w:line="258" w:lineRule="auto"/>
        <w:tabs>
          <w:tab w:leader="none" w:pos="69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Founders Grant</w:t>
      </w:r>
      <w:r>
        <w:rPr>
          <w:rFonts w:ascii="Times New Roman" w:cs="Times New Roman" w:eastAsia="Times New Roman" w:hAnsi="Times New Roman"/>
          <w:sz w:val="18"/>
          <w:szCs w:val="18"/>
          <w:color w:val="auto"/>
        </w:rPr>
        <w:t>. Subject to the approval of the Board, you will be awarded a long-term incentive grant having a fair market value on the day of grant of One Million and 00/100 Dollars ($1,000,000.00) as soon as practicable following the completion of the Separation (the “Founders Grant”). The Founders Grant may be made in the form of restricted stock, performance stock units, stock options, restricted stock units, long-term cash, or a combination thereof as determined in the sole discretion of the Board, and will be subject to the terms and conditions, including but not limited to a vesting schedule of the applicable Company long-term incentive plan.</w:t>
      </w:r>
    </w:p>
    <w:p>
      <w:pPr>
        <w:spacing w:after="0" w:line="183" w:lineRule="exact"/>
        <w:rPr>
          <w:rFonts w:ascii="Times New Roman" w:cs="Times New Roman" w:eastAsia="Times New Roman" w:hAnsi="Times New Roman"/>
          <w:sz w:val="18"/>
          <w:szCs w:val="18"/>
          <w:color w:val="auto"/>
        </w:rPr>
      </w:pPr>
    </w:p>
    <w:p>
      <w:pPr>
        <w:ind w:left="4" w:right="720" w:firstLine="436"/>
        <w:spacing w:after="0" w:line="282" w:lineRule="auto"/>
        <w:tabs>
          <w:tab w:leader="none" w:pos="689"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Withholdings/Deductions</w:t>
      </w:r>
      <w:r>
        <w:rPr>
          <w:rFonts w:ascii="Times New Roman" w:cs="Times New Roman" w:eastAsia="Times New Roman" w:hAnsi="Times New Roman"/>
          <w:sz w:val="18"/>
          <w:szCs w:val="18"/>
          <w:color w:val="auto"/>
        </w:rPr>
        <w:t>. All payments under the Agreement are subject to applicable tax withholdings and other legally required or authorized deductions.</w:t>
      </w:r>
    </w:p>
    <w:p>
      <w:pPr>
        <w:spacing w:after="0" w:line="157"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Benefits and Business Expenses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Benefits</w:t>
      </w:r>
      <w:r>
        <w:rPr>
          <w:rFonts w:ascii="Times New Roman" w:cs="Times New Roman" w:eastAsia="Times New Roman" w:hAnsi="Times New Roman"/>
          <w:sz w:val="18"/>
          <w:szCs w:val="18"/>
          <w:color w:val="auto"/>
        </w:rPr>
        <w:t>. You will be eligible to participate in the benefit plans and programs generally available to similarly situated executive employees of the Company as in effect from time to time, so long as the Company provides such plans and programs and subject to their terms and conditions and applicable law.</w:t>
      </w:r>
    </w:p>
    <w:p>
      <w:pPr>
        <w:spacing w:after="0" w:line="17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 Reimbursements</w:t>
      </w:r>
      <w:r>
        <w:rPr>
          <w:rFonts w:ascii="Times New Roman" w:cs="Times New Roman" w:eastAsia="Times New Roman" w:hAnsi="Times New Roman"/>
          <w:sz w:val="18"/>
          <w:szCs w:val="18"/>
          <w:color w:val="auto"/>
        </w:rPr>
        <w:t>. During your employment, the Company will reimburse you for your reasonable, necessary, and approved business expenses in accordance with its then-prevailing policy and procedures. Any reimbursement pursuant to this paragraph (i) will be made not later than the calendar end of the year immediately following the calendar year in which such expense is incurred; (ii) will not be subject to liquidation or exchange for another benefit, and (iii) the amount of expenses eligible for reimbursement during any calendar year will not affect the expenses eligible for reimbursement in any other calendar year.</w:t>
      </w:r>
    </w:p>
    <w:p>
      <w:pPr>
        <w:spacing w:after="0" w:line="183"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Travel</w:t>
      </w:r>
      <w:r>
        <w:rPr>
          <w:rFonts w:ascii="Times New Roman" w:cs="Times New Roman" w:eastAsia="Times New Roman" w:hAnsi="Times New Roman"/>
          <w:sz w:val="18"/>
          <w:szCs w:val="18"/>
          <w:color w:val="auto"/>
        </w:rPr>
        <w:t>. You will be entitled to travel and hotel accommodations in connection with all travel on behalf of the Company in accordance with the then-current Company travel policy.</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47" w:name="page48"/>
    <w:bookmarkEnd w:id="47"/>
    <w:p>
      <w:pPr>
        <w:ind w:left="184" w:hanging="184"/>
        <w:spacing w:after="0"/>
        <w:tabs>
          <w:tab w:leader="none" w:pos="18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Rights and Obligations Upon Termination and Other Events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600" w:firstLine="436"/>
        <w:spacing w:after="0" w:line="282" w:lineRule="auto"/>
        <w:tabs>
          <w:tab w:leader="none" w:pos="68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for Cause</w:t>
      </w:r>
      <w:r>
        <w:rPr>
          <w:rFonts w:ascii="Times New Roman" w:cs="Times New Roman" w:eastAsia="Times New Roman" w:hAnsi="Times New Roman"/>
          <w:sz w:val="18"/>
          <w:szCs w:val="18"/>
          <w:color w:val="auto"/>
        </w:rPr>
        <w:t>. The Company may terminate your employment and this Agreement for Cause upon written notice following its determination that you have committed any of the following acts (“Termination for Cause”):</w:t>
      </w:r>
    </w:p>
    <w:p>
      <w:pPr>
        <w:spacing w:after="0" w:line="53" w:lineRule="exact"/>
        <w:rPr>
          <w:rFonts w:ascii="Times New Roman" w:cs="Times New Roman" w:eastAsia="Times New Roman" w:hAnsi="Times New Roman"/>
          <w:sz w:val="18"/>
          <w:szCs w:val="18"/>
          <w:color w:val="auto"/>
        </w:rPr>
      </w:pPr>
    </w:p>
    <w:p>
      <w:pPr>
        <w:ind w:left="4" w:right="240" w:firstLine="987"/>
        <w:spacing w:after="0" w:line="282" w:lineRule="auto"/>
        <w:tabs>
          <w:tab w:leader="none" w:pos="129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conviction of or a guilty/no contest plea to a felony or a crime involving moral turpitude, the nature and circumstances of which are determined in the Company’s discretion to disqualify you from continued employment with Company;</w:t>
      </w:r>
    </w:p>
    <w:p>
      <w:pPr>
        <w:spacing w:after="0" w:line="161"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fraud;</w:t>
      </w:r>
    </w:p>
    <w:p>
      <w:pPr>
        <w:spacing w:after="0" w:line="22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embezzlement or other misappropriation of funds;</w:t>
      </w:r>
    </w:p>
    <w:p>
      <w:pPr>
        <w:spacing w:after="0" w:line="225"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misrepresentation with respect to the Company;</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and/or repeated failure to perform duties;</w:t>
      </w:r>
    </w:p>
    <w:p>
      <w:pPr>
        <w:spacing w:after="0" w:line="225" w:lineRule="exact"/>
        <w:rPr>
          <w:rFonts w:ascii="Times New Roman" w:cs="Times New Roman" w:eastAsia="Times New Roman" w:hAnsi="Times New Roman"/>
          <w:sz w:val="18"/>
          <w:szCs w:val="18"/>
          <w:color w:val="auto"/>
        </w:rPr>
      </w:pPr>
    </w:p>
    <w:p>
      <w:pPr>
        <w:ind w:left="1264" w:hanging="273"/>
        <w:spacing w:after="0"/>
        <w:tabs>
          <w:tab w:leader="none" w:pos="126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negligence or willful misconduct in the performance of duties;</w:t>
      </w:r>
    </w:p>
    <w:p>
      <w:pPr>
        <w:spacing w:after="0" w:line="225"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290"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 of any act or involvement in any situation, or occurrence, whether before or during the Term, or which brings (or if made public, would reasonably be expected to bring) you or the Company into widespread public disrepute, contempt, scandal or ridicule, or which justifiably shocks, insults or offends a significant portion of the community, or your or the Company being subject to publicity for any such conduct or involvement in such conduct;</w:t>
      </w:r>
    </w:p>
    <w:p>
      <w:pPr>
        <w:spacing w:after="0" w:line="179" w:lineRule="exact"/>
        <w:rPr>
          <w:rFonts w:ascii="Times New Roman" w:cs="Times New Roman" w:eastAsia="Times New Roman" w:hAnsi="Times New Roman"/>
          <w:sz w:val="18"/>
          <w:szCs w:val="18"/>
          <w:color w:val="auto"/>
        </w:rPr>
      </w:pPr>
    </w:p>
    <w:p>
      <w:pPr>
        <w:ind w:left="1284" w:hanging="293"/>
        <w:spacing w:after="0"/>
        <w:tabs>
          <w:tab w:leader="none" w:pos="128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violation of the Employee Handbook, the Code of Conduct or any other written Company policy; or</w:t>
      </w:r>
    </w:p>
    <w:p>
      <w:pPr>
        <w:spacing w:after="0" w:line="225" w:lineRule="exact"/>
        <w:rPr>
          <w:rFonts w:ascii="Times New Roman" w:cs="Times New Roman" w:eastAsia="Times New Roman" w:hAnsi="Times New Roman"/>
          <w:sz w:val="18"/>
          <w:szCs w:val="18"/>
          <w:color w:val="auto"/>
        </w:rPr>
      </w:pPr>
    </w:p>
    <w:p>
      <w:pPr>
        <w:ind w:left="1224" w:hanging="233"/>
        <w:spacing w:after="0"/>
        <w:tabs>
          <w:tab w:leader="none" w:pos="1224" w:val="left"/>
        </w:tabs>
        <w:numPr>
          <w:ilvl w:val="2"/>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breach of this Agreement.</w:t>
      </w:r>
    </w:p>
    <w:p>
      <w:pPr>
        <w:spacing w:after="0" w:line="225" w:lineRule="exact"/>
        <w:rPr>
          <w:sz w:val="20"/>
          <w:szCs w:val="20"/>
          <w:color w:val="auto"/>
        </w:rPr>
      </w:pPr>
    </w:p>
    <w:p>
      <w:pPr>
        <w:ind w:left="4" w:right="20"/>
        <w:spacing w:after="0" w:line="258" w:lineRule="auto"/>
        <w:rPr>
          <w:sz w:val="20"/>
          <w:szCs w:val="20"/>
          <w:color w:val="auto"/>
        </w:rPr>
      </w:pPr>
      <w:r>
        <w:rPr>
          <w:rFonts w:ascii="Times New Roman" w:cs="Times New Roman" w:eastAsia="Times New Roman" w:hAnsi="Times New Roman"/>
          <w:sz w:val="18"/>
          <w:szCs w:val="18"/>
          <w:color w:val="auto"/>
        </w:rPr>
        <w:t>Prior to any Termination for Cause, the Company will provide you with notice setting forth the reasons that Cause exists, in which case you will have an opportunity to cure, provided a cure is reasonably possible and timely effected, to the Company’s satisfaction and is not a matter that was the general subject matter of an earlier cure notice given to you. It is expressly understood that the Company’s ability to effect a Termination for Cause is not an exclusive remedy, and further that nothing in this Agreement prevents the Company from obtaining any and all appropriate remedies for any injury that arises out of or is related to any breach of this Agreement.</w:t>
      </w:r>
    </w:p>
    <w:p>
      <w:pPr>
        <w:spacing w:after="0" w:line="18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In the event of your Termination for Cause, you will be entitled to payment of any accrued but unpaid Base Salary due to you through the date of termination (payable no later than thirty (30) days after such termination); any accrued, but unpaid vacation to the extent required by Company policy or law; accrued, but unreimbursed business expenses (payable as provided in paragraph 4(b) above); and other unpaid amounts, if any, then due to you under Company benefit plans or programs, which will be payable as provided by the terms and conditions of such plans (collectively, the “Accrued Amounts”).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48" w:name="page49"/>
    <w:bookmarkEnd w:id="48"/>
    <w:p>
      <w:pPr>
        <w:ind w:right="360" w:firstLine="436"/>
        <w:spacing w:after="0" w:line="282" w:lineRule="auto"/>
        <w:tabs>
          <w:tab w:leader="none" w:pos="69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Services No Longer Required</w:t>
      </w:r>
      <w:r>
        <w:rPr>
          <w:rFonts w:ascii="Times New Roman" w:cs="Times New Roman" w:eastAsia="Times New Roman" w:hAnsi="Times New Roman"/>
          <w:sz w:val="18"/>
          <w:szCs w:val="18"/>
          <w:color w:val="auto"/>
        </w:rPr>
        <w:t>. The Company may elect for any reason and at any time to no longer require your services by providing you with written notice (the date you cease to provide services to the Company pursuant to such notice (the “NLR Date”)).</w:t>
      </w:r>
    </w:p>
    <w:p>
      <w:pPr>
        <w:spacing w:after="0" w:line="161" w:lineRule="exact"/>
        <w:rPr>
          <w:rFonts w:ascii="Times New Roman" w:cs="Times New Roman" w:eastAsia="Times New Roman" w:hAnsi="Times New Roman"/>
          <w:sz w:val="18"/>
          <w:szCs w:val="18"/>
          <w:color w:val="auto"/>
        </w:rPr>
      </w:pPr>
    </w:p>
    <w:p>
      <w:pPr>
        <w:ind w:right="40" w:firstLine="987"/>
        <w:spacing w:after="0" w:line="252" w:lineRule="auto"/>
        <w:tabs>
          <w:tab w:leader="none" w:pos="120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In the event the Company exercises its rights under this subparagraph, you will be entitled to payment of the Accrued Amounts. In addition, subject to and in accordance with the terms and conditions of the Agreement and your timely execution and non-revocation of the Company’s standard separation agreement containing a general release of claims in a form acceptable to the Company (the “Release”), the Company will provide you with the following: (A) continuation of your Base Salary (as of the NLR Date) for the two (2)-year period immediately following the NLR Date (the “NLR Period”) payable on the Company’s regular payroll dates; (B)(i) an amount equal to your Bonus Plan Target, pro-rated for the period of the Bonus Plan year corresponding to the NLR Date that you were actively employed (exclusive of the Garden Leave) and calculated based on actual achievement of applicable performance criteria, and (ii) continued entitlement to payment of your Bonus Plan Target (calculated as of the NLR Date) for the NLR Period, payable on the applicable Bonus Payment Dates and subject to the terms and conditions of the Bonus Plan (which, for the avoidance of doubt, equals a total payout of two times (2x) your Bonus Plan Target); (C) continued vesting during the NLR Period of any outstanding and unvested LTI Awards (except for any unvested tranches of the Founders Grant as provided in subparagraph 3(d)) granted prior to the NLR Date (provided that to the extent the terms of the LTI Plan or the award agreements governing the applicable LTI Awards provide more favorable vesting treatment at termination of employment, those terms will apply in lieu of this sub-clause); and (D) continued participation in the Company’s benefits plans and programs as provided under paragraph 4(a) for you and your eligible dependents enrolled as of the NLR Date, at a similar cost to you as active employees and subject to the terms and conditions of such plans and programs and applicable law. In the event your continued participation in the Company’s medical, dental, and/or vision plans is barred or otherwise results in adverse tax consequences for the Company, then the Company will arrange to provide you and your eligible dependents with substantially similar coverage to that which such persons would have otherwise been entitled to receive under such benefit programs from which such continued participation is barred, which may include a cash payment in lieu thereof.</w:t>
      </w:r>
    </w:p>
    <w:p>
      <w:pPr>
        <w:spacing w:after="0" w:line="191" w:lineRule="exact"/>
        <w:rPr>
          <w:rFonts w:ascii="Times New Roman" w:cs="Times New Roman" w:eastAsia="Times New Roman" w:hAnsi="Times New Roman"/>
          <w:sz w:val="18"/>
          <w:szCs w:val="18"/>
          <w:color w:val="auto"/>
        </w:rPr>
      </w:pPr>
    </w:p>
    <w:p>
      <w:pPr>
        <w:ind w:firstLine="987"/>
        <w:spacing w:after="0" w:line="255" w:lineRule="auto"/>
        <w:tabs>
          <w:tab w:leader="none" w:pos="125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Exclusivity/Benefits Offset</w:t>
      </w:r>
      <w:r>
        <w:rPr>
          <w:rFonts w:ascii="Times New Roman" w:cs="Times New Roman" w:eastAsia="Times New Roman" w:hAnsi="Times New Roman"/>
          <w:sz w:val="18"/>
          <w:szCs w:val="18"/>
          <w:color w:val="auto"/>
        </w:rPr>
        <w:t>. During the ninety (90)-day period immediately following the NLR Date (the “Garden Leave”), your exclusivity obligations under paragraph 6(f) will remain in full force and effect, and your role will transition to facilitating, in whatever manner is reasonably necessary and requested by the Company, the transition of your duties, knowledge, and responsibilities in a cooperative and professional manner. Following the Garden Leave and for the remainder of the NLR Period, your exclusivity obligations will be waived, your employment will convert to inactive status, and you will be free to render your services to a third party, provided that if you become eligible to receive coverage under any medical benefit plan offered by such third party, the Company will be relieved of all obligations to provide any of its benefit plans or the value of such benefits to you pursuant to paragraph 5(b)(i)(D) as of the date you commence providing such services.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49" w:name="page50"/>
    <w:bookmarkEnd w:id="49"/>
    <w:p>
      <w:pPr>
        <w:ind w:left="1300" w:hanging="313"/>
        <w:spacing w:after="0"/>
        <w:tabs>
          <w:tab w:leader="none" w:pos="1300"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 of Agreement</w:t>
      </w:r>
      <w:r>
        <w:rPr>
          <w:rFonts w:ascii="Times New Roman" w:cs="Times New Roman" w:eastAsia="Times New Roman" w:hAnsi="Times New Roman"/>
          <w:sz w:val="18"/>
          <w:szCs w:val="18"/>
          <w:color w:val="auto"/>
        </w:rPr>
        <w:t>. The Term of this Agreement will be extended or terminated to be co-terminous with the NLR Period.</w:t>
      </w:r>
    </w:p>
    <w:p>
      <w:pPr>
        <w:spacing w:after="0" w:line="225"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Failure or Refusal to Provide Services</w:t>
      </w:r>
      <w:r>
        <w:rPr>
          <w:rFonts w:ascii="Times New Roman" w:cs="Times New Roman" w:eastAsia="Times New Roman" w:hAnsi="Times New Roman"/>
          <w:sz w:val="18"/>
          <w:szCs w:val="18"/>
          <w:color w:val="auto"/>
        </w:rPr>
        <w:t>. In the event you fail, refuse or are unable to perform the services required of you for any period(s) during the Term and for any reason other than an injury, illness or condition covered by the Company’s time off, short-term sickness or injury and medical disability policies, the Company will have the right to suspend its contractual obligations to pay you during any such period(s), and the Company may, but will not be obligated to, extend the Term for a period equal to all or any part of the period or aggregate of periods of such suspension. In addition, during the period(s) of your not performing services as contemplated in this paragraph, the Company also may suspend any salary increases or grants under any long-term incentive or deferred compensation program, or modify applicable bonuses in accordance with such bonus plans, whether or not it has previously exercised any of the rights specified herein. All such rights hereunder will be subject to local, state, and federal laws governing disabilities and leaves of absence as well as the Company’s applicable policies.</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Notwithstanding any other provision of this Agreement, if during the Term you become physically or mentally disabled due to an illness, injury or condition such that you are unable to perform your essential duties for a period of more than sixty (60) consecutive days or for a cumulative period of more than sixty (60) days in any twelve (12) month period, Company will have the right (before the end of such disability), at its option, to terminate this Agreement, except if such termination would be prohibited by law. Should the Company terminate this Agreement pursuant to the foregoing, your employment with the Company will be “at will,” subject to Company’s applicable disability policies. Alternatively, should the Company elect to not terminate this Agreement, Company may, but will not be obligated to, extend the Term for a period equal to all or any part of the period or aggregate of periods of any such disability. During any period of disability that is covered by the Company’s disability policies and practices, your compensation may be adjusted and paid in accordance with the terms of such policy or practice. All rights and obligations hereunder will be subject to state and federal laws governing disabilities and leaves of absence as well as the Company’s applicable policies. In the event your employment is terminated due to a disability under this paragraph 5(d), you will be entitled to payment of the Accrued Amounts.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50" w:name="page51"/>
    <w:bookmarkEnd w:id="50"/>
    <w:p>
      <w:pPr>
        <w:ind w:left="4" w:firstLine="436"/>
        <w:spacing w:after="0" w:line="255" w:lineRule="auto"/>
        <w:tabs>
          <w:tab w:leader="none" w:pos="689"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Death</w:t>
      </w:r>
      <w:r>
        <w:rPr>
          <w:rFonts w:ascii="Times New Roman" w:cs="Times New Roman" w:eastAsia="Times New Roman" w:hAnsi="Times New Roman"/>
          <w:sz w:val="18"/>
          <w:szCs w:val="18"/>
          <w:color w:val="auto"/>
        </w:rPr>
        <w:t>. If you die during the Term of this Agreement, this Agreement will automatically terminate and your estate or legal representative will be paid (i) any accrued but unpaid Base Salary due to you through your date of death, (ii) your Bonus Target, pro-rated on a daily basis for any period of active service during the year of death, including any time you have received benefits under the Company’s short term disability policy (iii) any accrued but unpaid vacation, to the extent required by law and (iv) other unpaid amounts then due under express terms of the applicable Company benefit plans or programs and benefits payable due to your death under Company employee benefit plans or programs, which will be payable or provided as set forth in the applicable plans and programs. Payments under clauses (i)—(iv) hereunder will be made within thirty (30) days of your death. Payment of any accrued but unreimbursed expenses will be made in accordance with paragraph 4(b) above.</w:t>
      </w:r>
    </w:p>
    <w:p>
      <w:pPr>
        <w:spacing w:after="0" w:line="188"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Special Rules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987"/>
        <w:spacing w:after="0" w:line="254" w:lineRule="auto"/>
        <w:tabs>
          <w:tab w:leader="none" w:pos="121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termination of employment does not constitute a “separation from service” within the meaning of Section 409A of the Internal Revenue Code of 1986, as amended (“Section 409A”), any payment that would otherwise have been due and payable, or would have commenced to be paid, under this paragraph 5 in connection with your termination of employment will be delayed until such time as you will incur such a separation from service (and such separation from service will be treated as a termination of your employment for purposes of determining when such payments are to be made); except (A) to the extent of amounts that do not constitute a deferral of compensation within the meaning of Treasury Regulation</w:t>
      </w:r>
    </w:p>
    <w:p>
      <w:pPr>
        <w:spacing w:after="0" w:line="3" w:lineRule="exact"/>
        <w:rPr>
          <w:rFonts w:ascii="Times New Roman" w:cs="Times New Roman" w:eastAsia="Times New Roman" w:hAnsi="Times New Roman"/>
          <w:sz w:val="18"/>
          <w:szCs w:val="18"/>
          <w:color w:val="auto"/>
        </w:rPr>
      </w:pPr>
    </w:p>
    <w:p>
      <w:pPr>
        <w:ind w:left="4" w:right="46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Section 1.409A-1(b) (including, without limitation, by reason of the safe harbor set forth in Treasury Regulation Section 1.409A-1(b)(9)(iii), as determined by the Company); (B) benefits which qualify as excepted welfare benefits pursuant to Treasury Regulation Section 1.409A-1(a)(5); or</w:t>
      </w:r>
    </w:p>
    <w:p>
      <w:pPr>
        <w:ind w:left="284" w:hanging="284"/>
        <w:spacing w:after="0"/>
        <w:tabs>
          <w:tab w:leader="none" w:pos="28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amounts that are not subject to the requirements of Section 409A.</w:t>
      </w:r>
    </w:p>
    <w:p>
      <w:pPr>
        <w:spacing w:after="0" w:line="206" w:lineRule="exact"/>
        <w:rPr>
          <w:rFonts w:ascii="Times New Roman" w:cs="Times New Roman" w:eastAsia="Times New Roman" w:hAnsi="Times New Roman"/>
          <w:sz w:val="18"/>
          <w:szCs w:val="18"/>
          <w:color w:val="auto"/>
        </w:rPr>
      </w:pPr>
    </w:p>
    <w:p>
      <w:pPr>
        <w:ind w:left="4" w:firstLine="987"/>
        <w:spacing w:after="0" w:line="256" w:lineRule="auto"/>
        <w:tabs>
          <w:tab w:leader="none" w:pos="126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on the date of your separation from service, you are a specified employee within the meaning of Section 409A, any payment, which constitutes “deferred compensation” under Section 409A and is payable on account of separation from service that would otherwise have been due and payable under this paragraph 5 within six (6) months of the date of such separation from service, will be delayed until the six (6) month anniversary of the date of such separation from service (the “Six Month Delay”). The Six Month Delay will not apply to any deferred compensation that is payable at a fixed date (including any payment of bonus or Base Salary that, as a series of separate payments, is a short-term deferral within the meaning of Section 409A, and any payment arising on account of your death); and</w:t>
      </w:r>
    </w:p>
    <w:p>
      <w:pPr>
        <w:spacing w:after="0" w:line="187" w:lineRule="exact"/>
        <w:rPr>
          <w:rFonts w:ascii="Times New Roman" w:cs="Times New Roman" w:eastAsia="Times New Roman" w:hAnsi="Times New Roman"/>
          <w:sz w:val="18"/>
          <w:szCs w:val="18"/>
          <w:color w:val="auto"/>
        </w:rPr>
      </w:pPr>
    </w:p>
    <w:p>
      <w:pPr>
        <w:jc w:val="both"/>
        <w:ind w:left="4" w:right="120" w:firstLine="987"/>
        <w:spacing w:after="0" w:line="261" w:lineRule="auto"/>
        <w:tabs>
          <w:tab w:leader="none" w:pos="1310"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intent of the parties that this Agreement be administered in a manner consistent with, and in compliance with, Section 409A and the regulations thereunder. Accordingly, this Agreement will be construed and interpreted, to the maximum extent possible, in a manner consistent with the requirements of such Section 409A. If any amounts payable hereunder are paid in installments, each installment will be considered a separate payment; and the right to a series of installment payments under</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51" w:name="page52"/>
    <w:bookmarkEnd w:id="51"/>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Agreement is a right to a series of separate payments. Any provision of this Agreement to the contrary notwithstanding, the Company does not represent, warrant or guarantee that the payments and benefits that may be paid or provided pursuant to this Agreement will not be includible in your federal gross income pursuant to Section 409A, nor does the Company make any other representation, warranty or guarantee to you as to the tax consequences of this Agreement.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For the sake of clarity, you acknowledge and agree that neither the transfer of your employment to Versant or one of its subsidiaries on or prior to the date of the Separation nor the occurrence of the Separation will, in either case constitute a termination of your employment for purposes of this Agreement.</w:t>
      </w:r>
    </w:p>
    <w:p>
      <w:pPr>
        <w:spacing w:after="0" w:line="176" w:lineRule="exact"/>
        <w:rPr>
          <w:sz w:val="20"/>
          <w:szCs w:val="20"/>
          <w:color w:val="auto"/>
        </w:rPr>
      </w:pPr>
    </w:p>
    <w:p>
      <w:pPr>
        <w:ind w:firstLine="436"/>
        <w:spacing w:after="0" w:line="266"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termination of your employment, you will be deemed to have resigned as an officer, director, trustee, agent, representative and from acting in any other capacity on behalf of the Company and all of its subsidiaries, divisions and affiliates and you agree to execute any required documentation necessary to effect such resignations.</w:t>
      </w:r>
    </w:p>
    <w:p>
      <w:pPr>
        <w:spacing w:after="0" w:line="175" w:lineRule="exact"/>
        <w:rPr>
          <w:rFonts w:ascii="Times New Roman" w:cs="Times New Roman" w:eastAsia="Times New Roman" w:hAnsi="Times New Roman"/>
          <w:sz w:val="18"/>
          <w:szCs w:val="18"/>
          <w:color w:val="auto"/>
        </w:rPr>
      </w:pPr>
    </w:p>
    <w:p>
      <w:pPr>
        <w:ind w:right="60" w:firstLine="436"/>
        <w:spacing w:after="0" w:line="253" w:lineRule="auto"/>
        <w:tabs>
          <w:tab w:leader="none" w:pos="69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 If you would be entitled to payments or benefits under this Agreement or under any other plan, program, agreement or arrangement that would constitute “parachute payments” as defined in Section 280G of the Code and could result in any such payment or benefit being subject to an excise tax under Section 4999 of the Code, the present value of your payments and benefits will be reduced by the minimum amount necessary such that the aggregate present value of such payments and benefits do not trigger the excise tax; provided, however, no such reductions will be given effect if you would be entitled to greater payments and benefits on an after-tax basis (taking into account the excise tax imposed pursuant to Section 4999 of the Code, any tax imposed by any comparable provision of state law, and any applicable federal, state and local income and employment taxes) than if such reductions were to be implemented. If payments or benefits are to be reduced, any such reduction in payments and/or benefits will be made in accordance with Section 409A and will occur in the manner that results in the greatest economic benefit to you as determined by a nationally recognized certified public accounting firm or other professional organization that is recognized as an expert in determinations and calculations for purposes of Sections 280G and 4999 of the Code and that is selected by the Company prior to the closing of the transaction giving rise to such payments and benefits. All determinations in applying the foregoing provisions for purposes of the “golden parachute” rules under Sections 280G and 4999 of the Code will be made by such accountants or organization and will be final and binding on the parties.</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40"/>
          </w:cols>
          <w:pgMar w:left="440" w:top="270" w:right="519" w:bottom="1440" w:gutter="0" w:footer="0" w:header="0"/>
        </w:sectPr>
      </w:pPr>
    </w:p>
    <w:bookmarkStart w:id="52" w:name="page53"/>
    <w:bookmarkEnd w:id="52"/>
    <w:p>
      <w:pPr>
        <w:ind w:left="4" w:firstLine="436"/>
        <w:spacing w:after="0" w:line="254" w:lineRule="auto"/>
        <w:tabs>
          <w:tab w:leader="none" w:pos="659" w:val="left"/>
        </w:tabs>
        <w:numPr>
          <w:ilvl w:val="1"/>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Good Reason Termination</w:t>
      </w:r>
      <w:r>
        <w:rPr>
          <w:rFonts w:ascii="Times New Roman" w:cs="Times New Roman" w:eastAsia="Times New Roman" w:hAnsi="Times New Roman"/>
          <w:sz w:val="18"/>
          <w:szCs w:val="18"/>
          <w:color w:val="auto"/>
        </w:rPr>
        <w:t>. You may terminate this Agreement and your employment for any of the following acts or actions by the Company upon sixty (60) days’ prior written notice to the Company, provided that you have given the Company such notice within ninety (90) days of the occurrence thereof and that such notice gives a reasonably detailed explanation of its basis so as to allow the Company a reasonable opportunity to cure such circumstance: (i) an involuntary change in title to one that conveys less responsibility and/or lower status; (ii) an involuntary change of your primary work location outside of the New York/New Jersey Metropolitan area; or (iii) a material breach of any material term of this Agreement, provided further that the Company has failed to remedy such act or action within the notice period set forth above. In the event the preconditions of this paragraph are satisfied, you elect to terminate your employment hereunder, and you execute and do not revoke the Release, you will be entitled to the compensation and benefits described in paragraph 5(b) in accordance with its terms, payable at such times as those amounts and benefits would have ordinarily become due and payable, and subject to the terms and conditions thereof.</w:t>
      </w:r>
    </w:p>
    <w:p>
      <w:pPr>
        <w:spacing w:after="0" w:line="184"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Covenants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8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Freedom to Enter Agreement</w:t>
      </w:r>
      <w:r>
        <w:rPr>
          <w:rFonts w:ascii="Times New Roman" w:cs="Times New Roman" w:eastAsia="Times New Roman" w:hAnsi="Times New Roman"/>
          <w:sz w:val="18"/>
          <w:szCs w:val="18"/>
          <w:color w:val="auto"/>
        </w:rPr>
        <w:t>. You represent and warrant that you are free to work for the Company and to enter into this Agreement, and that you are not restricted in any manner from performing under this Agreement by any prior agreement, commitment, or understanding, contractual or otherwise, with any third party. If you have acquired confidential or proprietary information in the course of your employment prior to the Company, you will fully comply with any duties not to use or disclose such information then applicable to you during the Term.</w:t>
      </w:r>
    </w:p>
    <w:p>
      <w:pPr>
        <w:spacing w:after="0" w:line="179"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Protected Rights</w:t>
      </w:r>
      <w:r>
        <w:rPr>
          <w:rFonts w:ascii="Times New Roman" w:cs="Times New Roman" w:eastAsia="Times New Roman" w:hAnsi="Times New Roman"/>
          <w:sz w:val="18"/>
          <w:szCs w:val="18"/>
          <w:color w:val="auto"/>
        </w:rPr>
        <w:t>. Nothing in this Agreement, including the following paragraphs, will restrict you from communicating directly with and providing information to any governmental agency or commission, including the Securities and Exchange Commission (“SEC”), the Occupational Safety and Health Administration (“OSHA”), the Department of Justice (“DOJ”), or the Commodity Futures Trading Commission (“CFTC”) regarding possible legal violations, without disclosure to the Company (“Whistleblower Activity”). You do not need the prior authorization of any member of the Company, nor will you be required to notify any member of the Company, to engage in Whistleblower Activity. The Company will not retaliate against you for any of these activities, and nothing in this Agreement or otherwise requires you to waive any monetary award or other payment that you might become entitled to receive from the SEC, OSHA, DOJ or CFTC. Further, pursuant to the Defend Trade Secrets Act of 2016 (18 U.S.C. § 1833(b)), you will not be held criminally or civilly liable under any federal or state trade secret law for the disclosure of a trade secret that (A) is made (x) in confidence to a federal, state, or local government official, either directly or indirectly, or to an attorney, and (y) solely for the purpose of reporting or investigating a suspected violation of law; or (B) is made in a complaint or other document filed in a lawsuit or other proceeding, if such filing is made under seal. In addition and without limiting the preceding sentence, if you file a lawsuit for retaliation by the Company for reporting a suspected violation of law, you may disclose the trade secret to your attorney and use the trade secret information in the court proceeding, if you (I) file any document containing the trade secret under seal, and (II) do not disclose the trade secret, except pursuant to court order. All of the foregoing rights described in this paragraph will be referred to herein as your “Protected Rights”.</w:t>
      </w:r>
    </w:p>
    <w:p>
      <w:pPr>
        <w:spacing w:after="0" w:line="130"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4"/>
          </w:cols>
          <w:pgMar w:left="436" w:top="270" w:right="539" w:bottom="1440" w:gutter="0" w:footer="0" w:header="0"/>
        </w:sectPr>
      </w:pPr>
    </w:p>
    <w:bookmarkStart w:id="53" w:name="page54"/>
    <w:bookmarkEnd w:id="53"/>
    <w:p>
      <w:pPr>
        <w:ind w:right="80" w:firstLine="436"/>
        <w:spacing w:after="0" w:line="253"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Confidentiality</w:t>
      </w:r>
      <w:r>
        <w:rPr>
          <w:rFonts w:ascii="Times New Roman" w:cs="Times New Roman" w:eastAsia="Times New Roman" w:hAnsi="Times New Roman"/>
          <w:sz w:val="18"/>
          <w:szCs w:val="18"/>
          <w:color w:val="auto"/>
        </w:rPr>
        <w:t>. You acknowledge and agree that you currently possess, or will acquire, learn, obtain or develop “Confidential Information” during your employment with the Company. “Confidential Information” means any information of a confidential nature or not known to the general public, which is received by you during your employment, concerning the Company, its employees, contractors, suppliers or customers. “Confidential Information” includes, but is not limited to: sales, marketing and other business methods, business plans, financial information, strategies and techniques, research and development projects and results, potential business ventures, software and firmware, trade secrets, know-how, processes and other intellectual property, information relating to past, present or prospective employees, contractors, suppliers, customers, as well as matters of a creative nature, including matters regarding ideas of a literary, creative, musical, or dramatic nature, or any other proprietary information about the Company’s business which is not generally known by the public, regardless of whether any such Confidential Information is in oral, written, machine, digital, or some other form. When in doubt, you agree to assume the information is confidential and/or proprietary in nature and not to be disclosed. Notwithstanding the foregoing, “Confidential Information” does not include: (i) your general knowledge, skills, and experience in the industry and/or gained from employment prior to the Company; or (ii) information now or hereafter in the public domain lawfully.</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You will hold in a fiduciary capacity, for the benefit of the Company, all Confidential Information, which you have or may acquire, learn, obtain or develop during your employment with the Company. Except as specifically excluded in this Agreement, you agree that you will not, during the Term or at any time thereafter, directly or indirectly use, communicate or divulge for your own benefit or for the benefit of another person, corporation, entity or third party any such Confidential Information other than (i) with the express written authorization of the Company; (ii) as required by law or as ordered by a court of competent jurisdiction; or (iii) with respect to matters that are generally known to the public. You hereby make the same commitments hereunder with respect to the Confidential Information of those affiliates, suppliers, customers and others with whom the Company has a business relationship or to whom the Company owes a duty of confidentiality.</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You also agree that you will not publicly express your opinion about the Company, or its or their officers, directors, employees, or agents in a manner that tends to portray any such entity or person in an unfavorable light. Notwithstanding, nothing in this Agreement will prevent you from discussing or disclosing information about unlawful acts in the workplace, such as harassment or discrimination or any other conduct that you have reason to believe is unlawful. You are strongly encouraged (or, if you are a supervisor, you are required) to report concerns that may involve a violation of Company policy, including the Respect in the Workplace Policy. The reporting channels available to you to raise any workplace concerns include: your Human Resources representative or any member of the HR team, any member of your management team, the Company’s anonymous Helpline or Web Portal, the General Counsel or any member of the Company’s Legal Department.</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54" w:name="page55"/>
    <w:bookmarkEnd w:id="54"/>
    <w:p>
      <w:pPr>
        <w:ind w:firstLine="436"/>
        <w:spacing w:after="0" w:line="267" w:lineRule="auto"/>
        <w:tabs>
          <w:tab w:leader="none" w:pos="695"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Property</w:t>
      </w:r>
      <w:r>
        <w:rPr>
          <w:rFonts w:ascii="Times New Roman" w:cs="Times New Roman" w:eastAsia="Times New Roman" w:hAnsi="Times New Roman"/>
          <w:sz w:val="17"/>
          <w:szCs w:val="17"/>
          <w:color w:val="auto"/>
        </w:rPr>
        <w:t>. The results and proceeds of your services or work hereunder, including, without limitation, materials, products, projects, inventions, discoveries, designs and all parts thereof, and/or works of authorship or works in progress that you create within the scope of your employment or otherwise resulting from your services during your employment with the Company and/or any of its affiliated entities or your use of any of the Company’s and/or its affiliated entities’ equipment, supplies, facilities, services or Confidential Information (collectively, the “Company Materials”), in addition to any and all copyrights, trademarks, trade secrets, and patents, extensions and renewals thereof under the United States and all other laws related to such Company Materials, will be Company’s sole and exclusive property, free from any adverse claims. All Company Materials will be deemed “works made for hire” as defined in Section 101 of the United States Copyright Act. The Company will be deemed the sole owner throughout the universe of any and all rights of whatsoever nature therein, whether or not now or hereafter known, existing, contemplated, recognized or developed, with the right to use the same in perpetuity in any manner the Company determines in its sole discretion without any further payment to you whatsoever. If, for any reason, any of the Company Materials are deemed not to legally be a work-for-hire and/or there are any rights which do not accrue to the Company hereunder or pursuant to law, then you hereby irrevocably assign and agree to assign any and all of your rights, titles and interests thereto, including, without limitation, any and all copyrights, patents, trade secrets, trademarks and/or other rights of whatsoever nature therein, whether or not now or hereafter known, existing, contemplated, recognized or developed, to the Company, and the Company will have the right to use the same in perpetuity throughout the universe in any manner the Company determines without any further payment to you whatsoever. You will, from time to time, as may be requested and directed by the Company during or subsequent to your employment with the Company (at the Company’s expense, if any), do any and all things which the Company may deem useful or desirable to assist, establish, protect or document the Company’s exclusive ownership of any and all rights in any Company Materials, including, without limitation, the execution of appropriate copyright and/or patent applications or assignments. To the extent you have any rights in the Company Materials or results and proceeds of your services that cannot be assigned in the manner described above, you unconditionally and irrevocably waive the enforcement of such rights. This subparagraph is subject to and will not be deemed to limit, restrict, or constitute any waiver by the Company of any rights of ownership to which the Company may be entitled by operation of law by virtue of the Company being your employer. This paragraph will be construed in accordance with California Labor Code Sections 2870-2872. In accordance with Section 2872, you are hereby notified that this agreement does not require you to assign to the Company any invention that qualifies for exclusion under Section 2870. If there is any doubt as to whether an invention qualifies for exclusion, you bear the burden of providing that it does.</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55" w:name="page56"/>
    <w:bookmarkEnd w:id="5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Your obligations to assign property rights under this subparagraph will not, however, apply to any other non-employment based materials, products, projects, inventions, discoveries, or designs and all parts thereof, and/or works of authorship or works in progress (“Non-Company Materials”) for which you can establish and prove all of the following: (i) the Non-Company Materials were developed entirely on your own time; (ii) no Company or Company-affiliated entities’ equipment, supplies, facility, services, or Confidential Information were used in the development of the Non-Company Materials; (iii) the Non-Company Materials do not relate directly to the business of the Company or its affiliates, or to the actual or demonstrably anticipated research or development of the Company or its affiliates; and (iv) the Non-Company Materials do not result from any work performed by you for the Company or its affiliates or other persons employed or engaged by the Company or its affiliates.</w:t>
      </w:r>
    </w:p>
    <w:p>
      <w:pPr>
        <w:spacing w:after="0" w:line="18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At the Company’s request, or upon termination of your employment (whether voluntary or involuntary), you agree to immediately return to the Company all Company property, including, but not limited to, corporate credit card, computers or computer software, laptop, tablet, cell or smart phones, equipment, keys, identification badges, and any and all documents, programs and/or materials containing Confidential Information (“Company Property”). Additionally, you will return all other records, files, lists, plans, data, reports with non-Confidential Information but otherwise relating to the Company’s business in whatever form (including electronic) they may exist upon the termination of your employment for any reason. When in doubt, you agree to assume that materials or property belong to the Company and/or documents, programs and/or materials contain Confidential Information, and accordingly will be returned to the Company immediately upon termination.</w:t>
      </w:r>
    </w:p>
    <w:p>
      <w:pPr>
        <w:spacing w:after="0" w:line="189" w:lineRule="exact"/>
        <w:rPr>
          <w:sz w:val="20"/>
          <w:szCs w:val="20"/>
          <w:color w:val="auto"/>
        </w:rPr>
      </w:pPr>
    </w:p>
    <w:p>
      <w:pPr>
        <w:ind w:firstLine="436"/>
        <w:spacing w:after="0" w:line="255"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You acknowledge and agree that the Company has invested substantial time and effort in assembling its present staff of personnel. Accordingly, during your employment and through and including a period of twelve (12) months following the later of: (i) the termination of your employment with the Company; (ii) the period of any payments made to you by the Company hereunder or under any other contract or personal services agreement; or (iii) the date of entry by a court of competent jurisdiction of a final judgment enforcing this subparagraph, you will not directly or indirectly solicit, induce or attempt to solicit or induce any employee (with the exception of your personal administrative assistant/secretary, if any), exclusive consultants, exclusive contractors or exclusive representatives of the Company (or those of any of its affiliated entities) to leave employment, or otherwise stop or reduce hours working for, contracting with or representing the Company or any of its affiliated entities.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56" w:name="page57"/>
    <w:bookmarkEnd w:id="56"/>
    <w:p>
      <w:pPr>
        <w:ind w:right="20" w:firstLine="436"/>
        <w:spacing w:after="0" w:line="254" w:lineRule="auto"/>
        <w:tabs>
          <w:tab w:leader="none" w:pos="66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Exclusivity</w:t>
      </w:r>
      <w:r>
        <w:rPr>
          <w:rFonts w:ascii="Times New Roman" w:cs="Times New Roman" w:eastAsia="Times New Roman" w:hAnsi="Times New Roman"/>
          <w:sz w:val="18"/>
          <w:szCs w:val="18"/>
          <w:color w:val="auto"/>
        </w:rPr>
        <w:t>. As set forth in paragraph 2, you have agreed that your employment and services will be exclusive to the Company. Accordingly, during the Term, you will not directly or indirectly render any services to others, or on your own behalf, unless expressly approved, in writing, by an authorized Company representative, and in a manner wholly consistent with the Company’s policies, including but not limited to integrity and/or conflict of interest policies. Under no circumstances may you at any time while you are actively employed by the Company during the Term, be or become (i) interested or engaged in any manner or capacity, directly or indirectly, either alone or with any person, firm or corporation now existing or hereafter created, in any business which either is or may be competitive with the businesses of the Company and its affiliated entities or is a customer or supplier of the Company; or (ii) directly or indirectly a stockholder or officer, director, agent, advisor, consultant or employee of, or in any manner associated with, or aid or abet, or give information or financial assistance to, any such business.</w:t>
      </w:r>
    </w:p>
    <w:p>
      <w:pPr>
        <w:spacing w:after="0" w:line="19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provisions of this subparagraph and paragraph 2 will not be deemed to prohibit: (i) your purchase or ownership, as a passive investment, of not more than one percent (1%) of the outstanding capital stock of any corporation whose stock is publicly traded; and (ii) your engagement in non-compensatory civic and charitable activities with the consent of the Company and in accordance with Company policy.</w:t>
      </w:r>
    </w:p>
    <w:p>
      <w:pPr>
        <w:spacing w:after="0" w:line="176" w:lineRule="exact"/>
        <w:rPr>
          <w:sz w:val="20"/>
          <w:szCs w:val="20"/>
          <w:color w:val="auto"/>
        </w:rPr>
      </w:pPr>
    </w:p>
    <w:p>
      <w:pPr>
        <w:ind w:firstLine="436"/>
        <w:spacing w:after="0" w:line="261"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Negotiation</w:t>
      </w:r>
      <w:r>
        <w:rPr>
          <w:rFonts w:ascii="Times New Roman" w:cs="Times New Roman" w:eastAsia="Times New Roman" w:hAnsi="Times New Roman"/>
          <w:sz w:val="18"/>
          <w:szCs w:val="18"/>
          <w:color w:val="auto"/>
        </w:rPr>
        <w:t>. During the Term, you will negotiate exclusively with the Company in good faith with respect to the terms and conditions for your rendering services on behalf of the Company subsequent to the Term. You agree not to negotiate, contract, or agree to contract with any other person, firm or corporation during the Term with respect to the terms and conditions for your rendering services to any such other person, firm or corporation.</w:t>
      </w:r>
    </w:p>
    <w:p>
      <w:pPr>
        <w:spacing w:after="0" w:line="179"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covenants in this paragraph 6 will survive expiration and/or termination of this Agreement, as well as termination of your employment, in accordance with their terms. You have carefully considered the nature and extent of the restrictions imposed on you pursuant to this paragraph 6, and hereby acknowledge and agree that, in light of your position with Company, employment and/or consideration afforded by the Company, the nature of your services to be provided to Company and the competitive nature of the Company’s businesses, the foregoing restrictions are reasonable, are designed to eliminate competition which would be unfair to the Company, are fully required to protect the legitimate interests of the Company, and do not confer a benefit upon the Company disproportionate to any detriment to you.</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57" w:name="page58"/>
    <w:bookmarkEnd w:id="57"/>
    <w:p>
      <w:pPr>
        <w:ind w:left="184" w:hanging="184"/>
        <w:spacing w:after="0"/>
        <w:tabs>
          <w:tab w:leader="none" w:pos="18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Services Unique</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You recognize that your services hereunder are of a special, unique, unusual, extraordinary and intellectual character, giving them a peculiar value, the loss of which the Company cannot be reasonably or adequately compensated for in damages. In the event of an actual, attempted or threatened breach of this Agreement by you or derogation of your obligations hereunder (including, but without limitation, with respect to the provisions hereof relating to your covenants and/or exclusivity of services), the Company will, in addition to all other remedies available to it, be entitled to seek and obtain equitable relief (without the posting of any bond or security) by way of injunction and any other legal or equitable remedies. This provision will not be construed as a waiver of the rights which the Company may have for damages under this Agreement or otherwise, and all of the Company’s rights and remedies will be unrestricted.</w:t>
      </w:r>
    </w:p>
    <w:p>
      <w:pPr>
        <w:spacing w:after="0" w:line="185" w:lineRule="exact"/>
        <w:rPr>
          <w:sz w:val="20"/>
          <w:szCs w:val="20"/>
          <w:color w:val="auto"/>
        </w:rPr>
      </w:pPr>
    </w:p>
    <w:p>
      <w:pPr>
        <w:ind w:left="184" w:hanging="184"/>
        <w:spacing w:after="0"/>
        <w:tabs>
          <w:tab w:leader="none" w:pos="184"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680" w:firstLine="440"/>
        <w:spacing w:after="0" w:line="282" w:lineRule="auto"/>
        <w:rPr>
          <w:sz w:val="20"/>
          <w:szCs w:val="20"/>
          <w:color w:val="auto"/>
        </w:rPr>
      </w:pPr>
      <w:r>
        <w:rPr>
          <w:rFonts w:ascii="Times New Roman" w:cs="Times New Roman" w:eastAsia="Times New Roman" w:hAnsi="Times New Roman"/>
          <w:sz w:val="18"/>
          <w:szCs w:val="18"/>
          <w:color w:val="auto"/>
        </w:rPr>
        <w:t>All notices and other communications hereunder will be in writing and will be given by hand delivery to the other party, delivery service, messenger service, postal mail, or electronic mail. Non-electronic mail will be addressed as follows:</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Employee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 your address on record with the Company.</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Versant Media, LLC</w:t>
      </w:r>
    </w:p>
    <w:p>
      <w:pPr>
        <w:ind w:left="984"/>
        <w:spacing w:after="0" w:line="196" w:lineRule="auto"/>
        <w:rPr>
          <w:sz w:val="20"/>
          <w:szCs w:val="20"/>
          <w:color w:val="auto"/>
        </w:rPr>
      </w:pPr>
      <w:r>
        <w:rPr>
          <w:rFonts w:ascii="Times New Roman" w:cs="Times New Roman" w:eastAsia="Times New Roman" w:hAnsi="Times New Roman"/>
          <w:sz w:val="18"/>
          <w:szCs w:val="18"/>
          <w:color w:val="auto"/>
        </w:rPr>
        <w:t>229 W.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Street</w:t>
      </w:r>
    </w:p>
    <w:p>
      <w:pPr>
        <w:spacing w:after="0" w:line="1"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New York, NY 10036</w:t>
      </w:r>
    </w:p>
    <w:p>
      <w:pPr>
        <w:spacing w:after="0" w:line="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Attention: Chief Human Resources Officer</w:t>
      </w:r>
    </w:p>
    <w:p>
      <w:pPr>
        <w:spacing w:after="0" w:line="207" w:lineRule="exact"/>
        <w:rPr>
          <w:sz w:val="20"/>
          <w:szCs w:val="20"/>
          <w:color w:val="auto"/>
        </w:rPr>
      </w:pPr>
    </w:p>
    <w:p>
      <w:pPr>
        <w:ind w:left="4" w:right="60"/>
        <w:spacing w:after="0" w:line="282" w:lineRule="auto"/>
        <w:rPr>
          <w:sz w:val="20"/>
          <w:szCs w:val="20"/>
          <w:color w:val="auto"/>
        </w:rPr>
      </w:pPr>
      <w:r>
        <w:rPr>
          <w:rFonts w:ascii="Times New Roman" w:cs="Times New Roman" w:eastAsia="Times New Roman" w:hAnsi="Times New Roman"/>
          <w:sz w:val="18"/>
          <w:szCs w:val="18"/>
          <w:color w:val="auto"/>
        </w:rPr>
        <w:t>or to such other address as either party will have furnished to the other in writing. When a notice is given by mail or by electronic mail transmission, the date of mailing or electronic mail transmission will be deemed effective as of the date sent.</w:t>
      </w:r>
    </w:p>
    <w:p>
      <w:pPr>
        <w:spacing w:after="0" w:line="158" w:lineRule="exact"/>
        <w:rPr>
          <w:sz w:val="20"/>
          <w:szCs w:val="20"/>
          <w:color w:val="auto"/>
        </w:rPr>
      </w:pPr>
    </w:p>
    <w:p>
      <w:pPr>
        <w:ind w:left="184" w:hanging="184"/>
        <w:spacing w:after="0"/>
        <w:tabs>
          <w:tab w:leader="none" w:pos="18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The Company will have the right to assign this Agreement to any affiliated entity or successor of the Company, or to a party controlling or acquiring all or part of the Company, controlled by the Company or under common control with the Company, so long as this Agreement is assumed by the affiliated entity, successor or party, in which case the Company will be relieved of any obligations hereunder and all such references to the Company herein will automatically be deemed to refer to such assignee or successor. You acknowledge and agree that all of your covenants and obligations to the Company, as well as the rights of the Company hereunder, will run in favor of and will be enforceable by the Company, its affiliated entities, successors, assignees and/or controlling or acquiring parties. You are not permitted to assign this Agreement or any of your rights (except the right to receive payment) or responsibilities hereunder.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66" w:right="459" w:bottom="1440" w:gutter="0" w:footer="0" w:header="0"/>
        </w:sectPr>
      </w:pPr>
    </w:p>
    <w:bookmarkStart w:id="58" w:name="page59"/>
    <w:bookmarkEnd w:id="58"/>
    <w:p>
      <w:pPr>
        <w:ind w:left="264" w:hanging="264"/>
        <w:spacing w:after="0"/>
        <w:tabs>
          <w:tab w:leader="none" w:pos="264"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Policies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80" w:firstLine="440"/>
        <w:spacing w:after="0" w:line="261" w:lineRule="auto"/>
        <w:rPr>
          <w:sz w:val="20"/>
          <w:szCs w:val="20"/>
          <w:color w:val="auto"/>
        </w:rPr>
      </w:pPr>
      <w:r>
        <w:rPr>
          <w:rFonts w:ascii="Times New Roman" w:cs="Times New Roman" w:eastAsia="Times New Roman" w:hAnsi="Times New Roman"/>
          <w:sz w:val="18"/>
          <w:szCs w:val="18"/>
          <w:color w:val="auto"/>
        </w:rPr>
        <w:t>You will abide by and be subject to all Company policies, as may be amended from time to time, that are applicable to similarly classified employees generally, including but not limited to all policies relating to standards of conduct, integrity, equal employment opportunity, discrimination, retaliation or harassment, conflict of interest insider trading, and compliance with broadcasting rules and regulations when applicable, including the Code of Conduct.</w:t>
      </w:r>
    </w:p>
    <w:p>
      <w:pPr>
        <w:spacing w:after="0" w:line="176" w:lineRule="exact"/>
        <w:rPr>
          <w:sz w:val="20"/>
          <w:szCs w:val="20"/>
          <w:color w:val="auto"/>
        </w:rPr>
      </w:pPr>
    </w:p>
    <w:p>
      <w:pPr>
        <w:ind w:left="264" w:hanging="264"/>
        <w:spacing w:after="0"/>
        <w:tabs>
          <w:tab w:leader="none" w:pos="26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Alternative Dispute Resolution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You acknowledge and agree that you will abide and be bound by the Company’s alternative dispute resolution program (the “ADR Program”) or any applicable successor ADR program, which includes an obligation to submit any Claims (as such term is defined in such program) to final and binding arbitration. The ADR Program may be amended by the Company from time to time. A copy of the ADR Program can be accessed through the Company’s web portal. This paragraph will survive termination and/or expiration of the Agreement and of your employment.</w:t>
      </w:r>
    </w:p>
    <w:p>
      <w:pPr>
        <w:spacing w:after="0" w:line="176" w:lineRule="exact"/>
        <w:rPr>
          <w:sz w:val="20"/>
          <w:szCs w:val="20"/>
          <w:color w:val="auto"/>
        </w:rPr>
      </w:pPr>
    </w:p>
    <w:p>
      <w:pPr>
        <w:ind w:left="264" w:hanging="264"/>
        <w:spacing w:after="0"/>
        <w:tabs>
          <w:tab w:leader="none" w:pos="264"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Continuing Effectiveness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The original and continuing effectiveness of this Agreement and your employment is contingent upon your remaining at all times, under applicable law, eligible to perform the services contracted for hereunder in the United States and/or any other location in which you may be required to perform services pursuant to this Agreement.</w:t>
      </w:r>
    </w:p>
    <w:p>
      <w:pPr>
        <w:spacing w:after="0" w:line="172" w:lineRule="exact"/>
        <w:rPr>
          <w:sz w:val="20"/>
          <w:szCs w:val="20"/>
          <w:color w:val="auto"/>
        </w:rPr>
      </w:pPr>
    </w:p>
    <w:p>
      <w:pPr>
        <w:ind w:left="264" w:hanging="264"/>
        <w:spacing w:after="0"/>
        <w:tabs>
          <w:tab w:leader="none" w:pos="264"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Indemnification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color w:val="auto"/>
        </w:rPr>
      </w:pPr>
    </w:p>
    <w:p>
      <w:pPr>
        <w:ind w:left="4" w:firstLine="436"/>
        <w:spacing w:after="0" w:line="255" w:lineRule="auto"/>
        <w:tabs>
          <w:tab w:leader="none" w:pos="686"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to the fullest extent permitted by law, defend, indemnify, and hold you harmless from any and all loss, damages, fees, judgments, fines, settlement amounts, charges and expenses incurred or sustained by you in connection with any allegations, complaints, actions, suits or proceedings in which you are a party or may be made a party by reason of any acts or omissions made by you in good faith in the course and scope of your employment for the Company or of any subsidiary or other affiliated entity of the Company or your being an officer, director, or employee of the Company or of any subsidiary or other affiliated entity of the Company (collectively, a “Claim”). In addition, the terms and conditions set forth in Article 3 of the Indemnification Agreement between you and the Company will apply with respect to any Claims in your capacity as an officer of the Company.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66" w:right="459" w:bottom="1440" w:gutter="0" w:footer="0" w:header="0"/>
        </w:sectPr>
      </w:pPr>
    </w:p>
    <w:bookmarkStart w:id="59" w:name="page60"/>
    <w:bookmarkEnd w:id="59"/>
    <w:p>
      <w:pPr>
        <w:ind w:left="4" w:right="60" w:firstLine="436"/>
        <w:spacing w:after="0" w:line="256" w:lineRule="auto"/>
        <w:tabs>
          <w:tab w:leader="none" w:pos="69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You agree to reasonably cooperate with the Company, both during and subsequent to the Term, in the defense of any threatened or pending legal action related to your employment or in which you may have relevant information; provided that you will not be required to provide assistance in any litigation or potential litigation in which you are an adverse party or that is related to your Whistleblower Activity or other Protected Rights. The Company will reimburse you for any reasonable and necessary out-of-pocket expenses (excluding lost or foregone wages or compensation) incurred by you in connection with such cooperation within a reasonable period of time not to exceed forty-five (45) days of your producing receipts of such expenses incurred satisfactory to the Company.</w:t>
      </w:r>
    </w:p>
    <w:p>
      <w:pPr>
        <w:spacing w:after="0" w:line="187"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granted by this paragraph 13 are non-exclusive and will be in addition to any other rights to which you may be entitled under this or any other agreement (including any indemnification agreements) or under any organizational document or under any insurance policy, as a matter of law, in equity or otherwise. The terms of this paragraph 13 will survive the expiration or termination of your employment or of this Agreement regardless of the reason therefor.</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Repayment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3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any amounts payable to you during the Term will be subject to any clawback or recoupment arrangements or policies the Company has in place from time to time (including, without limitation, any policy adopted to comply with Rule 10D-1 of the Securities Exchange Act of 1934 (as amended from time to time) or any related stock exchange rules).</w:t>
      </w:r>
    </w:p>
    <w:p>
      <w:pPr>
        <w:spacing w:after="0" w:line="172" w:lineRule="exact"/>
        <w:rPr>
          <w:sz w:val="20"/>
          <w:szCs w:val="20"/>
          <w:color w:val="auto"/>
        </w:rPr>
      </w:pPr>
    </w:p>
    <w:p>
      <w:pPr>
        <w:ind w:left="264" w:hanging="264"/>
        <w:spacing w:after="0"/>
        <w:tabs>
          <w:tab w:leader="none" w:pos="264"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No provisions of this Agreement may be amended, modified, waived, or discharged except by a written document signed by you and a duly authorized officer of the Company. A waiver of any conditions or provisions of this Agreement in a given instance will not be deemed a waiver of such conditions or provisions at any other time.</w:t>
      </w:r>
    </w:p>
    <w:p>
      <w:pPr>
        <w:spacing w:after="0" w:line="172" w:lineRule="exact"/>
        <w:rPr>
          <w:sz w:val="20"/>
          <w:szCs w:val="20"/>
          <w:color w:val="auto"/>
        </w:rPr>
      </w:pPr>
    </w:p>
    <w:p>
      <w:pPr>
        <w:ind w:left="264" w:hanging="264"/>
        <w:spacing w:after="0"/>
        <w:tabs>
          <w:tab w:leader="none" w:pos="264"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Reformation and Validity</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If any tribunal of competent jurisdiction finds that any provision(s) of this Agreement is/are unenforceable, such tribunal will reform any such provision(s) so that such provision(s) may be enforced to the maximum extent possible. If any provision of this Agreement cannot be reformed so as to be enforceable, such provision will be of no effect. The invalidity or unenforceability of any provisions of this Agreement will not affect the validity or enforceability of any other provisions of this Agreement, which will remain in full force and effect.</w:t>
      </w:r>
    </w:p>
    <w:p>
      <w:pPr>
        <w:spacing w:after="0" w:line="11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60" w:name="page61"/>
    <w:bookmarkEnd w:id="60"/>
    <w:p>
      <w:pPr>
        <w:ind w:left="264" w:hanging="264"/>
        <w:spacing w:after="0"/>
        <w:tabs>
          <w:tab w:leader="none" w:pos="264"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Interpretation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The validity, interpretation, construction, and performance of this Agreement will be governed by the laws of the State of New York without regard to conflicts of law principles, except as specifically provided herein.</w:t>
      </w:r>
    </w:p>
    <w:p>
      <w:pPr>
        <w:spacing w:after="0" w:line="158" w:lineRule="exact"/>
        <w:rPr>
          <w:sz w:val="20"/>
          <w:szCs w:val="20"/>
          <w:color w:val="auto"/>
        </w:rPr>
      </w:pPr>
    </w:p>
    <w:p>
      <w:pPr>
        <w:ind w:left="264" w:hanging="264"/>
        <w:spacing w:after="0"/>
        <w:tabs>
          <w:tab w:leader="none" w:pos="264"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Entire Agreement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This Agreement, and the agreements and instruments contemplated herein, sets forth the entire understanding between you and the Company with respect to the subject matter hereof; all oral or written agreements or representations, express or implied, with respect to the subject matter of this Agreement, are set forth in this Agreement, and the agreements and instruments contemplated herein. Notwithstanding, nothing herein will prevent the Company from terminating or amending any agreement or instruments contemplated here in accordance with their terms. All prior employment agreements, understandings, and obligations (whether written, oral, express, or implied) between you and the Company, if any, are terminated as of the commencement date of the Term and are superseded by this Agreement, except for any agreements covering any prior grants of equity or prior earned compensation, which will survive in accordance with their terms. This Agreement may be executed by original, electronic or facsimile signatures and in counterparts, each of which will be deemed an original but all of which together will constitute a single instrument.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last written below.</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Versant Media, LLC</w:t>
            </w: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9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Brian Dorfler</w:t>
            </w:r>
          </w:p>
        </w:tc>
        <w:tc>
          <w:tcPr>
            <w:tcW w:w="2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7"/>
              </w:rPr>
              <w:t>Date: Oct 29, 2025</w:t>
            </w:r>
          </w:p>
        </w:tc>
      </w:tr>
      <w:tr>
        <w:trPr>
          <w:trHeight w:val="20"/>
        </w:trPr>
        <w:tc>
          <w:tcPr>
            <w:tcW w:w="320" w:type="dxa"/>
            <w:vAlign w:val="bottom"/>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191"/>
        </w:trPr>
        <w:tc>
          <w:tcPr>
            <w:tcW w:w="320" w:type="dxa"/>
            <w:vAlign w:val="bottom"/>
          </w:tcPr>
          <w:p>
            <w:pPr>
              <w:spacing w:after="0"/>
              <w:rPr>
                <w:sz w:val="16"/>
                <w:szCs w:val="16"/>
                <w:color w:val="auto"/>
              </w:rPr>
            </w:pPr>
          </w:p>
        </w:tc>
        <w:tc>
          <w:tcPr>
            <w:tcW w:w="496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Brian Dorfler</w:t>
            </w:r>
          </w:p>
        </w:tc>
        <w:tc>
          <w:tcPr>
            <w:tcW w:w="12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34"/>
        </w:trPr>
        <w:tc>
          <w:tcPr>
            <w:tcW w:w="320" w:type="dxa"/>
            <w:vAlign w:val="bottom"/>
          </w:tcPr>
          <w:p>
            <w:pPr>
              <w:spacing w:after="0"/>
              <w:rPr>
                <w:sz w:val="20"/>
                <w:szCs w:val="20"/>
                <w:color w:val="auto"/>
              </w:rPr>
            </w:pPr>
          </w:p>
        </w:tc>
        <w:tc>
          <w:tcPr>
            <w:tcW w:w="49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Human Resources Officer</w:t>
            </w:r>
          </w:p>
        </w:tc>
        <w:tc>
          <w:tcPr>
            <w:tcW w:w="12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ACCEPTED AND AGREED:</w:t>
            </w: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2"/>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Jordan R. Fasbender</w:t>
            </w:r>
          </w:p>
        </w:tc>
        <w:tc>
          <w:tcPr>
            <w:tcW w:w="214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w w:val="97"/>
              </w:rPr>
              <w:t>Date: Oct 29, 2025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496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r>
      <w:tr>
        <w:trPr>
          <w:trHeight w:val="228"/>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2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346"/>
        </w:trPr>
        <w:tc>
          <w:tcPr>
            <w:tcW w:w="32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122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Pr>
          <w:p>
            <w:pPr>
              <w:spacing w:after="0"/>
              <w:rPr>
                <w:sz w:val="24"/>
                <w:szCs w:val="24"/>
                <w:color w:val="auto"/>
              </w:rPr>
            </w:pPr>
          </w:p>
        </w:tc>
      </w:tr>
    </w:tbl>
    <w:p>
      <w:pPr>
        <w:sectPr>
          <w:pgSz w:w="11900" w:h="16838" w:orient="portrait"/>
          <w:cols w:equalWidth="0" w:num="1">
            <w:col w:w="10964"/>
          </w:cols>
          <w:pgMar w:left="436" w:top="266" w:right="499" w:bottom="1440" w:gutter="0" w:footer="0" w:header="0"/>
        </w:sectPr>
      </w:pPr>
    </w:p>
    <w:bookmarkStart w:id="61" w:name="page62"/>
    <w:bookmarkEnd w:id="61"/>
    <w:p>
      <w:pPr>
        <w:ind w:left="10084"/>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121" w:lineRule="exact"/>
        <w:rPr>
          <w:sz w:val="20"/>
          <w:szCs w:val="20"/>
          <w:color w:val="auto"/>
        </w:rPr>
      </w:pPr>
    </w:p>
    <w:p>
      <w:pPr>
        <w:ind w:left="4" w:right="20" w:hanging="4"/>
        <w:spacing w:after="0" w:line="282" w:lineRule="auto"/>
        <w:tabs>
          <w:tab w:leader="none" w:pos="43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601(a)(6) Such excluded information is not material and is the type that the registrant treats as private or confidential.</w:t>
      </w:r>
    </w:p>
    <w:p>
      <w:pPr>
        <w:spacing w:after="0" w:line="5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CREDIT AND GUARANTY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 October 3, 2025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among</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CERTAIN SUBSIDIARIES OF VERSANT MEDIA GROUP,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Subsidiary Guarantors,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Lenders and Issuing Banks,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Administrative Agent, Collateral Agent and Swingline Lender,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JPMORGAN CHASE BANK, N.A., BOFA SECURITIES, INC., CITIBANK, N.A.,</w:t>
      </w:r>
    </w:p>
    <w:p>
      <w:pPr>
        <w:spacing w:after="0" w:line="27" w:lineRule="exact"/>
        <w:rPr>
          <w:sz w:val="20"/>
          <w:szCs w:val="20"/>
          <w:color w:val="auto"/>
        </w:rPr>
      </w:pPr>
    </w:p>
    <w:p>
      <w:pPr>
        <w:jc w:val="center"/>
        <w:ind w:right="16"/>
        <w:spacing w:after="0" w:line="250" w:lineRule="auto"/>
        <w:rPr>
          <w:sz w:val="20"/>
          <w:szCs w:val="20"/>
          <w:color w:val="auto"/>
        </w:rPr>
      </w:pPr>
      <w:r>
        <w:rPr>
          <w:rFonts w:ascii="Times New Roman" w:cs="Times New Roman" w:eastAsia="Times New Roman" w:hAnsi="Times New Roman"/>
          <w:sz w:val="18"/>
          <w:szCs w:val="18"/>
          <w:color w:val="auto"/>
        </w:rPr>
        <w:t>DEUTSCHE BANK SECURITIES INC., GS LENDING PARTNERS LLC, MORGAN STANLEY SENIOR FUNDING, INC., PNC CAPITAL MARKETS LLC, SOCIÉTÉ GÉNÉRALE, SUMITOMO MITSUI BANKING CORPORATION and WELLS FARGO SECURITIES, LLC,</w:t>
      </w:r>
    </w:p>
    <w:p>
      <w:pPr>
        <w:spacing w:after="0" w:line="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ectPr>
          <w:pgSz w:w="11900" w:h="16838" w:orient="portrait"/>
          <w:cols w:equalWidth="0" w:num="1">
            <w:col w:w="11024"/>
          </w:cols>
          <w:pgMar w:left="436" w:top="117" w:right="4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8"/>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431"/>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1</w:t>
            </w: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DEFINITIONS</w:t>
            </w: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Defined Terms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1.02.   Classification of Loans and Borrowings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Terms Generally</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1.04.   Accounting Terms; GAAP</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1.05.   Representations and Warranties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1.06.   Timing of Payment and Performance</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Times of Day</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1.08.   Currency Equivalents Generally</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Cashless Rollovers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1.10.   Additional Alternate Currencies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Additional Borrowers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Escrow Funding</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2</w:t>
            </w: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CREDITS</w:t>
            </w:r>
          </w:p>
        </w:tc>
        <w:tc>
          <w:tcPr>
            <w:tcW w:w="3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Commitments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2.02.   Loans and Borrowings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2.03.   Requests for Borrowings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Swingline Loans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2.05.   Letters of Credit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2.07.   Funding of Borrowings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2.08.   Type; Interest Elections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2.09.   Termination and Reduction of Commitments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2.10.   Repayment of Loans; Evidence of Debt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2.11.   Prepayment of Loans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Fees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2.14.   Alternate Rate of Interest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Increased Costs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2.16.   Break Funding Payments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Taxes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2.18.   Payments Generally; Allocation of Proceeds; Sharing of Payments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2.19.   Mitigation Obligations; Replacement of Lenders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Illegality</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2.22.   Incremental Credit Extensions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66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Section 2.23.   Extensions of Loans and Revolving Credit Commitments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Benchmark Replacement</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2.25.</w:t>
            </w:r>
          </w:p>
        </w:tc>
        <w:tc>
          <w:tcPr>
            <w:tcW w:w="5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MIRE Events</w:t>
            </w:r>
          </w:p>
        </w:tc>
        <w:tc>
          <w:tcPr>
            <w:tcW w:w="4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Organization; Powers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Governmental Approvals; No Conflicts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Financial Condition; No Material Adverse Effect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Litigation and Environmental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Investment Company Status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ERISA</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Disclosure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Solvency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3.14.   Security Interest in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Labor Disputes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3.16.   Federal Reserve Regulations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3.17.   USA PATRIOT Act, Sanctions and Anti-Corruption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414"/>
        </w:trPr>
        <w:tc>
          <w:tcPr>
            <w:tcW w:w="1060" w:type="dxa"/>
            <w:vAlign w:val="bottom"/>
          </w:tcPr>
          <w:p>
            <w:pPr>
              <w:spacing w:after="0"/>
              <w:rPr>
                <w:sz w:val="24"/>
                <w:szCs w:val="24"/>
                <w:color w:val="auto"/>
              </w:rPr>
            </w:pPr>
          </w:p>
        </w:tc>
        <w:tc>
          <w:tcPr>
            <w:tcW w:w="7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4</w:t>
            </w:r>
          </w:p>
        </w:tc>
        <w:tc>
          <w:tcPr>
            <w:tcW w:w="23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7600" w:type="dxa"/>
            <w:vAlign w:val="bottom"/>
          </w:tcPr>
          <w:p>
            <w:pPr>
              <w:jc w:val="center"/>
              <w:ind w:left="1130"/>
              <w:spacing w:after="0"/>
              <w:rPr>
                <w:sz w:val="20"/>
                <w:szCs w:val="20"/>
                <w:color w:val="auto"/>
              </w:rPr>
            </w:pPr>
            <w:r>
              <w:rPr>
                <w:rFonts w:ascii="Times New Roman" w:cs="Times New Roman" w:eastAsia="Times New Roman" w:hAnsi="Times New Roman"/>
                <w:sz w:val="18"/>
                <w:szCs w:val="18"/>
                <w:color w:val="auto"/>
                <w:w w:val="99"/>
              </w:rPr>
              <w:t>CONDITIONS</w:t>
            </w:r>
          </w:p>
        </w:tc>
        <w:tc>
          <w:tcPr>
            <w:tcW w:w="2300" w:type="dxa"/>
            <w:vAlign w:val="bottom"/>
          </w:tcPr>
          <w:p>
            <w:pPr>
              <w:spacing w:after="0"/>
              <w:rPr>
                <w:sz w:val="20"/>
                <w:szCs w:val="20"/>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Signing Date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Closing Date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4.03.   Each Credit Extension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414"/>
        </w:trPr>
        <w:tc>
          <w:tcPr>
            <w:tcW w:w="1060" w:type="dxa"/>
            <w:vAlign w:val="bottom"/>
          </w:tcPr>
          <w:p>
            <w:pPr>
              <w:spacing w:after="0"/>
              <w:rPr>
                <w:sz w:val="24"/>
                <w:szCs w:val="24"/>
                <w:color w:val="auto"/>
              </w:rPr>
            </w:pPr>
          </w:p>
        </w:tc>
        <w:tc>
          <w:tcPr>
            <w:tcW w:w="7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ARTICLE 5</w:t>
            </w:r>
          </w:p>
        </w:tc>
        <w:tc>
          <w:tcPr>
            <w:tcW w:w="230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760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300" w:type="dxa"/>
            <w:vAlign w:val="bottom"/>
          </w:tcPr>
          <w:p>
            <w:pPr>
              <w:spacing w:after="0"/>
              <w:rPr>
                <w:sz w:val="20"/>
                <w:szCs w:val="20"/>
                <w:color w:val="auto"/>
              </w:rPr>
            </w:pPr>
          </w:p>
        </w:tc>
      </w:tr>
      <w:tr>
        <w:trPr>
          <w:trHeight w:val="414"/>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Financial Statements and Other Reports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Existence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Payment of Taxes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5.04.   Maintenance of Properties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Insurance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Inspections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5.07.   Maintenance of Book and Records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5.08.   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   Hazardous Materials Activity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5.10.   Designation of Subsidiaries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Use of Proceeds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5.12.   Covenant to Guarantee Loan Document Obligations and Give Security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Further Assurances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5.16.   Conduct of Business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Post-Closing Actions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Indebtedness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Liens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 Further Negative Pledges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Restricted Payments; Restricted Debt Payments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Fundamental Changes; Disposition of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Amendments of or Waivers with Respect to Restricted Debt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First Lien Leverage Ratio</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r>
      <w:tr>
        <w:trPr>
          <w:trHeight w:val="414"/>
        </w:trPr>
        <w:tc>
          <w:tcPr>
            <w:tcW w:w="1060" w:type="dxa"/>
            <w:vAlign w:val="bottom"/>
          </w:tcPr>
          <w:p>
            <w:pPr>
              <w:spacing w:after="0"/>
              <w:rPr>
                <w:sz w:val="24"/>
                <w:szCs w:val="24"/>
                <w:color w:val="auto"/>
              </w:rPr>
            </w:pPr>
          </w:p>
        </w:tc>
        <w:tc>
          <w:tcPr>
            <w:tcW w:w="83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7</w:t>
            </w:r>
          </w:p>
        </w:tc>
        <w:tc>
          <w:tcPr>
            <w:tcW w:w="15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3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9"/>
              </w:rPr>
              <w:t>LOAN GUARANTEE</w:t>
            </w:r>
          </w:p>
        </w:tc>
        <w:tc>
          <w:tcPr>
            <w:tcW w:w="1560" w:type="dxa"/>
            <w:vAlign w:val="bottom"/>
          </w:tcPr>
          <w:p>
            <w:pPr>
              <w:spacing w:after="0"/>
              <w:rPr>
                <w:sz w:val="20"/>
                <w:szCs w:val="20"/>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Guarantee of the Loan Document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Contribution by Guarantors; Indemnification; Subordination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by Subsidiary Guarantors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Liability of Guarantors Absolute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Waivers by Guarantors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Guarantors’ Rights of Subrogation, Contribution, etc.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Subordination of Other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Continuing Guarantee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Authority of Subsidiary Guarantors or Borrower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Condition of Borrower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 etc.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Discharge of Loan Guarantee upon Sale of Subsidiary Guarantor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414"/>
        </w:trPr>
        <w:tc>
          <w:tcPr>
            <w:tcW w:w="1060" w:type="dxa"/>
            <w:vAlign w:val="bottom"/>
          </w:tcPr>
          <w:p>
            <w:pPr>
              <w:spacing w:after="0"/>
              <w:rPr>
                <w:sz w:val="24"/>
                <w:szCs w:val="24"/>
                <w:color w:val="auto"/>
              </w:rPr>
            </w:pPr>
          </w:p>
        </w:tc>
        <w:tc>
          <w:tcPr>
            <w:tcW w:w="83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8</w:t>
            </w:r>
          </w:p>
        </w:tc>
        <w:tc>
          <w:tcPr>
            <w:tcW w:w="15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3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1560" w:type="dxa"/>
            <w:vAlign w:val="bottom"/>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Events of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414"/>
        </w:trPr>
        <w:tc>
          <w:tcPr>
            <w:tcW w:w="1060" w:type="dxa"/>
            <w:vAlign w:val="bottom"/>
          </w:tcPr>
          <w:p>
            <w:pPr>
              <w:spacing w:after="0"/>
              <w:rPr>
                <w:sz w:val="24"/>
                <w:szCs w:val="24"/>
                <w:color w:val="auto"/>
              </w:rPr>
            </w:pPr>
          </w:p>
        </w:tc>
        <w:tc>
          <w:tcPr>
            <w:tcW w:w="834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ARTICLE 9</w:t>
            </w:r>
          </w:p>
        </w:tc>
        <w:tc>
          <w:tcPr>
            <w:tcW w:w="1560" w:type="dxa"/>
            <w:vAlign w:val="bottom"/>
          </w:tcPr>
          <w:p>
            <w:pPr>
              <w:spacing w:after="0"/>
              <w:rPr>
                <w:sz w:val="24"/>
                <w:szCs w:val="24"/>
                <w:color w:val="auto"/>
              </w:rPr>
            </w:pPr>
          </w:p>
        </w:tc>
      </w:tr>
      <w:tr>
        <w:trPr>
          <w:trHeight w:val="234"/>
        </w:trPr>
        <w:tc>
          <w:tcPr>
            <w:tcW w:w="1060" w:type="dxa"/>
            <w:vAlign w:val="bottom"/>
          </w:tcPr>
          <w:p>
            <w:pPr>
              <w:spacing w:after="0"/>
              <w:rPr>
                <w:sz w:val="20"/>
                <w:szCs w:val="20"/>
                <w:color w:val="auto"/>
              </w:rPr>
            </w:pPr>
          </w:p>
        </w:tc>
        <w:tc>
          <w:tcPr>
            <w:tcW w:w="83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9"/>
              </w:rPr>
              <w:t>THE ADMINISTRATIVE AGENT AND THE COLLATERAL AGENT</w:t>
            </w:r>
          </w:p>
        </w:tc>
        <w:tc>
          <w:tcPr>
            <w:tcW w:w="1560" w:type="dxa"/>
            <w:vAlign w:val="bottom"/>
          </w:tcPr>
          <w:p>
            <w:pPr>
              <w:spacing w:after="0"/>
              <w:rPr>
                <w:sz w:val="20"/>
                <w:szCs w:val="20"/>
                <w:color w:val="auto"/>
              </w:rPr>
            </w:pPr>
          </w:p>
        </w:tc>
      </w:tr>
      <w:tr>
        <w:trPr>
          <w:trHeight w:val="41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Appointment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Enforcement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Bankruptcy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Reliance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Delegation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Resignation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Arrangers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Release of Loan Guarantees;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Intercreditor Agreements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Indemnification by Lenders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Withholding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8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Calculations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560" w:type="dxa"/>
            <w:vAlign w:val="bottom"/>
          </w:tcPr>
          <w:p>
            <w:pPr>
              <w:ind w:left="3840"/>
              <w:spacing w:after="0"/>
              <w:rPr>
                <w:sz w:val="20"/>
                <w:szCs w:val="20"/>
                <w:color w:val="auto"/>
              </w:rPr>
            </w:pPr>
            <w:r>
              <w:rPr>
                <w:rFonts w:ascii="Times New Roman" w:cs="Times New Roman" w:eastAsia="Times New Roman" w:hAnsi="Times New Roman"/>
                <w:sz w:val="18"/>
                <w:szCs w:val="18"/>
                <w:color w:val="auto"/>
              </w:rPr>
              <w:t>ARTICLE 10</w:t>
            </w:r>
          </w:p>
        </w:tc>
        <w:tc>
          <w:tcPr>
            <w:tcW w:w="224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7560" w:type="dxa"/>
            <w:vAlign w:val="bottom"/>
          </w:tcPr>
          <w:p>
            <w:pPr>
              <w:ind w:left="3560"/>
              <w:spacing w:after="0"/>
              <w:rPr>
                <w:sz w:val="20"/>
                <w:szCs w:val="20"/>
                <w:color w:val="auto"/>
              </w:rPr>
            </w:pPr>
            <w:r>
              <w:rPr>
                <w:rFonts w:ascii="Times New Roman" w:cs="Times New Roman" w:eastAsia="Times New Roman" w:hAnsi="Times New Roman"/>
                <w:sz w:val="18"/>
                <w:szCs w:val="18"/>
                <w:color w:val="auto"/>
              </w:rPr>
              <w:t>MISCELLANEOUS</w:t>
            </w:r>
          </w:p>
        </w:tc>
        <w:tc>
          <w:tcPr>
            <w:tcW w:w="2240" w:type="dxa"/>
            <w:vAlign w:val="bottom"/>
          </w:tcPr>
          <w:p>
            <w:pPr>
              <w:spacing w:after="0"/>
              <w:rPr>
                <w:sz w:val="20"/>
                <w:szCs w:val="20"/>
                <w:color w:val="auto"/>
              </w:rPr>
            </w:pPr>
          </w:p>
        </w:tc>
      </w:tr>
      <w:tr>
        <w:trPr>
          <w:trHeight w:val="41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Amendments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Indemnity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Claim</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Successors and Assigns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10.07.   Counterparts; Integration; Effectiveness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10.10.   Governing Law; Jurisdiction; Consent to Service of Process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10.11.   Waiver of Jury Trial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10.14.   No Fiduciary Duty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Several Obligations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10.16.   USA PATRIOT Act; Beneficial Ownership</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10.18.   Appointment for Perfection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10.19.   Interest Rate Limitation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10.22.   Release of Guarantors and Collateral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10.23.   Acknowledgement and Consent to Bail-In of 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10.24.   Certain ERISA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10.25.   Acknowledgement Regarding Any Supported QFCs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10.26.</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Erroneous 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10.27.</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10.28.</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10.29.   Permitted Reorganization Transactions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320" w:type="dxa"/>
            <w:vAlign w:val="bottom"/>
          </w:tcPr>
          <w:p>
            <w:pPr>
              <w:spacing w:after="0"/>
              <w:rPr>
                <w:sz w:val="20"/>
                <w:szCs w:val="20"/>
                <w:color w:val="auto"/>
              </w:rPr>
            </w:pPr>
          </w:p>
        </w:tc>
        <w:tc>
          <w:tcPr>
            <w:tcW w:w="4060" w:type="dxa"/>
            <w:vAlign w:val="bottom"/>
          </w:tcPr>
          <w:p>
            <w:pPr>
              <w:spacing w:after="0"/>
              <w:rPr>
                <w:sz w:val="20"/>
                <w:szCs w:val="20"/>
                <w:color w:val="auto"/>
              </w:rPr>
            </w:pPr>
          </w:p>
        </w:tc>
      </w:tr>
      <w:tr>
        <w:trPr>
          <w:trHeight w:val="30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1.01(a)(i)</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Commitment Schedule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1.01(a)(ii)</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Letter of Credit Commitment Schedule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Existing Letters of Credit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Legal Opinions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1.01(e)</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Immaterial Subsidiaries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1.01(f)</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Subsidiary Guarantors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Fee Owned Real Estate Assets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Litigation and Environmental Matters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5.10</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5.17</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Post-Closing Actions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6.03</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Negative Pledges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6.06</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Dispositions</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Schedule 6.09</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432"/>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320" w:type="dxa"/>
            <w:vAlign w:val="bottom"/>
          </w:tcPr>
          <w:p>
            <w:pPr>
              <w:spacing w:after="0"/>
              <w:rPr>
                <w:sz w:val="24"/>
                <w:szCs w:val="24"/>
                <w:color w:val="auto"/>
              </w:rPr>
            </w:pPr>
          </w:p>
        </w:tc>
        <w:tc>
          <w:tcPr>
            <w:tcW w:w="4060" w:type="dxa"/>
            <w:vAlign w:val="bottom"/>
          </w:tcPr>
          <w:p>
            <w:pPr>
              <w:spacing w:after="0"/>
              <w:rPr>
                <w:sz w:val="24"/>
                <w:szCs w:val="24"/>
                <w:color w:val="auto"/>
              </w:rPr>
            </w:pPr>
          </w:p>
        </w:tc>
      </w:tr>
      <w:tr>
        <w:trPr>
          <w:trHeight w:val="30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Assignment and Assumption</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Affiliated Lender Assignment and Assumption</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Compliance Certificate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Intercompany Note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Promissory Note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Trademark Security Agreement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Patent Security Agreement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Copyright Security Agreement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Solvency Certificate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Security Agreement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Letter of Credit Request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L1-L4</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Forms of U.S. Tax Compliance Certificate</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40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Counterpart Agreement</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O</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Substitute Affiliate Lender Nomination</w:t>
            </w:r>
          </w:p>
        </w:tc>
      </w:tr>
      <w:tr>
        <w:trPr>
          <w:trHeight w:val="216"/>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P</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Pari Passu Intercreditor Agreement</w:t>
            </w:r>
          </w:p>
        </w:tc>
      </w:tr>
      <w:tr>
        <w:trPr>
          <w:trHeight w:val="234"/>
        </w:trPr>
        <w:tc>
          <w:tcPr>
            <w:tcW w:w="1600" w:type="dxa"/>
            <w:vAlign w:val="bottom"/>
          </w:tcPr>
          <w:p>
            <w:pPr>
              <w:spacing w:after="0"/>
              <w:rPr>
                <w:sz w:val="20"/>
                <w:szCs w:val="20"/>
                <w:color w:val="auto"/>
              </w:rPr>
            </w:pPr>
            <w:r>
              <w:rPr>
                <w:rFonts w:ascii="Times New Roman" w:cs="Times New Roman" w:eastAsia="Times New Roman" w:hAnsi="Times New Roman"/>
                <w:sz w:val="18"/>
                <w:szCs w:val="18"/>
                <w:color w:val="auto"/>
              </w:rPr>
              <w:t>Exhibit Q</w:t>
            </w:r>
          </w:p>
        </w:tc>
        <w:tc>
          <w:tcPr>
            <w:tcW w:w="43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Form of First/Second Lien Intercreditor Agreement</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546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019"/>
          </w:cols>
          <w:pgMar w:left="440" w:top="270" w:right="1440"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AND GUARANTY AGREEMENT</w:t>
      </w:r>
    </w:p>
    <w:p>
      <w:pPr>
        <w:spacing w:after="0" w:line="221"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CREDIT AND GUARANTY AGREEMENT, dated as of October 3, 2025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VERSANT MEDIA GROUP, INC., a Pennsylvania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CERTAIN SUBSIDIARIES OF THE BORROWER, as Subsidiary Guarantors, the Lenders and Issuing Banks from time to time party hereto and JPMORGAN CHASE BANK, N.A. (“</w:t>
      </w:r>
      <w:r>
        <w:rPr>
          <w:rFonts w:ascii="Times New Roman" w:cs="Times New Roman" w:eastAsia="Times New Roman" w:hAnsi="Times New Roman"/>
          <w:sz w:val="18"/>
          <w:szCs w:val="18"/>
          <w:b w:val="1"/>
          <w:bCs w:val="1"/>
          <w:color w:val="auto"/>
        </w:rPr>
        <w:t>JPM</w:t>
      </w:r>
      <w:r>
        <w:rPr>
          <w:rFonts w:ascii="Times New Roman" w:cs="Times New Roman" w:eastAsia="Times New Roman" w:hAnsi="Times New Roman"/>
          <w:sz w:val="18"/>
          <w:szCs w:val="18"/>
          <w:color w:val="auto"/>
        </w:rPr>
        <w:t>”) in its capacities as the Swingline Lender, as administrative agent for the Lenders and Issuing Banks (in its capacity as such,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as collateral agent for the Lenders and Issuing Banks (in its capacity as such,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with the persons listed on the cover page hereof as joint lead arrangers and joint bookrunners (in such capacities, collectively, the “</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A. Comcast Corporation, a Pennsylvania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intends to consummate the Separation, which will entail spin-off of the Spin Business from the Parent through the consummation of (i) a series of transactions which will result in certain assets, liabilities and legal entities comprising the Spin Business being owned directly, or indirectly through its subsidiaries, by the Borrower and (ii) the distribution of all of the Borrower’s shares of common stock as of the Record Date (as such term is used in the Separation and Distribution Agreement) owned by the Parent to the holders of the Parent’s shares of common stock;</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B. In connection with the Separation, the Borrower intends to (i) incur certain Indebtedness, in the form of (x) the Initial Term Loans in an original aggregate principal amount of $1,000,000,000 (y) the Revolving Facility in an original aggregate principal amount of $750,000,000 and (z) other senior secured debt facilities, in the form of notes and/or loans, secured by a first priority Lien on the Collateral on a pari passu basis with the Initial Term Loans and the Revolving Facility in an original principal amount of approximately $1,750,000,000 (collectively, the “</w:t>
      </w:r>
      <w:r>
        <w:rPr>
          <w:rFonts w:ascii="Times New Roman" w:cs="Times New Roman" w:eastAsia="Times New Roman" w:hAnsi="Times New Roman"/>
          <w:sz w:val="18"/>
          <w:szCs w:val="18"/>
          <w:b w:val="1"/>
          <w:bCs w:val="1"/>
          <w:color w:val="auto"/>
        </w:rPr>
        <w:t>Other Secured Debt</w:t>
      </w:r>
      <w:r>
        <w:rPr>
          <w:rFonts w:ascii="Times New Roman" w:cs="Times New Roman" w:eastAsia="Times New Roman" w:hAnsi="Times New Roman"/>
          <w:sz w:val="18"/>
          <w:szCs w:val="18"/>
          <w:color w:val="auto"/>
        </w:rPr>
        <w:t>”), (ii) pay the Special Cash Payment to the Parent and (iii) pay Transaction Costs;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 The Borrower has requested that the Lenders extend credit in the form of the Initial Term Loans and the Revolving Facility described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The Lenders are willing to extend such credit on the terms and subject to the conditions set forth herein.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 Accordingly,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1.01. Defined Terms. As used in this Agreement, the following terms have the meanings specified below:</w:t>
      </w:r>
    </w:p>
    <w:p>
      <w:pPr>
        <w:spacing w:after="0" w:line="113"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w:t>
      </w:r>
    </w:p>
    <w:p>
      <w:pPr>
        <w:spacing w:after="0" w:line="155"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xml:space="preserve">” means an intercreditor agreement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an intercreditor agreement substantially in the form of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a Market Intercreditor Agreement or another intercreditor agreement that is reasonably satisfactory to the Administrative Agent and the Borrower (which may, if applicable, consist of a payment “waterfall”).</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0"/>
          </w:cols>
          <w:pgMar w:left="440" w:top="270" w:right="459" w:bottom="1440" w:gutter="0" w:footer="0" w:header="0"/>
        </w:sectPr>
      </w:pPr>
    </w:p>
    <w:bookmarkStart w:id="68" w:name="page69"/>
    <w:bookmarkEnd w:id="6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ACH</w:t>
      </w:r>
      <w:r>
        <w:rPr>
          <w:rFonts w:ascii="Times New Roman" w:cs="Times New Roman" w:eastAsia="Times New Roman" w:hAnsi="Times New Roman"/>
          <w:sz w:val="18"/>
          <w:szCs w:val="18"/>
          <w:color w:val="auto"/>
        </w:rPr>
        <w:t>” means automated clearing house transfers.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Commitment</w:t>
      </w:r>
      <w:r>
        <w:rPr>
          <w:rFonts w:ascii="Times New Roman" w:cs="Times New Roman" w:eastAsia="Times New Roman" w:hAnsi="Times New Roman"/>
          <w:sz w:val="18"/>
          <w:szCs w:val="18"/>
          <w:color w:val="auto"/>
        </w:rPr>
        <w:t xml:space="preserve">” means any commitment hereunder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Facilities</w:t>
      </w:r>
      <w:r>
        <w:rPr>
          <w:rFonts w:ascii="Times New Roman" w:cs="Times New Roman" w:eastAsia="Times New Roman" w:hAnsi="Times New Roman"/>
          <w:sz w:val="18"/>
          <w:szCs w:val="18"/>
          <w:color w:val="auto"/>
        </w:rPr>
        <w:t xml:space="preserve">” means any credit facilities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Letter of Credit Facility</w:t>
      </w:r>
      <w:r>
        <w:rPr>
          <w:rFonts w:ascii="Times New Roman" w:cs="Times New Roman" w:eastAsia="Times New Roman" w:hAnsi="Times New Roman"/>
          <w:sz w:val="18"/>
          <w:szCs w:val="18"/>
          <w:color w:val="auto"/>
        </w:rPr>
        <w:t>” means any facility established by the Borrower and/or any Restricted Subsidiary outside of this Agreement to obtain letters of credit, bank guarantees, bankers’ acceptances or other similar instruments required by customers, suppliers, landlords, regulators or Governmental Authorities or otherwise in the ordinary course of business.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Loans</w:t>
      </w:r>
      <w:r>
        <w:rPr>
          <w:rFonts w:ascii="Times New Roman" w:cs="Times New Roman" w:eastAsia="Times New Roman" w:hAnsi="Times New Roman"/>
          <w:sz w:val="18"/>
          <w:szCs w:val="18"/>
          <w:color w:val="auto"/>
        </w:rPr>
        <w:t>” means any Additional Revolving Loans and any Additional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Commitment</w:t>
      </w:r>
      <w:r>
        <w:rPr>
          <w:rFonts w:ascii="Times New Roman" w:cs="Times New Roman" w:eastAsia="Times New Roman" w:hAnsi="Times New Roman"/>
          <w:sz w:val="18"/>
          <w:szCs w:val="18"/>
          <w:color w:val="auto"/>
        </w:rPr>
        <w:t xml:space="preserve">” means any revolving credit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Exposure</w:t>
      </w:r>
      <w:r>
        <w:rPr>
          <w:rFonts w:ascii="Times New Roman" w:cs="Times New Roman" w:eastAsia="Times New Roman" w:hAnsi="Times New Roman"/>
          <w:sz w:val="18"/>
          <w:szCs w:val="18"/>
          <w:color w:val="auto"/>
        </w:rPr>
        <w:t>” means, with respect to any Lender at any time, the aggregate Outstanding Amount at such time of all Additional Revolving Loans of such Lender, plus the aggregate amount at such time of such Lender’s LC Exposure and Swingline Exposure, in each case, attributable to its Additional Revolving Credit Commitment.</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Lender</w:t>
      </w:r>
      <w:r>
        <w:rPr>
          <w:rFonts w:ascii="Times New Roman" w:cs="Times New Roman" w:eastAsia="Times New Roman" w:hAnsi="Times New Roman"/>
          <w:sz w:val="18"/>
          <w:szCs w:val="18"/>
          <w:color w:val="auto"/>
        </w:rPr>
        <w:t>” means any Lender with an Additional Revolving Credit Commitment or any Additional Revolving Credit Exposure.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Loans</w:t>
      </w:r>
      <w:r>
        <w:rPr>
          <w:rFonts w:ascii="Times New Roman" w:cs="Times New Roman" w:eastAsia="Times New Roman" w:hAnsi="Times New Roman"/>
          <w:sz w:val="18"/>
          <w:szCs w:val="18"/>
          <w:color w:val="auto"/>
        </w:rPr>
        <w:t xml:space="preserve">” means any revolving loan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Commitment</w:t>
      </w:r>
      <w:r>
        <w:rPr>
          <w:rFonts w:ascii="Times New Roman" w:cs="Times New Roman" w:eastAsia="Times New Roman" w:hAnsi="Times New Roman"/>
          <w:sz w:val="18"/>
          <w:szCs w:val="18"/>
          <w:color w:val="auto"/>
        </w:rPr>
        <w:t xml:space="preserve">” means any term loan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Loans</w:t>
      </w:r>
      <w:r>
        <w:rPr>
          <w:rFonts w:ascii="Times New Roman" w:cs="Times New Roman" w:eastAsia="Times New Roman" w:hAnsi="Times New Roman"/>
          <w:sz w:val="18"/>
          <w:szCs w:val="18"/>
          <w:color w:val="auto"/>
        </w:rPr>
        <w:t xml:space="preserve">” means any term loan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Adjustment Date</w:t>
      </w:r>
      <w:r>
        <w:rPr>
          <w:rFonts w:ascii="Times New Roman" w:cs="Times New Roman" w:eastAsia="Times New Roman" w:hAnsi="Times New Roman"/>
          <w:sz w:val="18"/>
          <w:szCs w:val="18"/>
          <w:color w:val="auto"/>
        </w:rPr>
        <w:t xml:space="preserve">” means the date of delivery of financial statements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60"/>
          </w:cols>
          <w:pgMar w:left="440" w:top="266" w:right="599" w:bottom="1440" w:gutter="0" w:footer="0" w:header="0"/>
        </w:sectPr>
      </w:pPr>
    </w:p>
    <w:bookmarkStart w:id="69" w:name="page70"/>
    <w:bookmarkEnd w:id="69"/>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the Borrower or any of its Restricted Subsidiaries) at law or in equity, or before or by any Governmental Authority, domestic or foreign, whether pending or, to the knowledge of the Borrower or any of its Restricted Subsidiaries, threatened in writing, against or affecting the Borrower or any of its Restricted Subsidiaries or any property of the Borrower or any of its Restricted Subsidiaries.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None of the Administrative Agent, the Collateral Agent, any Arranger, any Lender (other than any Affiliated Lender) or any of their respective Affiliates shall be considered an Affiliate of the Borrower or any subsidiary thereof. Notwithstanding anything herein to the contrary, neither Parent nor any of its Subsidiaries shall be considered an Affiliate of the Borrower or any subsidiary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w:t>
      </w:r>
      <w:r>
        <w:rPr>
          <w:rFonts w:ascii="Times New Roman" w:cs="Times New Roman" w:eastAsia="Times New Roman" w:hAnsi="Times New Roman"/>
          <w:sz w:val="18"/>
          <w:szCs w:val="18"/>
          <w:color w:val="auto"/>
        </w:rPr>
        <w:t>” means the Borrower and/or any of its Subsidiaries.</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 Assignment and Assumption</w:t>
      </w:r>
      <w:r>
        <w:rPr>
          <w:rFonts w:ascii="Times New Roman" w:cs="Times New Roman" w:eastAsia="Times New Roman" w:hAnsi="Times New Roman"/>
          <w:sz w:val="18"/>
          <w:szCs w:val="18"/>
          <w:color w:val="auto"/>
        </w:rPr>
        <w:t xml:space="preserve">” means an assignment and assumption entered into by a Lender and an Affiliated Lender (with the consent of any party whose consent is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each of the Administrative Agent, the Collateral Agent and any other Person appointed under the Loan Documents to service in an agent or similar capacity.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means, with respect to a Contributing Guarantor as of any date of determination, an amount equal to (1) the aggregate amount of all payments and distributions made (including the greater of the book value or fair market value of any assets sold) on or before such date by such Contributing Guarantor in respect of the Loan Guarantee or its obligations under any other Loan Document (including in respect of this Agreement), minus (2) the aggregate amount of all payments received on or before such date by such Contributing Guarantor from the other Contributing Guarantors as contributions under this Agreement. The amounts payable as contributions hereunder shall be determined as of the date on which the related payment or distribution is made by the applicable Funding Guarantor.</w:t>
      </w:r>
    </w:p>
    <w:p>
      <w:pPr>
        <w:spacing w:after="0" w:line="182" w:lineRule="exact"/>
        <w:rPr>
          <w:sz w:val="20"/>
          <w:szCs w:val="20"/>
          <w:color w:val="auto"/>
        </w:rPr>
      </w:pPr>
    </w:p>
    <w:p>
      <w:pPr>
        <w:ind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Alternate Base Rate</w:t>
      </w:r>
      <w:r>
        <w:rPr>
          <w:rFonts w:ascii="Times New Roman" w:cs="Times New Roman" w:eastAsia="Times New Roman" w:hAnsi="Times New Roman"/>
          <w:sz w:val="17"/>
          <w:szCs w:val="17"/>
          <w:color w:val="auto"/>
        </w:rPr>
        <w:t xml:space="preserve">” means, for any day, a rate per annum equal to the highest of (a) the Federal Funds Effective Rate in effect on such day plus 0.50%, (b) to the extent ascertainable, the Eurocurrency Rate for Dollars (which rate shall be calculated based upon an Interest Period of one month and shall be determined on a daily basis based on the rate determined on such day for such Interest Period at 11:00 a.m.) plus 1.00%, (c) the Prime Rate and (d) if the Eurocurrency Rate for Dollars is not ascertainable, solely with respect to the Initial Term Loans and the Revolving Loans, 1.00%. Any change in the Alternate Base Rate due to a change in the Prime Rate, the Federal Funds Effective Rate or the Eurocurrency Rate, as the case may be, shall be effective from and including the effective date of such change in the Prime Rate, the Federal Funds Effective Rate or the Eurocurrency Rate, as the case may be. If the Alternate Base Rate is being used as an alternate rate of interest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 xml:space="preserve"> with respect to any Loans, then the Alternate Base Rate shall be the greater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and shall be determined without reference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70" w:name="page71"/>
    <w:bookmarkEnd w:id="70"/>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Alternate Currency</w:t>
      </w:r>
      <w:r>
        <w:rPr>
          <w:rFonts w:ascii="Times New Roman" w:cs="Times New Roman" w:eastAsia="Times New Roman" w:hAnsi="Times New Roman"/>
          <w:sz w:val="18"/>
          <w:szCs w:val="18"/>
          <w:color w:val="auto"/>
        </w:rPr>
        <w:t xml:space="preserve">” means in the case of Revolving Loans and Letters of Credit, Canadian Dollars, Euros, Sterling and each other currency that is approved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means, for any day, with respect to any Credit Extension:</w:t>
      </w:r>
    </w:p>
    <w:p>
      <w:pPr>
        <w:spacing w:after="0" w:line="121" w:lineRule="exact"/>
        <w:rPr>
          <w:sz w:val="20"/>
          <w:szCs w:val="20"/>
          <w:color w:val="auto"/>
        </w:rPr>
      </w:pPr>
    </w:p>
    <w:p>
      <w:pPr>
        <w:ind w:left="684" w:hanging="244"/>
        <w:spacing w:after="0"/>
        <w:tabs>
          <w:tab w:leader="none" w:pos="684" w:val="left"/>
        </w:tabs>
        <w:numPr>
          <w:ilvl w:val="1"/>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SONIA for the day that is five RFR Business Days prior to (A) if such day is an RFR Business Day, such day or</w:t>
      </w:r>
    </w:p>
    <w:p>
      <w:pPr>
        <w:spacing w:after="0" w:line="27" w:lineRule="exact"/>
        <w:rPr>
          <w:rFonts w:ascii="Times New Roman" w:cs="Times New Roman" w:eastAsia="Times New Roman" w:hAnsi="Times New Roman"/>
          <w:sz w:val="18"/>
          <w:szCs w:val="18"/>
          <w:color w:val="auto"/>
        </w:rPr>
      </w:pPr>
    </w:p>
    <w:p>
      <w:pPr>
        <w:ind w:left="4" w:right="440" w:hanging="4"/>
        <w:spacing w:after="0" w:line="260" w:lineRule="auto"/>
        <w:tabs>
          <w:tab w:leader="none" w:pos="28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is not an RFR Business Day, the RFR Business Day immediately preceding such RFR Interest Day, in each case, as such SONIA is published by the SONIA Administrator on the SONIA Administrator’s Website ;</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Daily Simple CORRA;</w:t>
      </w:r>
    </w:p>
    <w:p>
      <w:pPr>
        <w:spacing w:after="0" w:line="225" w:lineRule="exact"/>
        <w:rPr>
          <w:rFonts w:ascii="Times New Roman" w:cs="Times New Roman" w:eastAsia="Times New Roman" w:hAnsi="Times New Roman"/>
          <w:sz w:val="18"/>
          <w:szCs w:val="18"/>
          <w:color w:val="auto"/>
        </w:rPr>
      </w:pPr>
    </w:p>
    <w:p>
      <w:pPr>
        <w:jc w:val="both"/>
        <w:ind w:left="4" w:right="60" w:firstLine="436"/>
        <w:spacing w:after="0" w:line="261" w:lineRule="auto"/>
        <w:tabs>
          <w:tab w:leader="none" w:pos="689"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Alternate Currency, other than Canadian Dollars (to the extent such Loans denominated in such currency will bear interest at a daily rate), the daily rate per annum as designated with respect to such Alternate Currency at the time such Alternate Currency is approved by the Administrative Agent and the relevant Lenders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plus the adjustment (if any) determined by the Administrative Agent and the relevant Lenders;</w:t>
      </w:r>
    </w:p>
    <w:p>
      <w:pPr>
        <w:spacing w:after="0" w:line="180"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Daily Rate shall be less than zero percent (0%), such rate shall be deemed zero percent (0%) for purposes of this Agreement. Any change in any Alternative Currency Daily Rate shall be effective from and including the date of such change without further notice.</w:t>
      </w:r>
    </w:p>
    <w:p>
      <w:pPr>
        <w:spacing w:after="0" w:line="172"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Alternate Currency.</w:t>
      </w:r>
    </w:p>
    <w:p>
      <w:pPr>
        <w:spacing w:after="0" w:line="155"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means an Alternative Currency Daily Rate Loan or a Eurocurrency Rate Loan (other than a Eurocurrency Rate Loan Denominated in Dollars).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Percentage</w:t>
      </w:r>
      <w:r>
        <w:rPr>
          <w:rFonts w:ascii="Times New Roman" w:cs="Times New Roman" w:eastAsia="Times New Roman" w:hAnsi="Times New Roman"/>
          <w:sz w:val="17"/>
          <w:szCs w:val="17"/>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such Class and the denominator of which is the aggregate outstanding principal amount of the Term Loans and unused Additional Term Loan Commitments of all Term Lenders under such Class and (b) with respect to any Revolving Lender of any Class, the percentage of the aggregate amount of the Revolving Credit Commitments of such Class represented by such Lender’s Revolving Credit Commitment of such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and otherwise herein, when there is a Defaulting Lender, such Defaulting Lender’s Revolving Credit Commitment shall be disregarded for any relevant calculation. In the case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in the event that the Revolving Credit Commitments of any Class have expired or been terminated, the Applicable Percentage of any Revolving Lender of such Class shall be determined on the basis of the Revolving Credit Exposure of such Revolving Lender with respect to such Class, giving effect to any assignments and to any Revolving Lender’s status as a Defaulting Lender at the time of determination.</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has the meaning assigned to such term in the definition of “Dutch Auction”.</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66" w:right="459" w:bottom="1440" w:gutter="0" w:footer="0" w:header="0"/>
        </w:sectPr>
      </w:pPr>
    </w:p>
    <w:bookmarkStart w:id="71" w:name="page72"/>
    <w:bookmarkEnd w:id="71"/>
    <w:p>
      <w:pPr>
        <w:ind w:right="20"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Applicable Rate</w:t>
      </w:r>
      <w:r>
        <w:rPr>
          <w:rFonts w:ascii="Times New Roman" w:cs="Times New Roman" w:eastAsia="Times New Roman" w:hAnsi="Times New Roman"/>
          <w:sz w:val="17"/>
          <w:szCs w:val="17"/>
          <w:color w:val="auto"/>
        </w:rPr>
        <w:t xml:space="preserve">” means: for any day, (a) for Initial Term Loans, in the case of ABR Loans and Eurocurrency Rate Loans, the applicable rate per annum set forth below under the caption “ABR and Canadian Prime Rate Spread” or “Eurocurrency Rate, Alternative Currency Daily Rate and CORRA Spread”, as applicable, based upon the First Lien Leverage Ratio as of the last day of the most recently ended Test Period, and (b) for Revolving Loans, the applicable rate per annum set forth below under the caption “ABR and Canadian Prime Rate Spread” or “Eurocurrency Rate, Alternative Currency Daily Rate and CORRA Spread”, based upon the First Lien Leverage Ratio as of the last day of the most recently ended Test Period;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until the first Adjustment Date following the completion of at least one full Fiscal Quarter ended after the Closing Date, the “Applicable Rate” for Initial Term Loans and any Revolving Loans shall be the applicable rate per annum set forth below in Category 1.</w:t>
      </w:r>
    </w:p>
    <w:p>
      <w:pPr>
        <w:spacing w:after="0" w:line="184"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Eurocurrency</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Rate,</w:t>
            </w: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Alternative</w:t>
            </w:r>
          </w:p>
        </w:tc>
        <w:tc>
          <w:tcPr>
            <w:tcW w:w="9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ABR and</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Currency Daily</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Rate and</w:t>
            </w: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Canadian</w:t>
            </w:r>
          </w:p>
        </w:tc>
        <w:tc>
          <w:tcPr>
            <w:tcW w:w="0" w:type="dxa"/>
            <w:vAlign w:val="bottom"/>
          </w:tcPr>
          <w:p>
            <w:pPr>
              <w:spacing w:after="0"/>
              <w:rPr>
                <w:sz w:val="1"/>
                <w:szCs w:val="1"/>
                <w:color w:val="auto"/>
              </w:rPr>
            </w:pPr>
          </w:p>
        </w:tc>
      </w:tr>
      <w:tr>
        <w:trPr>
          <w:trHeight w:val="148"/>
        </w:trPr>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500" w:type="dxa"/>
            <w:vAlign w:val="bottom"/>
          </w:tcPr>
          <w:p>
            <w:pPr>
              <w:spacing w:after="0"/>
              <w:rPr>
                <w:sz w:val="12"/>
                <w:szCs w:val="12"/>
                <w:color w:val="auto"/>
              </w:rPr>
            </w:pPr>
          </w:p>
        </w:tc>
        <w:tc>
          <w:tcPr>
            <w:tcW w:w="6540" w:type="dxa"/>
            <w:vAlign w:val="bottom"/>
            <w:gridSpan w:val="2"/>
            <w:vMerge w:val="restart"/>
          </w:tcPr>
          <w:p>
            <w:pPr>
              <w:ind w:left="2220"/>
              <w:spacing w:after="0"/>
              <w:rPr>
                <w:sz w:val="20"/>
                <w:szCs w:val="20"/>
                <w:color w:val="auto"/>
              </w:rPr>
            </w:pPr>
            <w:r>
              <w:rPr>
                <w:rFonts w:ascii="Times New Roman" w:cs="Times New Roman" w:eastAsia="Times New Roman" w:hAnsi="Times New Roman"/>
                <w:sz w:val="14"/>
                <w:szCs w:val="14"/>
                <w:b w:val="1"/>
                <w:bCs w:val="1"/>
                <w:color w:val="auto"/>
              </w:rPr>
              <w:t>First Lien Leverage Ratio</w:t>
            </w:r>
          </w:p>
        </w:tc>
        <w:tc>
          <w:tcPr>
            <w:tcW w:w="1600" w:type="dxa"/>
            <w:vAlign w:val="bottom"/>
            <w:gridSpan w:val="2"/>
          </w:tcPr>
          <w:p>
            <w:pPr>
              <w:jc w:val="center"/>
              <w:ind w:right="620"/>
              <w:spacing w:after="0" w:line="149" w:lineRule="exact"/>
              <w:rPr>
                <w:sz w:val="20"/>
                <w:szCs w:val="20"/>
                <w:color w:val="auto"/>
              </w:rPr>
            </w:pPr>
            <w:r>
              <w:rPr>
                <w:rFonts w:ascii="Times New Roman" w:cs="Times New Roman" w:eastAsia="Times New Roman" w:hAnsi="Times New Roman"/>
                <w:sz w:val="14"/>
                <w:szCs w:val="14"/>
                <w:b w:val="1"/>
                <w:bCs w:val="1"/>
                <w:color w:val="auto"/>
              </w:rPr>
              <w:t>CORRA</w:t>
            </w:r>
          </w:p>
        </w:tc>
        <w:tc>
          <w:tcPr>
            <w:tcW w:w="9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Prime Rate</w:t>
            </w:r>
          </w:p>
        </w:tc>
        <w:tc>
          <w:tcPr>
            <w:tcW w:w="0" w:type="dxa"/>
            <w:vAlign w:val="bottom"/>
          </w:tcPr>
          <w:p>
            <w:pPr>
              <w:spacing w:after="0"/>
              <w:rPr>
                <w:sz w:val="1"/>
                <w:szCs w:val="1"/>
                <w:color w:val="auto"/>
              </w:rPr>
            </w:pPr>
          </w:p>
        </w:tc>
      </w:tr>
      <w:tr>
        <w:trPr>
          <w:trHeight w:val="165"/>
        </w:trPr>
        <w:tc>
          <w:tcPr>
            <w:tcW w:w="580" w:type="dxa"/>
            <w:vAlign w:val="bottom"/>
            <w:tcBorders>
              <w:bottom w:val="single" w:sz="8" w:color="auto"/>
            </w:tcBorders>
            <w:vMerge w:val="continue"/>
          </w:tcPr>
          <w:p>
            <w:pPr>
              <w:spacing w:after="0"/>
              <w:rPr>
                <w:sz w:val="13"/>
                <w:szCs w:val="13"/>
                <w:color w:val="auto"/>
              </w:rPr>
            </w:pPr>
          </w:p>
        </w:tc>
        <w:tc>
          <w:tcPr>
            <w:tcW w:w="500" w:type="dxa"/>
            <w:vAlign w:val="bottom"/>
          </w:tcPr>
          <w:p>
            <w:pPr>
              <w:spacing w:after="0"/>
              <w:rPr>
                <w:sz w:val="13"/>
                <w:szCs w:val="13"/>
                <w:color w:val="auto"/>
              </w:rPr>
            </w:pPr>
          </w:p>
        </w:tc>
        <w:tc>
          <w:tcPr>
            <w:tcW w:w="6540" w:type="dxa"/>
            <w:vAlign w:val="bottom"/>
            <w:gridSpan w:val="2"/>
            <w:vMerge w:val="continue"/>
          </w:tcPr>
          <w:p>
            <w:pPr>
              <w:spacing w:after="0"/>
              <w:rPr>
                <w:sz w:val="13"/>
                <w:szCs w:val="13"/>
                <w:color w:val="auto"/>
              </w:rPr>
            </w:pPr>
          </w:p>
        </w:tc>
        <w:tc>
          <w:tcPr>
            <w:tcW w:w="1600" w:type="dxa"/>
            <w:vAlign w:val="bottom"/>
            <w:gridSpan w:val="2"/>
          </w:tcPr>
          <w:p>
            <w:pPr>
              <w:jc w:val="center"/>
              <w:ind w:right="64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9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Spread</w:t>
            </w:r>
          </w:p>
        </w:tc>
        <w:tc>
          <w:tcPr>
            <w:tcW w:w="0" w:type="dxa"/>
            <w:vAlign w:val="bottom"/>
          </w:tcPr>
          <w:p>
            <w:pPr>
              <w:spacing w:after="0"/>
              <w:rPr>
                <w:sz w:val="1"/>
                <w:szCs w:val="1"/>
                <w:color w:val="auto"/>
              </w:rPr>
            </w:pPr>
          </w:p>
        </w:tc>
      </w:tr>
      <w:tr>
        <w:trPr>
          <w:trHeight w:val="20"/>
        </w:trPr>
        <w:tc>
          <w:tcPr>
            <w:tcW w:w="5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vMerge w:val="restart"/>
            <w:shd w:val="clear" w:color="auto" w:fill="CCEEFF"/>
          </w:tcPr>
          <w:p>
            <w:pPr>
              <w:spacing w:after="0" w:line="20" w:lineRule="exact"/>
              <w:rPr>
                <w:sz w:val="1"/>
                <w:szCs w:val="1"/>
                <w:color w:val="auto"/>
              </w:rPr>
            </w:pPr>
          </w:p>
        </w:tc>
        <w:tc>
          <w:tcPr>
            <w:tcW w:w="604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80" w:type="dxa"/>
            <w:vAlign w:val="bottom"/>
            <w:vMerge w:val="continue"/>
            <w:shd w:val="clear" w:color="auto" w:fill="CCEEFF"/>
          </w:tcPr>
          <w:p>
            <w:pPr>
              <w:spacing w:after="0"/>
              <w:rPr>
                <w:sz w:val="17"/>
                <w:szCs w:val="17"/>
                <w:color w:val="auto"/>
              </w:rPr>
            </w:pPr>
          </w:p>
        </w:tc>
        <w:tc>
          <w:tcPr>
            <w:tcW w:w="500" w:type="dxa"/>
            <w:vAlign w:val="bottom"/>
            <w:vMerge w:val="continue"/>
            <w:shd w:val="clear" w:color="auto" w:fill="CCEEFF"/>
          </w:tcPr>
          <w:p>
            <w:pPr>
              <w:spacing w:after="0"/>
              <w:rPr>
                <w:sz w:val="17"/>
                <w:szCs w:val="17"/>
                <w:color w:val="auto"/>
              </w:rPr>
            </w:pPr>
          </w:p>
        </w:tc>
        <w:tc>
          <w:tcPr>
            <w:tcW w:w="60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Greater than 1.00x</w:t>
            </w:r>
          </w:p>
        </w:tc>
        <w:tc>
          <w:tcPr>
            <w:tcW w:w="500" w:type="dxa"/>
            <w:vAlign w:val="bottom"/>
            <w:vMerge w:val="continue"/>
            <w:shd w:val="clear" w:color="auto" w:fill="CCEEFF"/>
          </w:tcPr>
          <w:p>
            <w:pPr>
              <w:spacing w:after="0"/>
              <w:rPr>
                <w:sz w:val="17"/>
                <w:szCs w:val="17"/>
                <w:color w:val="auto"/>
              </w:rPr>
            </w:pPr>
          </w:p>
        </w:tc>
        <w:tc>
          <w:tcPr>
            <w:tcW w:w="1600" w:type="dxa"/>
            <w:vAlign w:val="bottom"/>
            <w:gridSpan w:val="2"/>
            <w:shd w:val="clear" w:color="auto" w:fill="CCEEFF"/>
          </w:tcPr>
          <w:p>
            <w:pPr>
              <w:jc w:val="right"/>
              <w:ind w:right="480"/>
              <w:spacing w:after="0" w:line="203" w:lineRule="exact"/>
              <w:rPr>
                <w:sz w:val="20"/>
                <w:szCs w:val="20"/>
                <w:color w:val="auto"/>
              </w:rPr>
            </w:pPr>
            <w:r>
              <w:rPr>
                <w:rFonts w:ascii="Times New Roman" w:cs="Times New Roman" w:eastAsia="Times New Roman" w:hAnsi="Times New Roman"/>
                <w:sz w:val="18"/>
                <w:szCs w:val="18"/>
                <w:color w:val="auto"/>
              </w:rPr>
              <w:t>1.750%</w:t>
            </w:r>
          </w:p>
        </w:tc>
        <w:tc>
          <w:tcPr>
            <w:tcW w:w="90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0.750%</w:t>
            </w:r>
          </w:p>
        </w:tc>
        <w:tc>
          <w:tcPr>
            <w:tcW w:w="0" w:type="dxa"/>
            <w:vAlign w:val="bottom"/>
          </w:tcPr>
          <w:p>
            <w:pPr>
              <w:spacing w:after="0"/>
              <w:rPr>
                <w:sz w:val="1"/>
                <w:szCs w:val="1"/>
                <w:color w:val="auto"/>
              </w:rPr>
            </w:pPr>
          </w:p>
        </w:tc>
      </w:tr>
      <w:tr>
        <w:trPr>
          <w:trHeight w:val="216"/>
        </w:trPr>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704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Greater than 0.75x but equal to or less than 1.00x</w:t>
            </w:r>
          </w:p>
        </w:tc>
        <w:tc>
          <w:tcPr>
            <w:tcW w:w="16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1.500%</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0.500%</w:t>
            </w:r>
          </w:p>
        </w:tc>
        <w:tc>
          <w:tcPr>
            <w:tcW w:w="0" w:type="dxa"/>
            <w:vAlign w:val="bottom"/>
          </w:tcPr>
          <w:p>
            <w:pPr>
              <w:spacing w:after="0"/>
              <w:rPr>
                <w:sz w:val="1"/>
                <w:szCs w:val="1"/>
                <w:color w:val="auto"/>
              </w:rPr>
            </w:pPr>
          </w:p>
        </w:tc>
      </w:tr>
      <w:tr>
        <w:trPr>
          <w:trHeight w:val="216"/>
        </w:trPr>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704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Equal to or less than 0.75x</w:t>
            </w:r>
          </w:p>
        </w:tc>
        <w:tc>
          <w:tcPr>
            <w:tcW w:w="16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1.250%</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0.250%</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Applicable Rate for Initial Term Loans and Revolving Loans shall be adjusted quarterly on a prospective basis on each Adjustment Date based upon the First Lien Leverage Ratio in accordance with the table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financial statements are not delivered when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the “Applicable Rate” for Initial Term Loans and Revolving Loans shall be the rate per annum set forth above in </w:t>
      </w:r>
      <w:r>
        <w:rPr>
          <w:rFonts w:ascii="Times New Roman" w:cs="Times New Roman" w:eastAsia="Times New Roman" w:hAnsi="Times New Roman"/>
          <w:sz w:val="18"/>
          <w:szCs w:val="18"/>
          <w:u w:val="single" w:color="auto"/>
          <w:color w:val="auto"/>
        </w:rPr>
        <w:t>Category 1</w:t>
      </w:r>
      <w:r>
        <w:rPr>
          <w:rFonts w:ascii="Times New Roman" w:cs="Times New Roman" w:eastAsia="Times New Roman" w:hAnsi="Times New Roman"/>
          <w:sz w:val="18"/>
          <w:szCs w:val="18"/>
          <w:color w:val="auto"/>
        </w:rPr>
        <w:t xml:space="preserve"> until such financial statements are delivered in compliance with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w:t>
      </w:r>
    </w:p>
    <w:p>
      <w:pPr>
        <w:spacing w:after="0" w:line="18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the event that the Administrative Agent and the Borrower determine that any financial statements previously delivered were incorrect or inaccurate, and such inaccuracy, if corrected, would have led to the application of a higher Applicable Rate for any period (an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xml:space="preserve">”) than the Applicable Rate applied for such Applicable Period, then (i) the Borrower shall as soon as practicable deliver to the Administrative Agent the corrected financial statements for such Applicable Period, (ii) the Applicable Rate shall be determined as if the pricing level for such higher Applicable Rate were applicable for such Applicable Period and (iii) the Borrower shall within three Business Days thereof pay to the Administrative Agent the accrued additional amount owing as a result of such increased Applicable Rate for such Applicable Period, which payment shall be promptly applied by the Administrative Agent in accordance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unless a Responsible Officer of the Borrower had actual knowledge that such financial statements previously delivered were incorrect or inaccurate, and such inaccuracy, if corrected, would have led to the application of a higher Applicable Rate for any Applicable Period than the Applicable Rate applied for such Applicable Period, at any time prior to the determination made pursuant to this paragraph and did not notify the Administrative Agent that such financial statements were incorrect or inaccurate at such time, no Default or Event of Default shall be deemed to have occurred as a result of such non-payment or underpayment until the expiration of such three Business Days period.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72" w:name="page73"/>
    <w:bookmarkEnd w:id="72"/>
    <w:p>
      <w:pPr>
        <w:ind w:right="3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Rate for any other Class of Additional Term Loans or Additional Revolving Loans shall be as set forth in the applicable Refinancing Amendment, Incremental Facility Amendment or Extension Amendment.</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SOFR Adjustment</w:t>
      </w:r>
      <w:r>
        <w:rPr>
          <w:rFonts w:ascii="Times New Roman" w:cs="Times New Roman" w:eastAsia="Times New Roman" w:hAnsi="Times New Roman"/>
          <w:sz w:val="18"/>
          <w:szCs w:val="18"/>
          <w:color w:val="auto"/>
        </w:rPr>
        <w:t>” means 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Commercial Bank</w:t>
      </w:r>
      <w:r>
        <w:rPr>
          <w:rFonts w:ascii="Times New Roman" w:cs="Times New Roman" w:eastAsia="Times New Roman" w:hAnsi="Times New Roman"/>
          <w:sz w:val="18"/>
          <w:szCs w:val="18"/>
          <w:color w:val="auto"/>
        </w:rPr>
        <w:t>” means a commercial bank with a consolidated combined capital surplus of at least $5,000,000,000.</w:t>
      </w:r>
    </w:p>
    <w:p>
      <w:pPr>
        <w:spacing w:after="0" w:line="225" w:lineRule="exact"/>
        <w:rPr>
          <w:sz w:val="20"/>
          <w:szCs w:val="20"/>
          <w:color w:val="auto"/>
        </w:rPr>
      </w:pPr>
    </w:p>
    <w:p>
      <w:pPr>
        <w:jc w:val="both"/>
        <w:ind w:right="10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Approved Fund</w:t>
      </w:r>
      <w:r>
        <w:rPr>
          <w:rFonts w:ascii="Times New Roman" w:cs="Times New Roman" w:eastAsia="Times New Roman" w:hAnsi="Times New Roman"/>
          <w:sz w:val="17"/>
          <w:szCs w:val="17"/>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5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Jurisdiction</w:t>
      </w:r>
      <w:r>
        <w:rPr>
          <w:rFonts w:ascii="Times New Roman" w:cs="Times New Roman" w:eastAsia="Times New Roman" w:hAnsi="Times New Roman"/>
          <w:sz w:val="18"/>
          <w:szCs w:val="18"/>
          <w:color w:val="auto"/>
        </w:rPr>
        <w:t>” shall mean each of (i) a jurisdiction of another approved or existing Borrower and (ii) any other jurisdiction agreed to by the Borrower and each Revolving Lender.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collectively, each Assignment and Assumption and each Affiliated Lender Assignment and Assumption.</w:t>
      </w:r>
    </w:p>
    <w:p>
      <w:pPr>
        <w:spacing w:after="0" w:line="225"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Agent</w:t>
      </w:r>
      <w:r>
        <w:rPr>
          <w:rFonts w:ascii="Times New Roman" w:cs="Times New Roman" w:eastAsia="Times New Roman" w:hAnsi="Times New Roman"/>
          <w:sz w:val="18"/>
          <w:szCs w:val="18"/>
          <w:color w:val="auto"/>
        </w:rPr>
        <w:t>” means (a) the Administrative Agent or any of its Affiliates or (b) any other financial institution or advisor engaged by the Borrower (whether or not an Affiliate of the Administrative Agent) to act as an arranger in connection with any Auction pursuant to the definition of “Dutch Auction”.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xml:space="preserve">” means the period from and including the Closing Date to but excluding the earliest of (a) the date of termination of the Initial Revolving Credit Commitments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(b) the date of termination of the Initial Revolving Credit Commitment of each Initial Revolving Lender to make Initial Revolving Loans and the obligation of each Issuing Bank to issue Letters of Credit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(c) the Initial Revolving Credit Maturity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an amount equal to, without duplication: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73" w:name="page74"/>
    <w:bookmarkEnd w:id="73"/>
    <w:p>
      <w:pPr>
        <w:ind w:left="241" w:hanging="241"/>
        <w:spacing w:after="0"/>
        <w:tabs>
          <w:tab w:leader="none" w:pos="241"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w:t>
      </w:r>
    </w:p>
    <w:p>
      <w:pPr>
        <w:spacing w:after="0" w:line="117" w:lineRule="exact"/>
        <w:rPr>
          <w:rFonts w:ascii="Times New Roman" w:cs="Times New Roman" w:eastAsia="Times New Roman" w:hAnsi="Times New Roman"/>
          <w:sz w:val="18"/>
          <w:szCs w:val="18"/>
          <w:color w:val="auto"/>
        </w:rPr>
      </w:pPr>
    </w:p>
    <w:p>
      <w:pPr>
        <w:ind w:left="121" w:right="460" w:firstLine="408"/>
        <w:spacing w:after="0" w:line="282" w:lineRule="auto"/>
        <w:tabs>
          <w:tab w:leader="none" w:pos="736"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$1,125,000,000 and 50% of Consolidated Adjusted EBITDA as of the last day of the most recently ended Test Period; plus</w:t>
      </w:r>
    </w:p>
    <w:p>
      <w:pPr>
        <w:spacing w:after="0" w:line="53" w:lineRule="exact"/>
        <w:rPr>
          <w:rFonts w:ascii="Times New Roman" w:cs="Times New Roman" w:eastAsia="Times New Roman" w:hAnsi="Times New Roman"/>
          <w:sz w:val="18"/>
          <w:szCs w:val="18"/>
          <w:color w:val="auto"/>
        </w:rPr>
      </w:pPr>
    </w:p>
    <w:p>
      <w:pPr>
        <w:ind w:left="801" w:hanging="272"/>
        <w:spacing w:after="0"/>
        <w:tabs>
          <w:tab w:leader="none" w:pos="801"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CNI Growth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not be available for any Restricted Payment pursuant to</w:t>
      </w:r>
    </w:p>
    <w:p>
      <w:pPr>
        <w:spacing w:after="0" w:line="27" w:lineRule="exact"/>
        <w:rPr>
          <w:sz w:val="20"/>
          <w:szCs w:val="20"/>
          <w:color w:val="auto"/>
        </w:rPr>
      </w:pPr>
    </w:p>
    <w:p>
      <w:pPr>
        <w:ind w:left="121" w:right="3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if (i) any Event of Default shall then exist or would result therefrom at the time of determination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or (ii) on a Pro Forma Basis, after giving effect to the Restricted Payment, the Total Leverage Ratio exceeds 3.25:1.00; plus</w:t>
      </w:r>
    </w:p>
    <w:p>
      <w:pPr>
        <w:spacing w:after="0" w:line="78" w:lineRule="exact"/>
        <w:rPr>
          <w:sz w:val="20"/>
          <w:szCs w:val="20"/>
          <w:color w:val="auto"/>
        </w:rPr>
      </w:pPr>
    </w:p>
    <w:p>
      <w:pPr>
        <w:ind w:left="841" w:hanging="312"/>
        <w:spacing w:after="0"/>
        <w:tabs>
          <w:tab w:leader="none" w:pos="841"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capital contributions or other proceeds of any issuance of Capital Stock (other than any amounts</w:t>
      </w:r>
    </w:p>
    <w:p>
      <w:pPr>
        <w:spacing w:after="0" w:line="27" w:lineRule="exact"/>
        <w:rPr>
          <w:rFonts w:ascii="Times New Roman" w:cs="Times New Roman" w:eastAsia="Times New Roman" w:hAnsi="Times New Roman"/>
          <w:sz w:val="18"/>
          <w:szCs w:val="18"/>
          <w:color w:val="auto"/>
        </w:rPr>
      </w:pPr>
    </w:p>
    <w:p>
      <w:pPr>
        <w:ind w:left="121" w:right="20" w:firstLine="7"/>
        <w:spacing w:after="0" w:line="250" w:lineRule="auto"/>
        <w:tabs>
          <w:tab w:leader="none" w:pos="41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a Cure Amount, (x) constituting an Available Excluded Contribution Amount or proceeds of an issuance of Disqualified Capital Stock, (y) received from the Borrower or any Restricted Subsidiary or (z) consisting of the proceeds of any loan or advance made pursuant to </w:t>
      </w:r>
      <w:r>
        <w:rPr>
          <w:rFonts w:ascii="Times New Roman" w:cs="Times New Roman" w:eastAsia="Times New Roman" w:hAnsi="Times New Roman"/>
          <w:sz w:val="18"/>
          <w:szCs w:val="18"/>
          <w:u w:val="single" w:color="auto"/>
          <w:color w:val="auto"/>
        </w:rPr>
        <w:t>Section 6.06(h)(ii)</w:t>
      </w:r>
      <w:r>
        <w:rPr>
          <w:rFonts w:ascii="Times New Roman" w:cs="Times New Roman" w:eastAsia="Times New Roman" w:hAnsi="Times New Roman"/>
          <w:sz w:val="18"/>
          <w:szCs w:val="18"/>
          <w:color w:val="auto"/>
        </w:rPr>
        <w:t>) received as Cash equity by the Borrower or any of its Restricted Subsidiaries, plus the fair market value, as determined by the Borrower in good faith, of Cash Equivalents, marketable securities or other property received by the Borrower or any Restricted Subsidiary as a capital contribution or in return for any issuance of Capital Stock (other than any amounts (w) constituting a Cure Amount, (x) constituting an Available Excluded Contribution Amount or proceeds of any issuance of Disqualified Capital Stock or</w:t>
      </w:r>
    </w:p>
    <w:p>
      <w:pPr>
        <w:spacing w:after="0" w:line="2" w:lineRule="exact"/>
        <w:rPr>
          <w:rFonts w:ascii="Times New Roman" w:cs="Times New Roman" w:eastAsia="Times New Roman" w:hAnsi="Times New Roman"/>
          <w:sz w:val="18"/>
          <w:szCs w:val="18"/>
          <w:color w:val="auto"/>
        </w:rPr>
      </w:pPr>
    </w:p>
    <w:p>
      <w:pPr>
        <w:ind w:left="121" w:right="380" w:firstLine="7"/>
        <w:spacing w:after="0" w:line="260" w:lineRule="auto"/>
        <w:tabs>
          <w:tab w:leader="none" w:pos="3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the Borrower or any Restricted Subsidiary), in each case, during the period from and including the day immediately following the Closing Date through and including such time; plus</w:t>
      </w:r>
    </w:p>
    <w:p>
      <w:pPr>
        <w:spacing w:after="0" w:line="73" w:lineRule="exact"/>
        <w:rPr>
          <w:sz w:val="20"/>
          <w:szCs w:val="20"/>
          <w:color w:val="auto"/>
        </w:rPr>
      </w:pPr>
    </w:p>
    <w:p>
      <w:pPr>
        <w:ind w:left="121" w:right="80" w:firstLine="408"/>
        <w:spacing w:after="0" w:line="255" w:lineRule="auto"/>
        <w:tabs>
          <w:tab w:leader="none" w:pos="8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Indebtedness or Disqualified Capital Stock, in each case, of the Borrower or any Restricted Subsidiary issued after the Closing Date (other than Indebtedness or such Disqualified Capital Stock issued to the Borrower or any Restricted Subsidiary), which has been converted into or exchanged for Capital Stock of the Borrower or any Restricted Subsidiary that does not constitute Disqualified Capital Stock, together with the fair market value of any Cash or Cash Equivalents (as determined by the Borrower in good faith) and the fair market value (as determined by the Borrower in good faith) of any property or assets received by the Borrower or such Restricted Subsidiary upon such exchange or conversion, in each case, during the period from and including the day immediately following the Closing Date through and including such time; plus</w:t>
      </w:r>
    </w:p>
    <w:p>
      <w:pPr>
        <w:spacing w:after="0" w:line="80" w:lineRule="exact"/>
        <w:rPr>
          <w:rFonts w:ascii="Times New Roman" w:cs="Times New Roman" w:eastAsia="Times New Roman" w:hAnsi="Times New Roman"/>
          <w:sz w:val="18"/>
          <w:szCs w:val="18"/>
          <w:color w:val="auto"/>
        </w:rPr>
      </w:pPr>
    </w:p>
    <w:p>
      <w:pPr>
        <w:ind w:left="121" w:firstLine="408"/>
        <w:spacing w:after="0" w:line="266" w:lineRule="auto"/>
        <w:tabs>
          <w:tab w:leader="none" w:pos="77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plus</w:t>
      </w:r>
    </w:p>
    <w:p>
      <w:pPr>
        <w:spacing w:after="0" w:line="67" w:lineRule="exact"/>
        <w:rPr>
          <w:rFonts w:ascii="Times New Roman" w:cs="Times New Roman" w:eastAsia="Times New Roman" w:hAnsi="Times New Roman"/>
          <w:sz w:val="18"/>
          <w:szCs w:val="18"/>
          <w:color w:val="auto"/>
        </w:rPr>
      </w:pPr>
    </w:p>
    <w:p>
      <w:pPr>
        <w:ind w:left="121" w:right="60" w:firstLine="408"/>
        <w:spacing w:after="0" w:line="258" w:lineRule="auto"/>
        <w:tabs>
          <w:tab w:leader="none" w:pos="82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already reflected as a return of capital with respect to such Investment for purposes of determining the amount of such Investment, the proceeds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after the Closing Date</w:t>
      </w:r>
    </w:p>
    <w:p>
      <w:pPr>
        <w:spacing w:after="0" w:line="116" w:lineRule="exact"/>
        <w:rPr>
          <w:sz w:val="20"/>
          <w:szCs w:val="20"/>
          <w:color w:val="auto"/>
        </w:rPr>
      </w:pPr>
    </w:p>
    <w:p>
      <w:pPr>
        <w:ind w:left="4601"/>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141"/>
          </w:cols>
          <w:pgMar w:left="1299" w:top="270" w:right="459" w:bottom="1440" w:gutter="0" w:footer="0" w:header="0"/>
        </w:sectPr>
      </w:pPr>
    </w:p>
    <w:bookmarkStart w:id="74" w:name="page75"/>
    <w:bookmarkEnd w:id="74"/>
    <w:p>
      <w:pPr>
        <w:ind w:left="980" w:right="4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or, without duplication, otherwise received by the Borrower or any Restricted Subsidiary from an Unrestricted Subsidiary (including any proceeds received on account of any issuance of Capital Stock by any Unrestricted Subsidiary (other than solely on account of the issuance of Capital Stock to the Borrower or any Restricted Subsidiary)); plus</w:t>
      </w:r>
    </w:p>
    <w:p>
      <w:pPr>
        <w:spacing w:after="0" w:line="68" w:lineRule="exact"/>
        <w:rPr>
          <w:sz w:val="20"/>
          <w:szCs w:val="20"/>
          <w:color w:val="auto"/>
        </w:rPr>
      </w:pPr>
    </w:p>
    <w:p>
      <w:pPr>
        <w:ind w:left="980" w:right="20" w:firstLine="408"/>
        <w:spacing w:after="0" w:line="254" w:lineRule="auto"/>
        <w:tabs>
          <w:tab w:leader="none" w:pos="173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(A) the amount of any Investments by the Borrower or any Restricted Subsidiary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in any Unrestricted Subsidiary that has been re-designated as a Restricted Subsidiary, (B) the amount of any Investments by the Borrower or any Restricted Subsidiary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in any Unrestricted Subsidiary or any Joint Venture that is not a Restricted Subsidiary that has been merged, consolidated or amalgamated with or into, or is liquidated, wound up or dissolved into, the Borrower or any Restricted Subsidiary and (C) the fair market value (as determined by the Borrower in good faith) of the property or assets of any Unrestricted Subsidiary or any Joint Venture that is not a Restricted Subsidiary that have been transferred, conveyed or otherwise distributed to the Borrower or any Restricted Subsidiary, in each case, during the period from and including the day immediately following the Closing Date through and including such time; plus</w:t>
      </w:r>
    </w:p>
    <w:p>
      <w:pPr>
        <w:spacing w:after="0" w:line="83"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Declined Proceeds; plus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Retained Asset Sale Proceeds; plus</w:t>
      </w:r>
    </w:p>
    <w:p>
      <w:pPr>
        <w:spacing w:after="0" w:line="117"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36"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the sale of any accounts receivable, royalty or other similar rights to payment and any other assets related thereto that are not reflected in the most recent consolidated balance sheet of the Borrower, plus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any Sale and Lease-Back Transaction not prohibited hereunder; minus</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(i) Restricted Payments made pursuant to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plus (ii) Restricted Debt Payments made pursuant to </w:t>
      </w:r>
      <w:r>
        <w:rPr>
          <w:rFonts w:ascii="Times New Roman" w:cs="Times New Roman" w:eastAsia="Times New Roman" w:hAnsi="Times New Roman"/>
          <w:sz w:val="18"/>
          <w:szCs w:val="18"/>
          <w:u w:val="single" w:color="auto"/>
          <w:color w:val="auto"/>
        </w:rPr>
        <w:t>Section 6.04(b)(vi)(A)</w:t>
      </w:r>
      <w:r>
        <w:rPr>
          <w:rFonts w:ascii="Times New Roman" w:cs="Times New Roman" w:eastAsia="Times New Roman" w:hAnsi="Times New Roman"/>
          <w:sz w:val="18"/>
          <w:szCs w:val="18"/>
          <w:color w:val="auto"/>
        </w:rPr>
        <w:t xml:space="preserve">, plus (iii) Investments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in each case, after the Closing Date and prior to such time or contemporaneously therewith.</w:t>
      </w:r>
    </w:p>
    <w:p>
      <w:pPr>
        <w:spacing w:after="0" w:line="17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Excluded Contribution Amount</w:t>
      </w:r>
      <w:r>
        <w:rPr>
          <w:rFonts w:ascii="Times New Roman" w:cs="Times New Roman" w:eastAsia="Times New Roman" w:hAnsi="Times New Roman"/>
          <w:sz w:val="18"/>
          <w:szCs w:val="18"/>
          <w:color w:val="auto"/>
        </w:rPr>
        <w:t>” means the aggregate amount of Cash or Cash Equivalents or the fair market value of other assets or property (as determined by the Borrower in good faith), but excluding any (x) Cure Amounts and (y) amounts that are applied to increase the Available Amount, received by the Borrower or any of its Restricted Subsidiaries after the Closing Date from:</w:t>
      </w:r>
    </w:p>
    <w:p>
      <w:pPr>
        <w:spacing w:after="0" w:line="67" w:lineRule="exact"/>
        <w:rPr>
          <w:sz w:val="20"/>
          <w:szCs w:val="20"/>
          <w:color w:val="auto"/>
        </w:rPr>
      </w:pPr>
    </w:p>
    <w:p>
      <w:pPr>
        <w:ind w:left="980" w:right="300" w:firstLine="7"/>
        <w:spacing w:after="0" w:line="282" w:lineRule="auto"/>
        <w:tabs>
          <w:tab w:leader="none" w:pos="1235"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respect of Qualified Capital Stock (other than any amounts or other assets received from the Borrower or any of its Restricted Subsidiaries),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Qualified Capital Stock of the Borrower or any of its Restricted Subsidiaries (other than (x) to the Borrower or any</w:t>
      </w:r>
    </w:p>
    <w:p>
      <w:pPr>
        <w:spacing w:after="0" w:line="27" w:lineRule="exact"/>
        <w:rPr>
          <w:rFonts w:ascii="Times New Roman" w:cs="Times New Roman" w:eastAsia="Times New Roman" w:hAnsi="Times New Roman"/>
          <w:sz w:val="18"/>
          <w:szCs w:val="18"/>
          <w:color w:val="auto"/>
        </w:rPr>
      </w:pPr>
    </w:p>
    <w:p>
      <w:pPr>
        <w:ind w:left="98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Subsidiary of the Borrower, (y) pursuant to any management equity plan or stock option plan or any other management or employee benefit plan or (z) with the proceeds of any loan or advance made pursuant to </w:t>
      </w:r>
      <w:r>
        <w:rPr>
          <w:rFonts w:ascii="Times New Roman" w:cs="Times New Roman" w:eastAsia="Times New Roman" w:hAnsi="Times New Roman"/>
          <w:sz w:val="18"/>
          <w:szCs w:val="18"/>
          <w:u w:val="single" w:color="auto"/>
          <w:color w:val="auto"/>
        </w:rPr>
        <w:t>Section 6.06(h)(ii)</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75" w:name="page76"/>
    <w:bookmarkEnd w:id="75"/>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means each and any of the following bank services: commercial credit cards, stored value cards, debit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foreign exchange and currency management services, Qualified Supply Chain Financings, and any arrangements or services similar to any of the foregoing and/or otherwise in connection with Cash management and Deposit Accounts.</w:t>
      </w:r>
    </w:p>
    <w:p>
      <w:pPr>
        <w:spacing w:after="0" w:line="179"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xml:space="preserve">” means any and all obligations of the Borrower or any Restricted Subsidiary, whether absolute or contingent and however and whenever created, arising, evidenced or acquired (including all renewals, extensions and modifications thereof and substitutions therefor) (a) under any arrangement that is in effect on the Closing Date between the Borrower or any Restricted Subsidiary and a counterparty that is (or is an Affiliate of) the Administrative Agent, any Lender or any Arranger as of the Closing Date or any other Person designated in writing by the Borrower to the Administrative Agent as such counterparty or (b) under any arrangement that is entered into after the Closing Date by the Borrower or any Restricted Subsidiary with any counterparty that is (or is an Affiliate of) the Administrative Agent, any Lender or any Arranger at the time such arrangement is entered into or any other Person designated in writing by the Borrower to the Administrative Agent as such counterparty,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connection with Banking Services (other than any Banking Services designated to the Administrative Agent in writing on the Closing Date or from time to time thereafter by the Borrower as not constituting “Banking Services Obligations” for purposes of the Loan Documents, which designation, for avoidance of doubt, shall not apply retroactively unless agreed by the applicable counterparty), it being understood that each counterparty thereto shall be deemed (A) to appoint each of the Administrative Agent and the Collateral Agent as its agent under the applicable Loan Documents and (B) to agree to be bound by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each Acceptable Intercreditor Agreement, in each case as if it were a Lender.</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BLR Group</w:t>
      </w:r>
      <w:r>
        <w:rPr>
          <w:rFonts w:ascii="Times New Roman" w:cs="Times New Roman" w:eastAsia="Times New Roman" w:hAnsi="Times New Roman"/>
          <w:sz w:val="18"/>
          <w:szCs w:val="18"/>
          <w:color w:val="auto"/>
        </w:rPr>
        <w:t>” means: (i) Brian L. Roberts (“</w:t>
      </w:r>
      <w:r>
        <w:rPr>
          <w:rFonts w:ascii="Times New Roman" w:cs="Times New Roman" w:eastAsia="Times New Roman" w:hAnsi="Times New Roman"/>
          <w:sz w:val="18"/>
          <w:szCs w:val="18"/>
          <w:b w:val="1"/>
          <w:bCs w:val="1"/>
          <w:color w:val="auto"/>
        </w:rPr>
        <w:t>BLR</w:t>
      </w:r>
      <w:r>
        <w:rPr>
          <w:rFonts w:ascii="Times New Roman" w:cs="Times New Roman" w:eastAsia="Times New Roman" w:hAnsi="Times New Roman"/>
          <w:sz w:val="18"/>
          <w:szCs w:val="18"/>
          <w:color w:val="auto"/>
        </w:rPr>
        <w:t>”),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Exchange Act) of which any of the foregoing is a member.</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6" w:right="459" w:bottom="1440" w:gutter="0" w:footer="0" w:header="0"/>
        </w:sectPr>
      </w:pPr>
    </w:p>
    <w:bookmarkStart w:id="76" w:name="page77"/>
    <w:bookmarkEnd w:id="7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Governors of the Federal Reserve System of the U.S.</w:t>
      </w:r>
    </w:p>
    <w:p>
      <w:pPr>
        <w:spacing w:after="0" w:line="22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Bona Fide Debt Fund</w:t>
      </w:r>
      <w:r>
        <w:rPr>
          <w:rFonts w:ascii="Times New Roman" w:cs="Times New Roman" w:eastAsia="Times New Roman" w:hAnsi="Times New Roman"/>
          <w:sz w:val="17"/>
          <w:szCs w:val="17"/>
          <w:color w:val="auto"/>
        </w:rPr>
        <w:t>” means any diversified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and which is managed, sponsored or advised by any Person controlling, controlled by or under common control with</w:t>
      </w:r>
    </w:p>
    <w:p>
      <w:pPr>
        <w:spacing w:after="0" w:line="1" w:lineRule="exact"/>
        <w:rPr>
          <w:sz w:val="20"/>
          <w:szCs w:val="20"/>
          <w:color w:val="auto"/>
        </w:rPr>
      </w:pPr>
    </w:p>
    <w:p>
      <w:pPr>
        <w:ind w:left="4" w:right="20" w:hanging="4"/>
        <w:spacing w:after="0" w:line="252" w:lineRule="auto"/>
        <w:tabs>
          <w:tab w:leader="none" w:pos="249"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that is otherwise a Disqualified Institution or (b) any Affiliate of such Disqualified Institution, but, in each case, with respect to which no personnel involved with any investment in such Person or the management, control or operation of such Person directly or indirectly makes, has the right to make or participates with others in making any investment decisions, or otherwise causing the direction of the investment policies, with respect to such debt fund, investment vehicle, regulated bank entity or unregulated lending entity; it being understood and agreed that the term “Bona Fide Debt Fund” shall not include any Person that is separately identified to the Arrangers or the Administrative Agent in accordance with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of the definition of “Disqualified Institution” or any clearly identifiable Affiliate of any such Person solely on the basis of the similarity of its name to the name of a Disqualified Institution.</w:t>
      </w:r>
    </w:p>
    <w:p>
      <w:pPr>
        <w:spacing w:after="0" w:line="184" w:lineRule="exact"/>
        <w:rPr>
          <w:sz w:val="20"/>
          <w:szCs w:val="20"/>
          <w:color w:val="auto"/>
        </w:rPr>
      </w:pPr>
    </w:p>
    <w:p>
      <w:pPr>
        <w:ind w:left="4" w:right="120" w:firstLine="440"/>
        <w:spacing w:after="0" w:line="27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Borrower</w:t>
      </w:r>
      <w:r>
        <w:rPr>
          <w:rFonts w:ascii="Times New Roman" w:cs="Times New Roman" w:eastAsia="Times New Roman" w:hAnsi="Times New Roman"/>
          <w:sz w:val="17"/>
          <w:szCs w:val="17"/>
          <w:color w:val="auto"/>
        </w:rPr>
        <w:t>” means, as the context may require, Versant Media Group, Inc. (unless and until succeeded by a Successor Borrower, as applicable), any Successor Borrower and/or any Additional Borrower. Following the consummation of a transaction permitted hereunder that results in a Successor Borrower, such Successor Borrower shall be substituted for the existing Borrower to which it is the successor and such existing Borrower shall be released as such. For the avoidance of doubt, any reference in any Loan Document to a Borrower (or the Borrowers) shall be construed, where the context requires, to refer to a Borrower (or the Borrowers) in respect of the relevant Class of Loans or Commitments, and not to make any Borrower primarily liable for Obligations of any Class in respect of which it has not been designated a co-Borrower or for which it is not a Borrower.</w:t>
      </w:r>
    </w:p>
    <w:p>
      <w:pPr>
        <w:spacing w:after="0" w:line="16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Distribution</w:t>
      </w:r>
      <w:r>
        <w:rPr>
          <w:rFonts w:ascii="Times New Roman" w:cs="Times New Roman" w:eastAsia="Times New Roman" w:hAnsi="Times New Roman"/>
          <w:sz w:val="18"/>
          <w:szCs w:val="18"/>
          <w:color w:val="auto"/>
        </w:rPr>
        <w:t>” means the issuance by the Borrower to the Parent of the Borrower’s common stock for distribution to the Parent’s</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existing shareholders in contemplation of the Distribution, as may be further described or referred to in, or contemplated by, the Separation Agreements.</w:t>
      </w:r>
    </w:p>
    <w:p>
      <w:pPr>
        <w:spacing w:after="0" w:line="214"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any Loans of the same Type and Class made, converted or continued on the same date and, in the case of Eurocurrency Rate Loans and Term CORRA Loans, denominated in a single currency and as to which a single Interest Period is in effect.</w:t>
      </w:r>
    </w:p>
    <w:p>
      <w:pPr>
        <w:spacing w:after="0" w:line="15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approved by the Administrative Agent and separately provided to the Borrower.</w:t>
      </w:r>
    </w:p>
    <w:p>
      <w:pPr>
        <w:spacing w:after="0" w:line="155" w:lineRule="exact"/>
        <w:rPr>
          <w:sz w:val="20"/>
          <w:szCs w:val="20"/>
          <w:color w:val="auto"/>
        </w:rPr>
      </w:pPr>
    </w:p>
    <w:p>
      <w:pPr>
        <w:ind w:left="4"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any day that is not a Saturday, Sunday or other day on which commercial banks in New York City are authorized or required by law to remain closed and (b) when used in connection with a Eurocurrency Rate Loan, Alternative Currency Daily Rate Loans or CORRA Loan (i) denominated in Dollars, the term “Business Day” shall also exclude any day that is not a U.S. Government Securities Business Day,</w:t>
      </w:r>
    </w:p>
    <w:p>
      <w:pPr>
        <w:ind w:left="4" w:right="80" w:hanging="4"/>
        <w:spacing w:after="0" w:line="265" w:lineRule="auto"/>
        <w:tabs>
          <w:tab w:leader="none" w:pos="269" w:val="left"/>
        </w:tabs>
        <w:numPr>
          <w:ilvl w:val="0"/>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denominated in Canadian Dollars, the term “Business Day” shall also exclude any day on which banks are not open for dealings in Canadian Dollar deposits in the Toronto interbank market, (iii) denominated in Euros, the term “Business Day” shall also exclude any day that is not a TARGET Day,</w:t>
      </w:r>
    </w:p>
    <w:p>
      <w:pPr>
        <w:ind w:left="304" w:hanging="304"/>
        <w:spacing w:after="0"/>
        <w:tabs>
          <w:tab w:leader="none" w:pos="30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the term “Business Day” shall also exclude any</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66" w:right="479" w:bottom="1440" w:gutter="0" w:footer="0" w:header="0"/>
        </w:sectPr>
      </w:pPr>
    </w:p>
    <w:bookmarkStart w:id="77" w:name="page78"/>
    <w:bookmarkEnd w:id="77"/>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day on which banks are closed for general business in London and (v) denominated in an Alternate Currency, the term “Business Day” shall also exclude any day on which banks are not open for dealings in deposits in such Alternate Currency in the applicable interbank market and in the principal financial center for that currency.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refers to the lawful money of Canada.</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the above rates shall be less than 0.00%, such rate shall be deemed to be 0.00% for purposes of this Agreement. Any change in the Canadian Prime Rate due to a change in the PRIMCAN Index shall be effective from and including the effective date of such change in the PRIMCAN Index.</w:t>
      </w:r>
    </w:p>
    <w:p>
      <w:pPr>
        <w:spacing w:after="0" w:line="182"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 Loan</w:t>
      </w:r>
      <w:r>
        <w:rPr>
          <w:rFonts w:ascii="Times New Roman" w:cs="Times New Roman" w:eastAsia="Times New Roman" w:hAnsi="Times New Roman"/>
          <w:sz w:val="18"/>
          <w:szCs w:val="18"/>
          <w:color w:val="auto"/>
        </w:rPr>
        <w:t>” means a Loan denominated in Canadian Dollars and bearing interest at a rate determined by reference to the Canadian Prime Rate.</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as applied to any Person for any period, the aggregate amount, without duplication, of all expenditures (whether paid in cash or accrued as liabilities and including in all events all amounts expended or capitalized under Finance Leases) that in accordance with GAAP, are, or are required to be, included as capital expenditures on the consolidated statement of cash flows for such Person for such period.</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 (including Convertible Indebtedness) and any Packaged Rights.</w:t>
      </w:r>
    </w:p>
    <w:p>
      <w:pPr>
        <w:spacing w:after="0" w:line="176"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Restricted Subsidiary of the Borrower that is subject to regulation as an insurance company (or any Restricted Subsidiary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ind w:right="12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 means, as at any date of determination, (a) marketable securities (i) issued or directly and unconditionally guaranteed or insured as to interest and principal by the U.S., U.K., Canada, a member state of the European Union or Japan or any political subdivision of any of the foregoing or (ii) issued by any agency or instrumentality of the U.S., U.K., Canada, a member state of the European Union or Japan or any political subdivision of any of the foregoing, the obligations of which are backed by the full faith and credit of the U.S., U.K., Canada, a member state of the European Union or Japan or any political subdivision of any of the foregoing, in each case maturing within two years after such date and, in each case, including repurchase agreements and reverse repurchase agreements relating thereto; (b) marketable direct obligations issued by any state of the U.S., the District of Columbia or any political subdivision thereof or any public instrumentality thereof or by any foreign government, in each case maturing within two years after such date and having, at the time of the acquisition thereof, a rating of at least A-2 from S&amp;P or at least P-2 from Moody’s (or, if at any time neither S&amp;P nor Moody’s shall be rating such obligations, an equivalent rating from another nationally recognized statistical rating</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agency) and, in each case, repurchase agreements and reverse repurchase agreements relating thereto; (c) commercial paper maturing no more than one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from the date of creation thereof and having, at the time of the acquisition thereof, a rating of at least A-2 from S&amp;P or at least P-2 from Moody’s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if at any time neither S&amp;P nor Moody’s shall be rating such obligations, an equivalent rating from another nationally recognized statistical rating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agency); (d) deposits, money market deposits, time deposit accounts, certificates of deposit or bankers’ acceptances (or similar instruments) issued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 any Lender or by any bank organized under, or authorized to operate as a bank under, the laws of the U.S., any state thereof or the District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Columbia or any political subdivision thereof or any foreign bank or its branches or agencies and that has capital and surplus of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 and, in each case, repurchase agreements and reverse repurchase agreements relating thereto; (e) securities with maturities of six months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less from the date of acquisition backed by standby letters of credit issued by any commercial bank having capital and surplus of not less than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$75,000,000; (f) Indebtedness or Preferred Capital Stock issued by Persons with a rating of at least BBB- from S&amp;P or at least Baa3 from Moody’s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at the time, neither is issuing comparable ratings, then a comparable rating of another nationally recognized statistical rating agency) with maturities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12 months or less from the date of acquisition; (g) bills of exchange issued in the U.S., U.K., Canada, a member state of the European Union or Japan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eligible for rediscount at the relevant central bank and accepted by a bank (or any dematerialized equivalent); (h) shares of any money market mutual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fund that has (i) substantially all of its assets invested in the types of investments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(ii) net assets of not less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 $250,000,000 and (iii) a rating of at least A-2 from S&amp;P or at least P-2 from Moody’s (or, if at any time either S&amp;P or Moody’s are not rating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fund, an equivalent rating from another nationally recognized statistical rating agency); (i) solely with respect to any Captive Insurance Subsidiary,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that such Captive Insurance Subsidiary is not prohibited to make in accordance with applicable law; (j) any cash equivalents (as determined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accordance with GAAP); and (k) shares or other interests of any investment company, money market mutual fund or other money market or enhanced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high yield fund that invests 95% or more of its assets in instruments of the types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(which investment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fund may also hold Cash pending investment or distribution).</w:t>
      </w:r>
    </w:p>
    <w:p>
      <w:pPr>
        <w:spacing w:after="0" w:line="207"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 term “Cash Equivalents” shall also include (x) credit card receivables, (y) Investments of the type and maturity described in the definition of “Cash Equivalents” of foreign obligors, which Investments or obligors (or the parent companies thereof) have the ratings (if any) described in such clauses or equivalent ratings from comparable foreign rating agencies and (z) other short-term Investments utilized by Foreign Subsidiaries in accordance with normal investment practices for cash management in Investments analogous to the Investments described in the definition of “Cash Equivalents” and in this paragraph.</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as defined in Section 957 of the Code.</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w:t>
      </w:r>
      <w:r>
        <w:rPr>
          <w:rFonts w:ascii="Times New Roman" w:cs="Times New Roman" w:eastAsia="Times New Roman" w:hAnsi="Times New Roman"/>
          <w:sz w:val="18"/>
          <w:szCs w:val="18"/>
          <w:color w:val="auto"/>
        </w:rPr>
        <w:t>” means, the greater of (a)(i) for any Loan denominated in (A) Euros, one of the following three rates as may be selected by the Administrative Agent in its reasonable discretion and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70" w:right="479" w:bottom="1440" w:gutter="0" w:footer="0" w:header="0"/>
        </w:sectPr>
      </w:pPr>
    </w:p>
    <w:bookmarkStart w:id="79" w:name="page80"/>
    <w:bookmarkEnd w:id="7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Central Bank (or any successor thereto) from time to time or (3) the rate for the deposit facility of the central banking system of the Participating Member States, as published by the European Central Bank (or any successor thereto) from time to time, (B) Sterling, the Bank of England (or any successor thereto)’s “Bank Rate” as published by the Bank of England (or any successor thereto) from time to time and (C) any other Alternate Currency determined after the Signing Date, a central bank rate as determined by the Administrative Agent in its reasonable discretion and in consultation with the Borrower; plus (ii) the applicable Central Bank Rate Adjustment and (b) zero.</w:t>
      </w:r>
    </w:p>
    <w:p>
      <w:pPr>
        <w:spacing w:after="0" w:line="17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Adjustment</w:t>
      </w:r>
      <w:r>
        <w:rPr>
          <w:rFonts w:ascii="Times New Roman" w:cs="Times New Roman" w:eastAsia="Times New Roman" w:hAnsi="Times New Roman"/>
          <w:sz w:val="18"/>
          <w:szCs w:val="18"/>
          <w:color w:val="auto"/>
        </w:rPr>
        <w:t xml:space="preserve">” means, for any day, for any Loan denominated in (a) Euros, a rate equal to the difference (which may be a positive or negative value or zero) of (i) the average of the Eurocurrency Rate for Loans denominated in Euros for the five most recent Business Days preceding such day for which the EURIBO Screen Rate was available (excluding, from such averaging, the highest and the lowest Eurocurrency Rate for Loans denominated in Euros applicable during such period of five Business Days) minus (ii) the Central Bank Rate in respect of Euros in effect on the last Business Day in such period, (b) Sterling, a rate equal to the difference (which may be a positive or negative value or zero) of (i) the average of Alternative Currency Daily Rate for Loans denominated in Sterling for the five most recent RFR Business Days preceding such day for which Alternative Currency Daily Rate for Loans denominated in Sterling was available (excluding, from such averaging, the highest and the lowest such Alternative Currency Daily Rate for Loans denominated in Sterling applicable during such period of five RFR Business Days) minus (ii) the Central Bank Rate in respect of Sterling in effect on the last RFR Business Day in such period and (c) any other Alternate Currency determined after the Signing Date, a Central Bank Rate Adjustment as determined by the Administrative Agent in its reasonable discretion. For purposes of this definition, (x) the term Central Bank Rate shall be determined disregarding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such term and (y) the Eurocurrency Rate for Loans denominated in Euros on any day shall be based on the EURIBO Screen Rate, on such day at approximately the time referred to in the definition of such term for deposits in the applicable currency for a maturity of one month.</w:t>
      </w:r>
    </w:p>
    <w:p>
      <w:pPr>
        <w:spacing w:after="0" w:line="187"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(a) the adoption of any law, rule or regulation after the Signing Date, (b) any change in any law, rule or regulation or in the interpretation, implementation or application thereof by any Governmental Authority after the Signing Date or (c) compliance by any Lender or any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Signing Date (other than any such request, guideline or directive to comply with any law, rule or regulation that was in effect on the Signing Date). For purposes of this definition and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applicable foreign regulatory authorities, in each case pursuant to Basel III, shall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be deemed to be a Change in Law, regardless of the date enacted, adopted, issued or implemented.</w:t>
      </w:r>
    </w:p>
    <w:p>
      <w:pPr>
        <w:spacing w:after="0" w:line="18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at any time from and after the Closing Date, (i) any Person or “group” (within the meaning of Rules 13d-3 and 13d-5 under the Exchange Act), but excluding (w) any Employee Benefit Plan and/or Person acting as the trustee, agent or other fiduciary or administrator therefor, (x) the BLR Group, (y) any underwriter in connection with any public offering and (z) the Parent or any of its Subsidiaries, or any other entity that (as an intermediate step for the purpose of consummating the Distribution and other transactions contemplated in connection therewith) shall hold any of the Capital Stock of the Borrower in connection with the Separation, shall have acquired beneficial ownership of 50% or more on a fully diluted basis of the voting interest in the Capital Stock of the</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80" w:name="page81"/>
    <w:bookmarkEnd w:id="80"/>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or (ii) the majority of the seats (other than vacant seats) on the board of directors (or similar governing body) of the Borrower shall cease to be occupied by Persons who either (a) were members of the board of directors (or similar governing body) of the Borrower immediately following the Closing Date or (b) were nominated for election by the board of directors (or similar governing body or a nominating committee of such board or similar governing body) of the Borrower, a majority of whom were members of the board of directors (or similar governing body) of the Borrower immediately following the Closing Date or whose election or nomination for election was previously approved by a majority of such members.</w:t>
      </w:r>
    </w:p>
    <w:p>
      <w:pPr>
        <w:spacing w:after="0" w:line="183"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passive holding company or special purpose acquisition vehicle or a Subsidiary thereof shall not be considered a “Person” and instead the equityholders of such passive holding company or special purpose acquisition vehicle (other than any other passive holding company or special purpose acquisition vehicle) shall be considered for purposes of the foregoing.</w:t>
      </w:r>
    </w:p>
    <w:p>
      <w:pPr>
        <w:spacing w:after="0" w:line="176"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preceding clauses or any provision of Section 13d-3 of the Exchange Act as in effect on the Signing Date, (i) 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and (ii)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Capital Stock entitled to vote for the election of directors or board of managers of such parent entity and (B) such directors or managers elected by the Person or group have a majority of the aggregate votes on the board of directors (or similar body) of such parent entity.</w:t>
      </w:r>
    </w:p>
    <w:p>
      <w:pPr>
        <w:spacing w:after="0" w:line="188"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(including premium, make-whole or penalty payments), cost, accrual or reserve (including adjustments to existing reserves) of any kind.</w:t>
      </w:r>
    </w:p>
    <w:p>
      <w:pPr>
        <w:spacing w:after="0" w:line="155" w:lineRule="exact"/>
        <w:rPr>
          <w:sz w:val="20"/>
          <w:szCs w:val="20"/>
          <w:color w:val="auto"/>
        </w:rPr>
      </w:pPr>
    </w:p>
    <w:p>
      <w:pPr>
        <w:ind w:left="4" w:right="6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Class</w:t>
      </w:r>
      <w:r>
        <w:rPr>
          <w:rFonts w:ascii="Times New Roman" w:cs="Times New Roman" w:eastAsia="Times New Roman" w:hAnsi="Times New Roman"/>
          <w:sz w:val="17"/>
          <w:szCs w:val="17"/>
          <w:color w:val="auto"/>
        </w:rPr>
        <w:t xml:space="preserve">”, when used in reference to (a) any Loan or Borrowing, refers to whether such Loan, or the Loans comprising such Borrowing, are Initial Term Loans, Additional Term Loans of any series established as a separate “Class” pursuant to </w:t>
      </w:r>
      <w:r>
        <w:rPr>
          <w:rFonts w:ascii="Times New Roman" w:cs="Times New Roman" w:eastAsia="Times New Roman" w:hAnsi="Times New Roman"/>
          <w:sz w:val="17"/>
          <w:szCs w:val="17"/>
          <w:u w:val="single" w:color="auto"/>
          <w:color w:val="auto"/>
        </w:rPr>
        <w:t>Sections 2.22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10.02(c)(i)</w:t>
      </w:r>
      <w:r>
        <w:rPr>
          <w:rFonts w:ascii="Times New Roman" w:cs="Times New Roman" w:eastAsia="Times New Roman" w:hAnsi="Times New Roman"/>
          <w:sz w:val="17"/>
          <w:szCs w:val="17"/>
          <w:color w:val="auto"/>
        </w:rPr>
        <w:t xml:space="preserve">, Initial Revolving Loans, or Additional Revolving Loans of any series established as a separate “Class” pursuant to </w:t>
      </w:r>
      <w:r>
        <w:rPr>
          <w:rFonts w:ascii="Times New Roman" w:cs="Times New Roman" w:eastAsia="Times New Roman" w:hAnsi="Times New Roman"/>
          <w:sz w:val="17"/>
          <w:szCs w:val="17"/>
          <w:u w:val="single" w:color="auto"/>
          <w:color w:val="auto"/>
        </w:rPr>
        <w:t>Sections 2.22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10.02(c)(ii)</w:t>
      </w:r>
      <w:r>
        <w:rPr>
          <w:rFonts w:ascii="Times New Roman" w:cs="Times New Roman" w:eastAsia="Times New Roman" w:hAnsi="Times New Roman"/>
          <w:sz w:val="17"/>
          <w:szCs w:val="17"/>
          <w:color w:val="auto"/>
        </w:rPr>
        <w:t xml:space="preserve"> or Swingline Loans,</w:t>
      </w:r>
    </w:p>
    <w:p>
      <w:pPr>
        <w:spacing w:after="0" w:line="1" w:lineRule="exact"/>
        <w:rPr>
          <w:sz w:val="20"/>
          <w:szCs w:val="20"/>
          <w:color w:val="auto"/>
        </w:rPr>
      </w:pPr>
    </w:p>
    <w:p>
      <w:pPr>
        <w:ind w:left="4" w:right="60" w:hanging="4"/>
        <w:spacing w:after="0" w:line="252" w:lineRule="auto"/>
        <w:tabs>
          <w:tab w:leader="none" w:pos="259"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Commitment, refers to whether such Commitment is an Initial Term Loan Commitment, an Additional Term Loan Commitment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 xml:space="preserve">, an Initial Revolving Credit Commitment or an Additional Revolving Credit Commitment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 (c) any Lender, refers to whether such Lender has a Loan or Commitment of a particular Class and (d) any Revolving Credit Exposure, refers to whether such Revolving Credit Exposure is attributable to a Revolving Credit Commitment of a particular Class (or Revolving Loans incurred or Letters of Credit issued under a Revolving Credit Commitment of a particular Class).</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CNI Growth Amount</w:t>
      </w:r>
      <w:r>
        <w:rPr>
          <w:rFonts w:ascii="Times New Roman" w:cs="Times New Roman" w:eastAsia="Times New Roman" w:hAnsi="Times New Roman"/>
          <w:sz w:val="18"/>
          <w:szCs w:val="18"/>
          <w:color w:val="auto"/>
        </w:rPr>
        <w:t xml:space="preserve">” means, at any date of determination, an amount (which amount shall not be less than zero) equal to 50% of Consolidated Net Income for the cumulative period from the first day of the Fiscal Quarter of the Borrower during which the Signing Date occurs to and including the last day of the most recently ended Fiscal Quarter of the Borrower prior to such date for which consolidated financial statements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delivered or, at the Borrower’s election, are internally available (treated as one accounting period).</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81" w:name="page82"/>
    <w:bookmarkEnd w:id="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and all property of any Loan Party subject to a Lien under any Collateral Document and any and all other property of any Loan Party, now existing or hereafter acquired, that is or becomes subject to a Lien pursuant to any Collateral Document to secure the Obligations. For the avoidance of doubt, in no event shall “Collateral” include any Excluded Asset, unless specifically consented to in writing by the Borrower.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and Guarantee Requirement</w:t>
      </w:r>
      <w:r>
        <w:rPr>
          <w:rFonts w:ascii="Times New Roman" w:cs="Times New Roman" w:eastAsia="Times New Roman" w:hAnsi="Times New Roman"/>
          <w:sz w:val="18"/>
          <w:szCs w:val="18"/>
          <w:color w:val="auto"/>
        </w:rPr>
        <w:t xml:space="preserve">” means, at any time on and after the Closing Date, subject to (x) the applicable limitations set forth in this Agreement and/or any other Loan Document (including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5.17 and any Acceptable Intercreditor Agreement) and (y) the time periods (and extensions thereof) set forth in the applicable provisions of this Agreement (including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and/or any other Loan Document, the requirement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-310515</wp:posOffset>
            </wp:positionV>
            <wp:extent cx="2286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2" w:lineRule="exact"/>
        <w:rPr>
          <w:sz w:val="20"/>
          <w:szCs w:val="20"/>
          <w:color w:val="auto"/>
        </w:rPr>
      </w:pPr>
    </w:p>
    <w:p>
      <w:pPr>
        <w:ind w:left="440" w:firstLine="419"/>
        <w:spacing w:after="0" w:line="269" w:lineRule="auto"/>
        <w:tabs>
          <w:tab w:leader="none" w:pos="1108" w:val="left"/>
        </w:tabs>
        <w:numPr>
          <w:ilvl w:val="1"/>
          <w:numId w:val="1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Person that becomes (or is required to become) a Loan Party on or after the Closing Date, (i) the Administrative Agent shall have received (A) a Counterpart Agreement or such other documents in form reasonably acceptable to the Administrative Agent, in each case, to cause such person to Guarantee the Obligations and become a Subsidiary Guarantor, (B) counterparts of, or supplements to, the applicable Collateral Documents (or, at the option of the Loan Party, new Collateral Documents in substantially similar form or such other form reasonably satisfactory to the Collateral Agent), if applicable, in the form specified therefor or otherwise reasonably acceptable to the Collateral Agent and</w:t>
      </w:r>
    </w:p>
    <w:p>
      <w:pPr>
        <w:spacing w:after="0" w:line="2" w:lineRule="exact"/>
        <w:rPr>
          <w:rFonts w:ascii="Times New Roman" w:cs="Times New Roman" w:eastAsia="Times New Roman" w:hAnsi="Times New Roman"/>
          <w:sz w:val="17"/>
          <w:szCs w:val="17"/>
          <w:color w:val="auto"/>
        </w:rPr>
      </w:pPr>
    </w:p>
    <w:p>
      <w:pPr>
        <w:ind w:left="440" w:right="20" w:hanging="4"/>
        <w:spacing w:after="0" w:line="251" w:lineRule="auto"/>
        <w:tabs>
          <w:tab w:leader="none" w:pos="725"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joinder to any Acceptable Intercreditor Agreement that is then applicable in substantially the form attached as an exhibit thereto or otherwise reasonably acceptable to the Collateral Agent and (ii) except as otherwise contemplated by this Agreement or any Collateral Document, all original securities, instruments and chattel paper required to be delivered to the Collateral Agent pursuant to the terms of the Collateral Documents, shall have been delivered to the Collateral Agent (or its bailee pursuant to the terms of any Acceptable Intercreditor Agreement) and all documents and instruments, including Uniform Commercial Code financing statements and filings with the United States Copyright Office and the United States Patent and Trademark Office covering United States issued patents and registered trademarks and copyrights (and pending applications for the foregoing) and all other actions reasonably requested by the Collateral Agent pursuant to the terms of the Collateral Documents (including those required by applicable Requirements of Law) or otherwise required pursuant to a Collateral Document to be delivered, filed, registered or recorded to create the Liens intended to be created by the Collateral Documents (in each case, including any supplements thereto) and perfect such Liens to the extent required by, and with the priority required by, the Collateral Documents, shall have been delivered, filed, registered or recorded or delivered to the Collateral Agent for filing, registration or the recording concurrently with, or promptly following, the execution and delivery of each such Collateral Document;</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6" w:right="479" w:bottom="1440" w:gutter="0" w:footer="0" w:header="0"/>
        </w:sectPr>
      </w:pPr>
    </w:p>
    <w:bookmarkStart w:id="82" w:name="page83"/>
    <w:bookmarkEnd w:id="82"/>
    <w:p>
      <w:pPr>
        <w:ind w:left="440" w:right="20" w:firstLine="419"/>
        <w:spacing w:after="0" w:line="261"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Material Real Estate Asset acquired by a Loan Party organized under the laws of the United States (or any state thereof) after the Closing Date, the Collateral Agent shall have received with respect to any Material Real Estate Asset (other than an Excluded Asset), a Mortgage and any necessary UCC fixture filing in respect thereof, in each case together with, to the extent customary and appropriate (as reasonably determined by the Collateral Agent and the Borrower):</w:t>
      </w:r>
    </w:p>
    <w:p>
      <w:pPr>
        <w:spacing w:after="0" w:line="71" w:lineRule="exact"/>
        <w:rPr>
          <w:rFonts w:ascii="Times New Roman" w:cs="Times New Roman" w:eastAsia="Times New Roman" w:hAnsi="Times New Roman"/>
          <w:sz w:val="18"/>
          <w:szCs w:val="18"/>
          <w:color w:val="auto"/>
        </w:rPr>
      </w:pPr>
    </w:p>
    <w:p>
      <w:pPr>
        <w:ind w:left="980" w:firstLine="408"/>
        <w:spacing w:after="0" w:line="256" w:lineRule="auto"/>
        <w:tabs>
          <w:tab w:leader="none" w:pos="159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 counterparts of such Mortgage have been duly executed, acknowledged and delivered and such Mortgage and any corresponding UCC or equivalent fixture filing are in form suitable for filing or recording in all filing or recording offices that the Collateral Agent may deem reasonably necessary in order to create a valid and subsisting Lien on such Material Real Estate Asset in favor of the Collateral Agent for the benefit of the Secured Parties, (B) such Mortgage and any corresponding UCC or equivalent fixture filings have been duly recorded or filed, as applicable and (C) all filing and recording taxes and fees have been paid or otherwise provided for in a manner reasonably satisfactory to the Collateral Agent;</w:t>
      </w:r>
    </w:p>
    <w:p>
      <w:pPr>
        <w:spacing w:after="0" w:line="75" w:lineRule="exact"/>
        <w:rPr>
          <w:rFonts w:ascii="Times New Roman" w:cs="Times New Roman" w:eastAsia="Times New Roman" w:hAnsi="Times New Roman"/>
          <w:sz w:val="18"/>
          <w:szCs w:val="18"/>
          <w:color w:val="auto"/>
        </w:rPr>
      </w:pPr>
    </w:p>
    <w:p>
      <w:pPr>
        <w:ind w:left="980" w:right="40" w:firstLine="408"/>
        <w:spacing w:after="0" w:line="256" w:lineRule="auto"/>
        <w:tabs>
          <w:tab w:leader="none" w:pos="164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paid policy of lender’s title insurance (a “</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in an amount reasonably acceptable to the Collateral Agent (not to exceed the fair market value of such Material Real Estate Asset (as determined by the Borrower in good faith)) issued by a nationally recognized title insurance company in the applicable jurisdiction that is reasonably acceptable to the Collateral Agent, insuring the relevant Mortgage as having created a valid and enforceable Lien on the real property described therein with the ranking or the priority which it is expressed to have in such Mortgage, subject only to Permitted Liens and other Liens acceptable to the Collateral Agent, together with such endorsements, coinsurance and reinsurance as the Collateral Agent may reasonably request to the extent the same are available in the applicable jurisdiction at a commercially reasonable rate;</w:t>
      </w:r>
    </w:p>
    <w:p>
      <w:pPr>
        <w:spacing w:after="0" w:line="78" w:lineRule="exact"/>
        <w:rPr>
          <w:rFonts w:ascii="Times New Roman" w:cs="Times New Roman" w:eastAsia="Times New Roman" w:hAnsi="Times New Roman"/>
          <w:sz w:val="18"/>
          <w:szCs w:val="18"/>
          <w:color w:val="auto"/>
        </w:rPr>
      </w:pPr>
    </w:p>
    <w:p>
      <w:pPr>
        <w:jc w:val="both"/>
        <w:ind w:left="980" w:right="360" w:firstLine="408"/>
        <w:spacing w:after="0" w:line="266" w:lineRule="auto"/>
        <w:tabs>
          <w:tab w:leader="none" w:pos="169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legal opinion of local counsel for the relevant Loan Party in the jurisdiction in which such Material Real Estate Asset is located and, if applicable, in the jurisdiction of formation of the relevant Loan Party, in each case as the Collateral Agent may reasonably request; and</w:t>
      </w:r>
    </w:p>
    <w:p>
      <w:pPr>
        <w:spacing w:after="0" w:line="67" w:lineRule="exact"/>
        <w:rPr>
          <w:rFonts w:ascii="Times New Roman" w:cs="Times New Roman" w:eastAsia="Times New Roman" w:hAnsi="Times New Roman"/>
          <w:sz w:val="18"/>
          <w:szCs w:val="18"/>
          <w:color w:val="auto"/>
        </w:rPr>
      </w:pPr>
    </w:p>
    <w:p>
      <w:pPr>
        <w:ind w:left="980" w:right="80" w:firstLine="408"/>
        <w:spacing w:after="0" w:line="258" w:lineRule="auto"/>
        <w:tabs>
          <w:tab w:leader="none" w:pos="1686"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new survey or a copy of any existing survey currently in the possession of the Borrower or any of its Subsidiaries if such existing survey is, together with a no-change affidavit, sufficient for the relevant title insurance company to remove the standard survey exception and issue the survey-related endorsements, (B) to the extent applicable, an appraisal (if required under the Financial Institutions Reform Recovery and Enforcement Act of 1989, as amended) and (C) a “Life-of-Loan” flood determination under Regulation H of the Board (together with evidence of flood insurance for any such Flood Hazard Property).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provision of any Loan Document to the contrary, if any mortgage tax or similar tax or charge is owed on the entire amount of the Loan Document Obligations evidenced hereby in connection with the delivery of a mortgage or UCC fixture filing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then, to the extent permitted by, and in accordance with, applicable Requirements of Law, the amount of such mortgage tax or similar tax or charge shall be calculated based on the lesser of (x) the amount of the Loan Document Obligations allocated to the applicable Material Real Estate Asset and (y) the fair market value of the applicable Material Real Estate Asset at the time the Mortgage is entered into and determined in a manner reasonably acceptable to Administrative Agent and the Borrower.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83" w:name="page84"/>
    <w:bookmarkEnd w:id="83"/>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contained in this Agreement to the contrary, no Mortgage shall be executed and delivered (and no Mortgage shall be required to be so executed and delivered under this Agreement or any other Loan Document) with respect to any real property located in the United States unless and until each Revolving Lender has received, at least twenty business days prior to such execution and delivery, a life of loan flood zone determination and such other documents as it may reasonably request to complete its flood insurance due diligence and has confirmed to the Administrative Agent that flood insurance due diligence and flood insurance compliance has been completed to its satisfaction.</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Agreement or any other Loan Document to the contrary, no Collateral Document or Loan Guarantee shall be required to be in effect prior to the Closing Date.</w:t>
      </w:r>
    </w:p>
    <w:p>
      <w:pPr>
        <w:spacing w:after="0" w:line="158"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collectively, (i) the Security Agreement, (ii) each Mortgage (if any), (iii) each Intellectual Property Security Agreement, (iv) any supplement to any of the foregoing delivered to the Administrative Agent and/or the Collateral Agent (in each case, including any successor or predecessor of either of the foregoing) pursuant to the definition of “Collateral and Guarantee Requirement” and (v) each of the other instruments and documents pursuant to which any Loan Party grants a Lien on any Collateral as security for payment of the Obligations.</w:t>
      </w:r>
    </w:p>
    <w:p>
      <w:pPr>
        <w:spacing w:after="0" w:line="176"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Letter of Credit</w:t>
      </w:r>
      <w:r>
        <w:rPr>
          <w:rFonts w:ascii="Times New Roman" w:cs="Times New Roman" w:eastAsia="Times New Roman" w:hAnsi="Times New Roman"/>
          <w:sz w:val="18"/>
          <w:szCs w:val="18"/>
          <w:color w:val="auto"/>
        </w:rPr>
        <w:t>” means any Letter of Credit issued for the purpose of providing the primary payment mechanism in connection with the purchase of any materials, goods or services by the Borrower or any of its Restricted Subsidiaries in the ordinary course of business of such Person.</w:t>
      </w:r>
    </w:p>
    <w:p>
      <w:pPr>
        <w:spacing w:after="0" w:line="171" w:lineRule="exact"/>
        <w:rPr>
          <w:sz w:val="20"/>
          <w:szCs w:val="20"/>
          <w:color w:val="auto"/>
        </w:rPr>
      </w:pPr>
    </w:p>
    <w:p>
      <w:pPr>
        <w:ind w:left="440" w:right="26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with respect to each Lender, such Lender’s Initial Term Loan Commitment, Initial Revolving Credit Commitment and Additional Commitment, as applicable, in effect as of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xml:space="preserve">” has the meaning assigned for such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 Rate</w:t>
      </w:r>
      <w:r>
        <w:rPr>
          <w:rFonts w:ascii="Times New Roman" w:cs="Times New Roman" w:eastAsia="Times New Roman" w:hAnsi="Times New Roman"/>
          <w:sz w:val="18"/>
          <w:szCs w:val="18"/>
          <w:color w:val="auto"/>
        </w:rPr>
        <w:t>” means, on any date (a) with respect to the Initial Revolving Credit Commitment, subject to the provisions of the last paragraph hereof, the applicable rate per annum set forth below based upon the First Lien Leverage Ratio as of the last day of the most recently ended Test Period and (b) with respect to Additional Revolving Credit Commitments of any Class, the rate or rates per annum specified in the applicable Refinancing Amendment, Incremental Facility Amendment or Extension Amendment.</w:t>
      </w:r>
    </w:p>
    <w:p>
      <w:pPr>
        <w:spacing w:after="0" w:line="201"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454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First Lien Leverage Ratio</w:t>
            </w:r>
          </w:p>
        </w:tc>
        <w:tc>
          <w:tcPr>
            <w:tcW w:w="29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Commitment Fee Rate</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1</w:t>
            </w:r>
          </w:p>
        </w:tc>
        <w:tc>
          <w:tcPr>
            <w:tcW w:w="2940" w:type="dxa"/>
            <w:vAlign w:val="bottom"/>
            <w:shd w:val="clear" w:color="auto" w:fill="CCEEFF"/>
          </w:tcPr>
          <w:p>
            <w:pPr>
              <w:spacing w:after="0"/>
              <w:rPr>
                <w:sz w:val="18"/>
                <w:szCs w:val="18"/>
                <w:color w:val="auto"/>
              </w:rPr>
            </w:pPr>
          </w:p>
        </w:tc>
      </w:tr>
      <w:tr>
        <w:trPr>
          <w:trHeight w:val="216"/>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Greater than 1.00 to 1.00</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0.250%</w:t>
            </w: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Category 2</w:t>
            </w:r>
          </w:p>
        </w:tc>
        <w:tc>
          <w:tcPr>
            <w:tcW w:w="2940" w:type="dxa"/>
            <w:vAlign w:val="bottom"/>
            <w:shd w:val="clear" w:color="auto" w:fill="CCEEFF"/>
          </w:tcPr>
          <w:p>
            <w:pPr>
              <w:spacing w:after="0"/>
              <w:rPr>
                <w:sz w:val="18"/>
                <w:szCs w:val="18"/>
                <w:color w:val="auto"/>
              </w:rPr>
            </w:pPr>
          </w:p>
        </w:tc>
      </w:tr>
      <w:tr>
        <w:trPr>
          <w:trHeight w:val="234"/>
        </w:trPr>
        <w:tc>
          <w:tcPr>
            <w:tcW w:w="45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Equal to or less than 1.00 to 1.00</w:t>
            </w:r>
          </w:p>
        </w:tc>
        <w:tc>
          <w:tcPr>
            <w:tcW w:w="2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0.125%</w:t>
            </w:r>
          </w:p>
        </w:tc>
      </w:tr>
    </w:tbl>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Commitment Fee Rate with respect to the Initial Revolving Credit Commitment shall be adjusted quarterly on a prospective basis on each Adjustment Date based upon the First Lien Leverage Ratio in accordance with the table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until the first Adjustment Date following the completion of at least one full Fiscal Quarter after the Closing Date, the Commitment Fee Rate shall be the applicable rate per annum set forth above in Category 1 and (b) if financial statements are not delivered when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the Commitment Fee Rate shall be the rate per annum set forth above in Category 1 until such financial statements are delivered in compliance with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84" w:name="page85"/>
    <w:bookmarkEnd w:id="8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Commitment Schedule</w:t>
      </w:r>
      <w:r>
        <w:rPr>
          <w:rFonts w:ascii="Times New Roman" w:cs="Times New Roman" w:eastAsia="Times New Roman" w:hAnsi="Times New Roman"/>
          <w:sz w:val="18"/>
          <w:szCs w:val="18"/>
          <w:color w:val="auto"/>
        </w:rPr>
        <w:t xml:space="preserve">” means the Schedule attached hereto as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Termination Date</w:t>
      </w:r>
      <w:r>
        <w:rPr>
          <w:rFonts w:ascii="Times New Roman" w:cs="Times New Roman" w:eastAsia="Times New Roman" w:hAnsi="Times New Roman"/>
          <w:sz w:val="18"/>
          <w:szCs w:val="18"/>
          <w:color w:val="auto"/>
        </w:rPr>
        <w:t xml:space="preserve">” means March 31,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Commitment Termination Date shall not occur if the Closing Date occurs on or prior to March 31, 2026.</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w:t>
      </w:r>
      <w:r>
        <w:rPr>
          <w:rFonts w:ascii="Times New Roman" w:cs="Times New Roman" w:eastAsia="Times New Roman" w:hAnsi="Times New Roman"/>
          <w:sz w:val="18"/>
          <w:szCs w:val="18"/>
          <w:color w:val="auto"/>
        </w:rPr>
        <w:t>” means any competitor of the Borrower and/or any of its subsidiaries.</w:t>
      </w:r>
    </w:p>
    <w:p>
      <w:pPr>
        <w:spacing w:after="0" w:line="225" w:lineRule="exact"/>
        <w:rPr>
          <w:sz w:val="20"/>
          <w:szCs w:val="20"/>
          <w:color w:val="auto"/>
        </w:rPr>
      </w:pPr>
    </w:p>
    <w:p>
      <w:pPr>
        <w:ind w:left="4"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in any other form approved by the Administrative Agent and the Borrower.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Adjusted EBITDA</w:t>
      </w:r>
      <w:r>
        <w:rPr>
          <w:rFonts w:ascii="Times New Roman" w:cs="Times New Roman" w:eastAsia="Times New Roman" w:hAnsi="Times New Roman"/>
          <w:sz w:val="17"/>
          <w:szCs w:val="17"/>
          <w:color w:val="auto"/>
        </w:rPr>
        <w:t xml:space="preserve">” means, as to any Person for any period, an amount determined for such Person and its Restricted Subsidiaries on a consolidated basis equal to the total of (a) Consolidated Net Income for such period plus (b) the sum, without duplication and at the election of the Borrower, of (to the extent deducted in calculating Consolidated Net Income, other than in respect of </w:t>
      </w:r>
      <w:r>
        <w:rPr>
          <w:rFonts w:ascii="Times New Roman" w:cs="Times New Roman" w:eastAsia="Times New Roman" w:hAnsi="Times New Roman"/>
          <w:sz w:val="17"/>
          <w:szCs w:val="17"/>
          <w:u w:val="single" w:color="auto"/>
          <w:color w:val="auto"/>
        </w:rPr>
        <w:t>clauses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(xix)</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left="344" w:hanging="344"/>
        <w:spacing w:after="0"/>
        <w:tabs>
          <w:tab w:leader="none" w:pos="344" w:val="left"/>
        </w:tabs>
        <w:numPr>
          <w:ilvl w:val="0"/>
          <w:numId w:val="1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the amounts of:</w:t>
      </w:r>
    </w:p>
    <w:p>
      <w:pPr>
        <w:spacing w:after="0" w:line="98" w:lineRule="exact"/>
        <w:rPr>
          <w:rFonts w:ascii="Times New Roman" w:cs="Times New Roman" w:eastAsia="Times New Roman" w:hAnsi="Times New Roman"/>
          <w:sz w:val="18"/>
          <w:szCs w:val="18"/>
          <w:u w:val="single" w:color="auto"/>
          <w:color w:val="auto"/>
        </w:rPr>
      </w:pPr>
    </w:p>
    <w:p>
      <w:pPr>
        <w:ind w:left="984" w:right="280" w:firstLine="408"/>
        <w:spacing w:after="0" w:line="257" w:lineRule="auto"/>
        <w:tabs>
          <w:tab w:leader="none" w:pos="160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(including (A) fees and expenses paid to the Administrative Agent and the Collateral Agent in connection with their services hereunder, (B) other bank, administrative agency (or trustee) and financing fees (including rating agency fees), (C) costs of surety bonds in connection with financing activities (whether amortized or immediately expensed) and</w:t>
      </w:r>
    </w:p>
    <w:p>
      <w:pPr>
        <w:spacing w:after="0" w:line="1" w:lineRule="exact"/>
        <w:rPr>
          <w:rFonts w:ascii="Times New Roman" w:cs="Times New Roman" w:eastAsia="Times New Roman" w:hAnsi="Times New Roman"/>
          <w:sz w:val="18"/>
          <w:szCs w:val="18"/>
          <w:color w:val="auto"/>
        </w:rPr>
      </w:pPr>
    </w:p>
    <w:p>
      <w:pPr>
        <w:ind w:left="984" w:right="280" w:firstLine="7"/>
        <w:spacing w:after="0" w:line="260" w:lineRule="auto"/>
        <w:tabs>
          <w:tab w:leader="none" w:pos="1279" w:val="left"/>
        </w:tabs>
        <w:numPr>
          <w:ilvl w:val="1"/>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discounts and other fees and charges owed with respect to revolving commitments, letters of credit, bank guarantees, bankers’ acceptances or any similar facilities or financing and hedging agreements);</w:t>
      </w:r>
    </w:p>
    <w:p>
      <w:pPr>
        <w:spacing w:after="0" w:line="73" w:lineRule="exact"/>
        <w:rPr>
          <w:rFonts w:ascii="Times New Roman" w:cs="Times New Roman" w:eastAsia="Times New Roman" w:hAnsi="Times New Roman"/>
          <w:sz w:val="18"/>
          <w:szCs w:val="18"/>
          <w:color w:val="auto"/>
        </w:rPr>
      </w:pPr>
    </w:p>
    <w:p>
      <w:pPr>
        <w:ind w:left="984" w:right="160" w:firstLine="408"/>
        <w:spacing w:after="0" w:line="261" w:lineRule="auto"/>
        <w:tabs>
          <w:tab w:leader="none" w:pos="165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and any provision for Taxes, including income, profits, capital, foreign, federal, state, local, sales,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Tax distribution) of such Person paid or accrued during the relevant period;</w:t>
      </w:r>
    </w:p>
    <w:p>
      <w:pPr>
        <w:spacing w:after="0" w:line="71" w:lineRule="exact"/>
        <w:rPr>
          <w:rFonts w:ascii="Times New Roman" w:cs="Times New Roman" w:eastAsia="Times New Roman" w:hAnsi="Times New Roman"/>
          <w:sz w:val="18"/>
          <w:szCs w:val="18"/>
          <w:color w:val="auto"/>
        </w:rPr>
      </w:pPr>
    </w:p>
    <w:p>
      <w:pPr>
        <w:ind w:left="984" w:right="860" w:firstLine="408"/>
        <w:spacing w:after="0" w:line="282" w:lineRule="auto"/>
        <w:tabs>
          <w:tab w:leader="none" w:pos="170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depreciation, (B) amortization (including amortization of goodwill, software and other intangible assets), (C) any impairment Charge (including any bad debt expense) and (D) any asset write-off and/or write-down;</w:t>
      </w:r>
    </w:p>
    <w:p>
      <w:pPr>
        <w:spacing w:after="0" w:line="53" w:lineRule="exact"/>
        <w:rPr>
          <w:rFonts w:ascii="Times New Roman" w:cs="Times New Roman" w:eastAsia="Times New Roman" w:hAnsi="Times New Roman"/>
          <w:sz w:val="18"/>
          <w:szCs w:val="18"/>
          <w:color w:val="auto"/>
        </w:rPr>
      </w:pPr>
    </w:p>
    <w:p>
      <w:pPr>
        <w:ind w:left="984" w:right="80" w:firstLine="408"/>
        <w:spacing w:after="0" w:line="258" w:lineRule="auto"/>
        <w:tabs>
          <w:tab w:leader="none" w:pos="169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including the excess of rent expense over actual Cash rent paid, the benefit of lease incentives (in the case of a charge) during such period due to the use of straight line rent for GAAP purposes, and any non-cash Charge pursuant to any management equity plan, stock option plan or any other management or employee benefit plan, agreement or any stock subscription or shareholder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 represents an accrual or reserve for potential Cash items in any future period, such Person may determine not to add back such non-Cash Charge in the then-current period);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85" w:name="page86"/>
    <w:bookmarkEnd w:id="85"/>
    <w:p>
      <w:pPr>
        <w:ind w:left="653" w:hanging="252"/>
        <w:spacing w:after="0"/>
        <w:tabs>
          <w:tab w:leader="none" w:pos="65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7" w:right="180" w:firstLine="408"/>
        <w:spacing w:after="0" w:line="282" w:lineRule="auto"/>
        <w:tabs>
          <w:tab w:leader="none" w:pos="69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Fees and the amount of loss or discount on the sale of Receivables Facility Assets and related assets in connection with any Qualified Receivables Facility;</w:t>
      </w:r>
    </w:p>
    <w:p>
      <w:pPr>
        <w:spacing w:after="0" w:line="53" w:lineRule="exact"/>
        <w:rPr>
          <w:rFonts w:ascii="Times New Roman" w:cs="Times New Roman" w:eastAsia="Times New Roman" w:hAnsi="Times New Roman"/>
          <w:sz w:val="18"/>
          <w:szCs w:val="18"/>
          <w:color w:val="auto"/>
        </w:rPr>
      </w:pPr>
    </w:p>
    <w:p>
      <w:pPr>
        <w:ind w:left="-7" w:right="80" w:firstLine="408"/>
        <w:spacing w:after="0" w:line="261" w:lineRule="auto"/>
        <w:tabs>
          <w:tab w:leader="none" w:pos="74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management, monitoring, consulting, transaction, advisory, investment banking, termination and similar fees and related indemnities and expenses (including reimbursements) paid or accrued and payments to outside directors of the Borrower actually paid by or on behalf of, or accrued by, such Person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payment is permitted under this Agreement;</w:t>
      </w:r>
    </w:p>
    <w:p>
      <w:pPr>
        <w:spacing w:after="0" w:line="71" w:lineRule="exact"/>
        <w:rPr>
          <w:rFonts w:ascii="Times New Roman" w:cs="Times New Roman" w:eastAsia="Times New Roman" w:hAnsi="Times New Roman"/>
          <w:sz w:val="18"/>
          <w:szCs w:val="18"/>
          <w:color w:val="auto"/>
        </w:rPr>
      </w:pPr>
    </w:p>
    <w:p>
      <w:pPr>
        <w:ind w:left="813" w:hanging="412"/>
        <w:spacing w:after="0"/>
        <w:tabs>
          <w:tab w:leader="none" w:pos="81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deferred revenue;</w:t>
      </w:r>
    </w:p>
    <w:p>
      <w:pPr>
        <w:spacing w:after="0" w:line="117" w:lineRule="exact"/>
        <w:rPr>
          <w:rFonts w:ascii="Times New Roman" w:cs="Times New Roman" w:eastAsia="Times New Roman" w:hAnsi="Times New Roman"/>
          <w:sz w:val="18"/>
          <w:szCs w:val="18"/>
          <w:color w:val="auto"/>
        </w:rPr>
      </w:pPr>
    </w:p>
    <w:p>
      <w:pPr>
        <w:ind w:left="-7" w:right="300" w:firstLine="408"/>
        <w:spacing w:after="0" w:line="261" w:lineRule="auto"/>
        <w:tabs>
          <w:tab w:leader="none" w:pos="698"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earn-out, non-compete and other contingent consideration obligations (including to the extent accounted for as bonuses, compensation or otherwise) and adjustments thereof and purchase price (or similar) adjustments incurred in connection with</w:t>
      </w:r>
    </w:p>
    <w:p>
      <w:pPr>
        <w:ind w:left="-7" w:right="820" w:firstLine="7"/>
        <w:spacing w:after="0" w:line="260" w:lineRule="auto"/>
        <w:tabs>
          <w:tab w:leader="none" w:pos="28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Investments completed prior to the Closing Date, (B) any acquisition or other Investment permitted by this Agreement, in each case, which is paid or accrued during the applicable period and (C) the Separation;</w:t>
      </w:r>
    </w:p>
    <w:p>
      <w:pPr>
        <w:spacing w:after="0" w:line="73" w:lineRule="exact"/>
        <w:rPr>
          <w:rFonts w:ascii="Times New Roman" w:cs="Times New Roman" w:eastAsia="Times New Roman" w:hAnsi="Times New Roman"/>
          <w:sz w:val="18"/>
          <w:szCs w:val="18"/>
          <w:color w:val="auto"/>
        </w:rPr>
      </w:pPr>
    </w:p>
    <w:p>
      <w:pPr>
        <w:ind w:left="-7" w:firstLine="408"/>
        <w:spacing w:after="0" w:line="254" w:lineRule="auto"/>
        <w:tabs>
          <w:tab w:leader="none" w:pos="648"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including pro forma “run rate” cost savings, operating expense reductions, operational improvements and cost synergies (in each case, net of amounts actually realized)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that are reasonably identifiable, factually supportable (or certified by a Responsible Officer of such Person in good faith) and projected by such Person in good faith as of the date Consolidated Adjusted EBITDA is being calculated to result from actions that have been taken or with respect to which steps have been taken or are expected to be taken (in the good faith determination of such Person), in each case related to (A) the Transactions and</w:t>
      </w:r>
    </w:p>
    <w:p>
      <w:pPr>
        <w:spacing w:after="0" w:line="3" w:lineRule="exact"/>
        <w:rPr>
          <w:rFonts w:ascii="Times New Roman" w:cs="Times New Roman" w:eastAsia="Times New Roman" w:hAnsi="Times New Roman"/>
          <w:sz w:val="18"/>
          <w:szCs w:val="18"/>
          <w:color w:val="auto"/>
        </w:rPr>
      </w:pPr>
    </w:p>
    <w:p>
      <w:pPr>
        <w:ind w:left="-7" w:right="20" w:firstLine="7"/>
        <w:spacing w:after="0" w:line="251" w:lineRule="auto"/>
        <w:tabs>
          <w:tab w:leader="none" w:pos="2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(including the commencement of activities constituting a business line), combination, Investment, de novos, Disposition (including the termination or discontinuance of activities constituting a business line), operating improvement, restructuring, cost savings initiative, similar initiative (including the effect of arrangements or efficiencies from the shifting of production from one facility to another) and/or specified transaction, in each case undertaken prior to, on or after the Closing Date (any such operating improvement, restructuring, cost savings initiative, similar initiative or specified transaction,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(in each case, calculated on a Pro Forma Basis as though such Expected Cost Savings and/or Cost Saving Initiative had been realized in full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results of such Expected Cost Savings and/or Cost Saving Initiatives are projected by such Person in good faith to result from actions that have been taken or with respect to which steps have been taken or are expected to be taken (in the good faith determination of such Person) within 24 months after the date of any such operating improvement, restructuring, cost savings initiative, similar initiative or specified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the aggregate amount added to or included in Consolidated Adjusted EBITDA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shall not, for any Test Period, exceed an amount equal to 30% of Consolidated Adjusted EBITDA for such Test Period, calculated after giving effect to any such add-backs or inclusion (and all other add-backs and inclusions);</w:t>
      </w:r>
    </w:p>
    <w:p>
      <w:pPr>
        <w:spacing w:after="0" w:line="84" w:lineRule="exact"/>
        <w:rPr>
          <w:rFonts w:ascii="Times New Roman" w:cs="Times New Roman" w:eastAsia="Times New Roman" w:hAnsi="Times New Roman"/>
          <w:sz w:val="18"/>
          <w:szCs w:val="18"/>
          <w:color w:val="auto"/>
        </w:rPr>
      </w:pPr>
    </w:p>
    <w:p>
      <w:pPr>
        <w:ind w:left="713" w:hanging="312"/>
        <w:spacing w:after="0"/>
        <w:tabs>
          <w:tab w:leader="none" w:pos="713"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013"/>
          </w:cols>
          <w:pgMar w:left="1427" w:top="270" w:right="459" w:bottom="1440" w:gutter="0" w:footer="0" w:header="0"/>
        </w:sectPr>
      </w:pPr>
    </w:p>
    <w:bookmarkStart w:id="86" w:name="page87"/>
    <w:bookmarkEnd w:id="86"/>
    <w:p>
      <w:pPr>
        <w:ind w:left="-20" w:right="40" w:firstLine="408"/>
        <w:spacing w:after="0" w:line="254" w:lineRule="auto"/>
        <w:tabs>
          <w:tab w:leader="none" w:pos="73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to the extent such Charge is covered by insurance, indemnification or otherwise reimbursable by a third party (whether or not then realized so long as the Borrower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80" w:lineRule="exact"/>
        <w:rPr>
          <w:rFonts w:ascii="Times New Roman" w:cs="Times New Roman" w:eastAsia="Times New Roman" w:hAnsi="Times New Roman"/>
          <w:sz w:val="18"/>
          <w:szCs w:val="18"/>
          <w:color w:val="auto"/>
        </w:rPr>
      </w:pPr>
    </w:p>
    <w:p>
      <w:pPr>
        <w:ind w:left="800" w:hanging="412"/>
        <w:spacing w:after="0"/>
        <w:tabs>
          <w:tab w:leader="none" w:pos="8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losses in the fair market value of any arrangements under Hedge Agreements;</w:t>
      </w:r>
    </w:p>
    <w:p>
      <w:pPr>
        <w:spacing w:after="0" w:line="117"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77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w:t>
      </w:r>
      <w:r>
        <w:rPr>
          <w:rFonts w:ascii="Times New Roman" w:cs="Times New Roman" w:eastAsia="Times New Roman" w:hAnsi="Times New Roman"/>
          <w:sz w:val="18"/>
          <w:szCs w:val="18"/>
          <w:u w:val="single" w:color="auto"/>
          <w:color w:val="auto"/>
        </w:rPr>
        <w:t>clause (c)(i)</w:t>
      </w:r>
      <w:r>
        <w:rPr>
          <w:rFonts w:ascii="Times New Roman" w:cs="Times New Roman" w:eastAsia="Times New Roman" w:hAnsi="Times New Roman"/>
          <w:sz w:val="18"/>
          <w:szCs w:val="18"/>
          <w:color w:val="auto"/>
        </w:rPr>
        <w:t xml:space="preserve"> below for any previous period and not added back;</w:t>
      </w:r>
    </w:p>
    <w:p>
      <w:pPr>
        <w:spacing w:after="0" w:line="71"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“bad debt” expense related to revenue earned prior to the Closing Date;</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82" w:lineRule="auto"/>
        <w:tabs>
          <w:tab w:leader="none" w:pos="77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Charge included in the Borrower’s consolidated financial statements due to the application of Accounting Standards Codification Topic 810 (“</w:t>
      </w:r>
      <w:r>
        <w:rPr>
          <w:rFonts w:ascii="Times New Roman" w:cs="Times New Roman" w:eastAsia="Times New Roman" w:hAnsi="Times New Roman"/>
          <w:sz w:val="18"/>
          <w:szCs w:val="18"/>
          <w:u w:val="single" w:color="auto"/>
          <w:color w:val="auto"/>
        </w:rPr>
        <w:t>ASC 810</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0" w:right="360" w:firstLine="408"/>
        <w:spacing w:after="0" w:line="282" w:lineRule="auto"/>
        <w:tabs>
          <w:tab w:leader="none" w:pos="8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Charge consisting of income attributable to minority equity interests of third parties in any non-Wholly-Owned Subsidiary;</w:t>
      </w:r>
    </w:p>
    <w:p>
      <w:pPr>
        <w:spacing w:after="0" w:line="53" w:lineRule="exact"/>
        <w:rPr>
          <w:rFonts w:ascii="Times New Roman" w:cs="Times New Roman" w:eastAsia="Times New Roman" w:hAnsi="Times New Roman"/>
          <w:sz w:val="18"/>
          <w:szCs w:val="18"/>
          <w:color w:val="auto"/>
        </w:rPr>
      </w:pPr>
    </w:p>
    <w:p>
      <w:pPr>
        <w:ind w:left="880" w:hanging="492"/>
        <w:spacing w:after="0"/>
        <w:tabs>
          <w:tab w:leader="none" w:pos="88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expenses and other Charges incurred, or reserves taken, in connection with the Transactions;</w:t>
      </w:r>
    </w:p>
    <w:p>
      <w:pPr>
        <w:spacing w:after="0" w:line="117"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77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earned or billed amounts or other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 and</w:t>
      </w:r>
    </w:p>
    <w:p>
      <w:pPr>
        <w:spacing w:after="0" w:line="71" w:lineRule="exact"/>
        <w:rPr>
          <w:rFonts w:ascii="Times New Roman" w:cs="Times New Roman" w:eastAsia="Times New Roman" w:hAnsi="Times New Roman"/>
          <w:sz w:val="18"/>
          <w:szCs w:val="18"/>
          <w:color w:val="auto"/>
        </w:rPr>
      </w:pPr>
    </w:p>
    <w:p>
      <w:pPr>
        <w:ind w:left="-20" w:firstLine="408"/>
        <w:spacing w:after="0" w:line="261" w:lineRule="auto"/>
        <w:tabs>
          <w:tab w:leader="none" w:pos="726"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Borrower, any other adjustments, exclusions and add-backs (x) that are consistent with Regulation S-X (as in effect prior to January 1, 2021) or (y) that are identified or set forth in any quality of earnings analysis or report prepared by financial advisors reasonably acceptable to the Administrative Agent (it being understood that the “Big Four” accounting firms are acceptable) and delivered to the Administrative Agent in connection with any acquisition or other Investment not prohibited hereunder;</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9980"/>
          </w:cols>
          <w:pgMar w:left="1440" w:top="270" w:right="47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minus (c) without duplication, to the extent such amounts increase Consolidated Net Income:</w:t>
      </w:r>
    </w:p>
    <w:p>
      <w:pPr>
        <w:spacing w:after="0" w:line="117" w:lineRule="exact"/>
        <w:rPr>
          <w:sz w:val="20"/>
          <w:szCs w:val="20"/>
          <w:color w:val="auto"/>
        </w:rPr>
      </w:pPr>
    </w:p>
    <w:p>
      <w:pPr>
        <w:jc w:val="both"/>
        <w:ind w:left="980" w:right="220" w:firstLine="408"/>
        <w:spacing w:after="0" w:line="282" w:lineRule="auto"/>
        <w:tabs>
          <w:tab w:leader="none" w:pos="159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or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non-Cash gain or income represents an accrual or deferred income in respect of potential Cash items in any future period, such Person may determine not to deduct such non-Cash gain or income in the current period;</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gains in the fair market value of any arrangements under Hedge Agreements;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8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added back to Consolidated Adjusted EBITDA pursuant to </w:t>
      </w:r>
      <w:r>
        <w:rPr>
          <w:rFonts w:ascii="Times New Roman" w:cs="Times New Roman" w:eastAsia="Times New Roman" w:hAnsi="Times New Roman"/>
          <w:sz w:val="18"/>
          <w:szCs w:val="18"/>
          <w:u w:val="single" w:color="auto"/>
          <w:color w:val="auto"/>
        </w:rPr>
        <w:t>clause (b)(xii)</w:t>
      </w:r>
      <w:r>
        <w:rPr>
          <w:rFonts w:ascii="Times New Roman" w:cs="Times New Roman" w:eastAsia="Times New Roman" w:hAnsi="Times New Roman"/>
          <w:sz w:val="18"/>
          <w:szCs w:val="18"/>
          <w:color w:val="auto"/>
        </w:rPr>
        <w:t xml:space="preserve"> above (as described in such clause) to the extent the relevant business interruption insurance proceeds were not received within the time period required by such clause;</w:t>
      </w:r>
    </w:p>
    <w:p>
      <w:pPr>
        <w:spacing w:after="0" w:line="53"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Person adds back the amount of any non-Cash charge to Consolidated Adjusted EBITDA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above, the cash payment in respect thereof in the relevant future period;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actual Cash rent paid over rent expense during such period due to the use of straight line rent for GAAP purposes;</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Consolidated Net Income included in the Borrower’s consolidated financial statements due to the application of ASC 810;</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80" w:firstLine="408"/>
        <w:spacing w:after="0" w:line="282" w:lineRule="auto"/>
        <w:tabs>
          <w:tab w:leader="none" w:pos="1786"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gains from losses attributable to minority equity interests of third parties in any non-wholly owned Restricted Subsidiary;</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(without duplication) by, as applicable, any adjustments resulting from the application of Accounting Standards Codification Topic 460 or any comparable regulation.</w:t>
      </w:r>
    </w:p>
    <w:p>
      <w:pPr>
        <w:spacing w:after="0" w:line="15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Lien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first priority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First Lien Debt” shall be calculated after applying or excluding (as applicable) the Netted Amounts.</w:t>
      </w:r>
    </w:p>
    <w:p>
      <w:pPr>
        <w:spacing w:after="0" w:line="171"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the sum of (a) consolidated total interest expense of such Person and its Restricted Subsidiaries for such period, whether paid or accrued and whether or not capitalized (including (without duplication), amortization of any debt issuance cost and/or original issue discount, any premium paid to obtain payment, financial assurance or similar bonds, any interest capitalized during construction, any non-cash interest payment, the interest component of any deferred payment obligation, commissions, discounts, yield and other fees and charges (including any interest expense) related to any Qualified Receivables Facility, the interest component of any payment under any Finance Lease (regardless of whether accounted for as interest expense under GAAP), any commission, discount and/or other fee or charge owed with respect to any letter of credit, bank guarantee and/or bankers’ acceptance or any similar facilities, any fee and/or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88" w:name="page89"/>
    <w:bookmarkEnd w:id="88"/>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expense paid to the Administrative Agent and/or the Collateral Agent in connection with their services hereunder, any other bank, administrative agency (or trustee) and/or financing fee and any cost associated with any surety bond in connection with financing activities (whether amortized or immediately expensed)), plus (b) any cash dividend or distribution paid or payable in respect of Disqualified Capital Stock during such period other than to such Person or any Loan Party, plus (c) any net losses, obligations or payments arising from or under any Hedge Agreement and/or other derivative financial instrument issued by such Person for the benefit of such Person or its subsidiaries, in each case determined on a consolidated basis for such period. For purposes of this definition, interest in respect of any Finance Lease shall be deemed to accrue at an interest rate reasonably determined by such Person to be the rate of interest implicit in such Finance Lease in accordance with GAAP (or, if not implicit, as otherwise determined in accordance with GAAP).</w:t>
      </w:r>
    </w:p>
    <w:p>
      <w:pPr>
        <w:spacing w:after="0" w:line="167"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xml:space="preserve">”) for any period, the net income (or loss) of the Subject Person and its Restricted Subsidiaries on a consolidated basis for such period taken as a single accounting period determined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without duplication,</w:t>
      </w:r>
    </w:p>
    <w:p>
      <w:pPr>
        <w:spacing w:after="0" w:line="67" w:lineRule="exact"/>
        <w:rPr>
          <w:sz w:val="20"/>
          <w:szCs w:val="20"/>
          <w:color w:val="auto"/>
        </w:rPr>
      </w:pPr>
    </w:p>
    <w:p>
      <w:pPr>
        <w:ind w:left="440" w:right="40" w:firstLine="419"/>
        <w:spacing w:after="0" w:line="252" w:lineRule="auto"/>
        <w:tabs>
          <w:tab w:leader="none" w:pos="110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net income (loss) of any Person if such Person is not the Subject Person or a Restricted Subsidiary thereof, except that Consolidated Net Income will be increased by the amount of dividends, distributions or other payments made in Cash or Cash Equivalents (or converted into Cash or Cash Equivalents) or that could have been made during such period (as determined in good faith by the Borrower) by such Person to the Subject Person or any other Restricted Subsidiary thereof (subject, in the case of any such Restricted Subsidiary that is not a Loan Party, to the limitations contained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and (ii) solely for the purpose of determining the amount available for Restricted Payments under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any net income (loss) of any Restricted Subsidiary (other than a Loan Party) if such Subsidiary is subject to restrictions on the payment of dividends or the making of distributions by such Restricted Subsidiary, directly or indirectly, to the Subject Person or a Loan Party by operation of its Organizational Documents or any agreement, instrument, judgment, decree, order, statute or governmental rule or regulation applicable thereto (other than (x) any restriction that has been waived or otherwise released and (y) any restriction set forth in the Loan Documents, the documents related to any Other Secured Debt, Incremental Loans and/or Incremental Equivalent Debt and the documents relating to any Replacement Debt or Refinancing Indebtedness in respect of any of the foregoing), except that Consolidated Net Income will be increased by the amount of dividends, distributions or other payments made in Cash or Cash Equivalents (or converted into Cash or Cash Equivalents) or that could have been made in Cash or Cash Equivalents during such period (as determined in good faith by the Borrower) by the Restricted Subsidiary (subject, in the case of a dividend, distribution or other payment to another Restricted Subsidiary, to the limitations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8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gain or Charge from (A) any extraordinary or exceptional item (as determined in good faith by such Person) and/or (B) any</w:t>
      </w:r>
    </w:p>
    <w:p>
      <w:pPr>
        <w:spacing w:after="0" w:line="27" w:lineRule="exact"/>
        <w:rPr>
          <w:sz w:val="20"/>
          <w:szCs w:val="20"/>
          <w:color w:val="auto"/>
        </w:rPr>
      </w:pPr>
    </w:p>
    <w:p>
      <w:pPr>
        <w:ind w:left="440" w:right="440"/>
        <w:spacing w:after="0" w:line="260" w:lineRule="auto"/>
        <w:rPr>
          <w:sz w:val="20"/>
          <w:szCs w:val="20"/>
          <w:color w:val="auto"/>
        </w:rPr>
      </w:pPr>
      <w:r>
        <w:rPr>
          <w:rFonts w:ascii="Times New Roman" w:cs="Times New Roman" w:eastAsia="Times New Roman" w:hAnsi="Times New Roman"/>
          <w:sz w:val="18"/>
          <w:szCs w:val="18"/>
          <w:color w:val="auto"/>
        </w:rPr>
        <w:t>non-recurring, infrequent, special or unusual item (as determined in good faith by such Person) and/or (ii) any Charge associated with and/or payment of any actual or prospective legal settlement, fine, judgment or order, including ordinary legal expenses related thereto;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89" w:name="page90"/>
    <w:bookmarkEnd w:id="89"/>
    <w:p>
      <w:pPr>
        <w:ind w:left="4" w:firstLine="419"/>
        <w:spacing w:after="0" w:line="254" w:lineRule="auto"/>
        <w:tabs>
          <w:tab w:leader="none" w:pos="68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any unrealized or realized net foreign currency translation or transaction gains or Charges impacting net income (including currency re-measurements of Indebtedness, any net gains or Charges resulting from Hedge Agreements for currency exchange risk associated with the above or any other currency related risk, any gains or Charges relating to translation of assets and liabilities denominated in a foreign currency and those resulting from intercompany Indebtedness), (ii) any realized or unrealized gain or Charge in respect of (x) any obligation under any Hedge Agreement as determined in accordance with GAAP and/or (y) any other derivative instrument pursuant to,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Financial Accounting Standards Board’s Accounting Standards Codification No. 815-Derivatives and Hedging and (iii) unrealized gains or losses in respect of any Hedge Agreement and any ineffectiveness recognized in earnings related to qualifying hedge transactions or the fair value of changes therein recognized in earnings for derivatives that do not qualify as hedge transactions, in respect of Hedge Agreements;</w:t>
      </w:r>
    </w:p>
    <w:p>
      <w:pPr>
        <w:spacing w:after="0" w:line="8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7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Charge with respect to (i) any disposed, abandoned, divested and/or discontinued asset, property or operation (other than, at the option of the Borrower, any asset, property or operation pending the disposal, abandonment, divestiture and/or termination thereof), (ii) any disposal, abandonment, divestiture and/or discontinuation of any asset, property or operation (other than, at the option of the Borrower, relating to assets or properties held for sale or pending the divestiture or discontinuation thereof) and/or (iii) any facility that has been closed during such period;</w:t>
      </w:r>
    </w:p>
    <w:p>
      <w:pPr>
        <w:spacing w:after="0" w:line="75"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65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or Charge (less all fees and expenses related thereto) attributable to (i) the early extinguishment or cancellation of Indebtedness or (ii) any Derivative Transaction;</w:t>
      </w:r>
    </w:p>
    <w:p>
      <w:pPr>
        <w:spacing w:after="0" w:line="53"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81"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Charge incurred as a result of, in connection with or pursuant to any management equity plan, profits interest or stock option plan or any other management or employee benefit plan or agreement, any pension plan (including any post-employment benefit scheme which has been agreed with the relevant pension trustee), any stock subscription or shareholders agreement, any employee benefit trust, any employee benefit scheme, any distributor equity plan or any similar equity plan or agreement (including any deferred compensation arrangement or trust),</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2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Charge incurred in connection with the rollover, acceleration or payout of Capital Stock held by management of the Subject Person and/or any of its subsidiaries, in each case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to the extent that any such cash Charge is funded with net Cash proceeds contributed to the Subject Person as a capital contribution or as a result of the sale or issuance of Qualified Capital Stock of the Subject Person and (iii) the amount of payments made to optionholders of such Person in connection with, or as a result of, any distribution being made to equityholders of such Person, which payments are being made to compensate such optionholders as though they were equityholders at the time of, and entitled to share in, such distribution, in each case to the extent permitted hereunder;</w:t>
      </w:r>
    </w:p>
    <w:p>
      <w:pPr>
        <w:spacing w:after="0" w:line="81" w:lineRule="exact"/>
        <w:rPr>
          <w:rFonts w:ascii="Times New Roman" w:cs="Times New Roman" w:eastAsia="Times New Roman" w:hAnsi="Times New Roman"/>
          <w:sz w:val="18"/>
          <w:szCs w:val="18"/>
          <w:color w:val="auto"/>
        </w:rPr>
      </w:pPr>
    </w:p>
    <w:p>
      <w:pPr>
        <w:ind w:left="4" w:right="60" w:firstLine="419"/>
        <w:spacing w:after="0" w:line="272" w:lineRule="auto"/>
        <w:tabs>
          <w:tab w:leader="none" w:pos="681"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acquisition that is required to be established, adjusted or incurred, as applicable, as a result of such acquisition in accordance with GAAP or</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change in, or the adoption or modification of, accounting principles or policies;</w:t>
      </w:r>
    </w:p>
    <w:p>
      <w:pPr>
        <w:spacing w:after="0" w:line="98"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41"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write-off or amortization made in such period of deferred financing costs and premiums paid or other expenses incurred directly in connection with any early extinguishment of Indebtedness, (B) goodwill or other asset impairment charges, write-offs or write-downs,</w:t>
      </w:r>
    </w:p>
    <w:p>
      <w:pPr>
        <w:ind w:left="4"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amortization of intangible assets and (D) other amortization (including amortization of goodwill, software, deferred or capitalized financing fees, debt issuance costs, commissions and expenses and other intangible assets);</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90" w:name="page91"/>
    <w:bookmarkEnd w:id="90"/>
    <w:p>
      <w:pPr>
        <w:ind w:right="20" w:firstLine="419"/>
        <w:spacing w:after="0" w:line="253" w:lineRule="auto"/>
        <w:tabs>
          <w:tab w:leader="none" w:pos="6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the effects of adjustments (including the effects of such adjustments pushed down to the Subject Person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in-process research and development, deferred revenue, advanced billing and debt line items thereof), resulting from the application of recapitalization accounting or acquisition or purchase accounting, as the case may be, in relation to the Transactions or any consummated acquisition or similar Investment or the amortization or write-off of any amounts thereof (including any write-off of in process research and development) and/or (B) the cumulative effect of any change in accounting principles or policies (effected by way of either a cumulative effect adjustment or as a retroactive application, in each case, in accordance with GAAP) (except that, if the Borrower determines in good faith that the cumulative effects thereof are not material to the interests of the Lenders, the effects of any change in any such principles or policies may be included in any subsequent period after the Fiscal Quarter in which such change, adoption or modification was made);</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income or loss of any Person accrued prior to the date on which such Person became a Restricted Subsidiary of such Subject Person or is merged into or consolidated with such Subject Person or any Restricted Subsidiary of such Subject Person or the date that such other Person’s assets are acquired by such Subject Person or any Restricted Subsidiary of such Subject Person (except to the extent required for any calculation of Consolidated Adjusted EBITDA on a Pro Forma Basis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40" w:firstLine="419"/>
        <w:spacing w:after="0" w:line="282" w:lineRule="auto"/>
        <w:tabs>
          <w:tab w:leader="none" w:pos="63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Tax expense associated with any tax deduction or net operating loss arising as a result of the Transactions, or the release of any valuation allowance related to any such item;</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72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non-cash deemed finance Charges in respect of any pension liabilities or other provisions and (ii) income (loss) attributable to deferred compensation plans or trusts;</w:t>
      </w:r>
    </w:p>
    <w:p>
      <w:pPr>
        <w:spacing w:after="0" w:line="53" w:lineRule="exact"/>
        <w:rPr>
          <w:rFonts w:ascii="Times New Roman" w:cs="Times New Roman" w:eastAsia="Times New Roman" w:hAnsi="Times New Roman"/>
          <w:sz w:val="18"/>
          <w:szCs w:val="18"/>
          <w:color w:val="auto"/>
        </w:rPr>
      </w:pPr>
    </w:p>
    <w:p>
      <w:pPr>
        <w:ind w:right="440" w:firstLine="419"/>
        <w:spacing w:after="0" w:line="266" w:lineRule="auto"/>
        <w:tabs>
          <w:tab w:leader="none" w:pos="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compensation or otherwise) and adjustments thereof and purchase price adjustments, including in connection with any acquisition or Investment permitted hereunder or in respect of any acquisition consummated prior to the Closing Date;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678"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Costs and Charges or other costs incurred in connection with the Transactions, (B) any Charge incurred (1) in connection with any transaction (in each case, regardless of whether consummated), whether or not permitted under this Agreement, including any issuance and/or incurrence of Indebtedness and/or any issuance and/or offering of Capital Stock,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or in connection with becoming a standalone company (including duplicative integration costs or similar duplicate or increased costs in respect of any transition services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91" w:name="page92"/>
    <w:bookmarkEnd w:id="91"/>
    <w:p>
      <w:pPr>
        <w:ind w:right="1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and/or (2) in connection with any public offering (whether or not consummated), (C) the amount of any Charge that is actually reimbursed or reimbursable by third parties pursuant to indemnification or reimbursement provisions or similar agreements or insurance (it being understood that if the amount received in cash under any such agreement in any period exceeds the amount of expense paid during such period, any excess amount received may be carried forward and applied against any expense in any future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reimbursable Charge that is added back in reliance on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such relevant Person in good faith expects to receive reimbursement for such Charge within the next four Fiscal Quarters (with a deduction in the applicable future period for any amount so added back to the extent not so reimbursed within the next four Fiscal Quarters) and/or (D) Public Company Costs;</w:t>
      </w:r>
    </w:p>
    <w:p>
      <w:pPr>
        <w:spacing w:after="0" w:line="81" w:lineRule="exact"/>
        <w:rPr>
          <w:sz w:val="20"/>
          <w:szCs w:val="20"/>
          <w:color w:val="auto"/>
        </w:rPr>
      </w:pPr>
    </w:p>
    <w:p>
      <w:pPr>
        <w:ind w:right="100" w:firstLine="419"/>
        <w:spacing w:after="0" w:line="261" w:lineRule="auto"/>
        <w:tabs>
          <w:tab w:leader="none" w:pos="67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incurred or accrued in connection with any single or one-time event (as determined in good faith by such Person), including in connection with (A) the Transactions and/or any acquisition consummated after the Signing Date (including legal, accounting and other professional fees and expenses incurred in connection with acquisitions and other Investments made prior to the Closing Date), (B) the closing, consolidation or reconfiguration of any facility during such period or (C) one-time consulting costs;</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4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(including any Charge relating to any tax restructuring); Charges attributable to any carveout; integration, implementation and/or transition Charges; retention, recruiting, training, relocation, reallocation, signing or completion Charges or bonus; one time compensation Charges; stock option and other equity-based compensation expenses and the amount of payments made to option holders in connection with, or as a result of, any distribution being made to shareholders; severance Charges; one time systems establishment Charges; any system design and implementation Charges; any Charges relating to any entry into new markets and contracts (including, without limitation, any renewals, extensions or other modifications thereof) or new product introductions or exiting a market, contract or product; Charges relating to any strategic initiative or contract; Charges associated with office and facility openings, pre-openings, closings, expansions and consolidations (including but not limited to termination costs, moving costs and legal costs); lease run-off Charges; expansion and/or relocation Charges; Charges in connection with new operations; Charges in connection with unused warehouse space; corporate development Charges; software and other intellectual property development Charges; project start-up Charges; Charges relating to rights fee arrangements (including any early terminations thereof); consulting Charges; Charges relating to rights fee arrangements (including any early terminations thereof); Charges associated with any modification or curtailment to any pension and post-retirement employee benefit plan (including any settlement of pension liabilities); Charges attributable to the undertaking and/or implementation of new initiatives, business optimization activities, cost savings initiatives (including Cost Savings Initiatives), cost rationalization programs, operating expense reductions, synergies and/or similar initiatives or programs (including, without limitation, in connection with: any inventory and/or equipment optimization program and/or any curtailment; any reconstruction, decommissioning, recommissioning or reconfiguration of fixed assets for alternative uses; and any implementation of one-time operational and reporting systems and technology initiatives (including any Charges relating to the one-time implementation of enhanced accounting or IT functions)); employee ramp-up Charges; Charges related to temporary decreases in work volume; Charges related to underutilized personnel (including duplicative personnel); Charges related to customer disputes, distribution networks or sales channels;</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560"/>
          </w:cols>
          <w:pgMar w:left="880" w:top="270" w:right="459" w:bottom="1440" w:gutter="0" w:footer="0" w:header="0"/>
        </w:sectPr>
      </w:pPr>
    </w:p>
    <w:bookmarkStart w:id="92" w:name="page93"/>
    <w:bookmarkEnd w:id="92"/>
    <w:p>
      <w:pPr>
        <w:ind w:left="440" w:right="520" w:firstLine="419"/>
        <w:spacing w:after="0" w:line="261" w:lineRule="auto"/>
        <w:tabs>
          <w:tab w:leader="none" w:pos="109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non-cash compensation Charges and/or any other non-cash Charges arising from the granting of any stock, stock option or similar arrangement (including any profits interest or phantom stock), the granting of any restricted stock, stock appreciation right and/or similar arrangement (including any repricing, amendment, modification, substitution or change of any such stock option, restricted stock, stock appreciation right, profits interest, phantom stock or similar arrangement or the vesting of any warrant); and</w:t>
      </w:r>
    </w:p>
    <w:p>
      <w:pPr>
        <w:spacing w:after="0" w:line="71" w:lineRule="exact"/>
        <w:rPr>
          <w:rFonts w:ascii="Times New Roman" w:cs="Times New Roman" w:eastAsia="Times New Roman" w:hAnsi="Times New Roman"/>
          <w:sz w:val="18"/>
          <w:szCs w:val="18"/>
          <w:color w:val="auto"/>
        </w:rPr>
      </w:pPr>
    </w:p>
    <w:p>
      <w:pPr>
        <w:ind w:left="440" w:right="600" w:firstLine="419"/>
        <w:spacing w:after="0" w:line="282" w:lineRule="auto"/>
        <w:tabs>
          <w:tab w:leader="none" w:pos="107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amount would otherwise increase Consolidated Net Income, Taxes paid (including pursuant to any Tax sharing arrangement) in cash (including, to the extent paid in cash, Taxes arising out of any tax examination).</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Consolidated Net Income will include the proceeds of business interruption insurance in an amount representing the earnings for the applicable period that such proceeds are intended to replace (whether or not received so long as the Borrower in good faith expects to receive such proceeds within the next four Fiscal Quarters (with a deduction in the applicable future period for any amount so added back to the extent not so received within the next four Fiscal Quarters)).</w:t>
      </w:r>
    </w:p>
    <w:p>
      <w:pPr>
        <w:spacing w:after="0" w:line="179"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Secured Debt” shall be calculated after applying or netting (as applicable) the Netted Amounts.</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to any Person, at any date, all amounts that would, in conformity with GAAP, be set forth opposite the caption “total assets” (or any like caption) on a consolidated balance sheet of the applicable Person at such date.</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Indebtedness of such Person represented by notes, bonds and similar instruments), Finance Leases and purchase money Indebtedness (but excluding in each case, for the avoidance of doubt, undrawn letters of credit), in each case as reflected on a balance sheet of such Person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Debt”, “Consolidated First Lien Debt” and “Consolidated Secured Debt” shall in each case (but without duplication) be calculated (for all purposes hereunder, including as a component of the definitions of First Lien Leverage Ratio, Secured Leverage Ratio and Total Leverage Ratio, and any applications of such definitions) (i) net of the Unrestricted Cash Amount, (ii) to exclude any obligation, liability or indebtedness of such Person if, upon or after issuance thereof or upon or prior to the maturity thereof, such Person holds, or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(iii) to exclude any obligation, liability or indebtedness of such Person to the extent that, upon or after the issuance thereof, such obligation, liability or indebtedness is secured by the cash proceeds thereof and/or other amounts provided to, by or on behalf of such Person pursuant to an escrow or similar arrangement, and for so long as such obligation, liability or indebtedness is so secured, such cash proceeds and other amounts are not included in the calculation of the Unrestricted Cash Amount, (iv) to exclude obligations under any Derivative Transaction, any Qualified Receivables Facility, or under any Indebtedness that is non-recourse to such Person and its Restricted Subsidiaries and (v) to exclude obligations under any Non-Finance Lease Obligation (items (i) through (v) of this proviso, the “</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xml:space="preserve">”). For the avoidance of doubt, Consolidated Total Debt shall be calculated in accordance with GAAP, pursuant to the terms of </w:t>
      </w:r>
      <w:r>
        <w:rPr>
          <w:rFonts w:ascii="Times New Roman" w:cs="Times New Roman" w:eastAsia="Times New Roman" w:hAnsi="Times New Roman"/>
          <w:sz w:val="18"/>
          <w:szCs w:val="18"/>
          <w:u w:val="single" w:color="auto"/>
          <w:color w:val="auto"/>
        </w:rPr>
        <w:t>Section 1.04(a)(i)</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93" w:name="page94"/>
    <w:bookmarkEnd w:id="9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means, as at any date of determination, the excess of Current Assets over Current Liabilities.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 Adjustment</w:t>
      </w:r>
      <w:r>
        <w:rPr>
          <w:rFonts w:ascii="Times New Roman" w:cs="Times New Roman" w:eastAsia="Times New Roman" w:hAnsi="Times New Roman"/>
          <w:sz w:val="18"/>
          <w:szCs w:val="18"/>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Hedge Agreement and (d) the application of purchase or recapitalization accounting.</w:t>
      </w:r>
    </w:p>
    <w:p>
      <w:pPr>
        <w:spacing w:after="0" w:line="183"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have meanings correlative thereto.</w:t>
      </w:r>
    </w:p>
    <w:p>
      <w:pPr>
        <w:spacing w:after="0" w:line="13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Indebtedness of the Borrower or any Restricted Subsidiary (which may be guaranteed by the Guarantors or any Restricted Subsidiary) permitted to be incurred hereunder that is either (a) convertible into or exchangeable for Capital Stock of the Borrower (and cash in lieu of fractional shares) or cash (in an amount determined by reference to the price of such Capital Stock or a market measure of such Capital Stock), or a combination thereof or (b) sold as units with call options, warrants or rights to purchase (or substantially equivalent derivative transactions) that are exercisable for Qualified Capital Stock of the Borrower or cash (in an amount determined by reference to the price of such Qualified Capital Stock).</w:t>
      </w:r>
    </w:p>
    <w:p>
      <w:pPr>
        <w:spacing w:after="0" w:line="182"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w:t>
      </w:r>
      <w:r>
        <w:rPr>
          <w:rFonts w:ascii="Times New Roman" w:cs="Times New Roman" w:eastAsia="Times New Roman" w:hAnsi="Times New Roman"/>
          <w:sz w:val="18"/>
          <w:szCs w:val="18"/>
          <w:color w:val="auto"/>
        </w:rPr>
        <w:t>” means all copyrights, rights and interests in copyrights, works protectable by copyright, copyright registrations and copyright applications.</w:t>
      </w:r>
    </w:p>
    <w:p>
      <w:pPr>
        <w:spacing w:after="0" w:line="155"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 Borrowings</w:t>
      </w:r>
      <w:r>
        <w:rPr>
          <w:rFonts w:ascii="Times New Roman" w:cs="Times New Roman" w:eastAsia="Times New Roman" w:hAnsi="Times New Roman"/>
          <w:sz w:val="18"/>
          <w:szCs w:val="18"/>
          <w:color w:val="auto"/>
        </w:rPr>
        <w:t>” means Term CORRA Borrowings and Daily Simple CORRA Borrowings.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225" w:lineRule="exact"/>
        <w:rPr>
          <w:sz w:val="20"/>
          <w:szCs w:val="20"/>
          <w:color w:val="auto"/>
        </w:rPr>
      </w:pPr>
    </w:p>
    <w:p>
      <w:pPr>
        <w:ind w:right="4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delivered by a Loan Party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a similar agreement, in form and substance reasonably acceptable to the Administrative Agent, pursuant to which any Loan Party becomes a Guarantor hereunder. Such Counterpart Agreement may, if reasonably requested by the Borrower, include limitations on guarantees applicable to such Restricted Subsidiary and required or advisable under applicable Requirements of Law.</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20"/>
          </w:cols>
          <w:pgMar w:left="440" w:top="266" w:right="539" w:bottom="1440" w:gutter="0" w:footer="0" w:header="0"/>
        </w:sectPr>
      </w:pPr>
    </w:p>
    <w:bookmarkStart w:id="94" w:name="page95"/>
    <w:bookmarkEnd w:id="9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each of (i) the making of a Revolving Loan or Swingline Loan or (ii) the issuance, amendment, modification, renewal or extension of any Letter of Credit (other than any such amendment, modification, renewal or extension that does not increase the Stated Amount of the relevant Letter of Credit).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the Revolving Facility and the Term Facility.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Right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at any date,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assets held for sale or pension assets).</w:t>
      </w:r>
    </w:p>
    <w:p>
      <w:pPr>
        <w:spacing w:after="0" w:line="176"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at any date, all liabilities of the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(vii) accruals relating to restructuring reserves, (viii) liabilities in respect of funds of third parties on deposit with the Borrower and/or any Restricted Subsidiary,</w:t>
      </w:r>
    </w:p>
    <w:p>
      <w:pPr>
        <w:spacing w:after="0" w:line="3" w:lineRule="exact"/>
        <w:rPr>
          <w:sz w:val="20"/>
          <w:szCs w:val="20"/>
          <w:color w:val="auto"/>
        </w:rPr>
      </w:pPr>
    </w:p>
    <w:p>
      <w:pPr>
        <w:ind w:left="304" w:hanging="304"/>
        <w:spacing w:after="0"/>
        <w:tabs>
          <w:tab w:leader="none" w:pos="30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any Finance Lease and the current portion of any Non-Finance Lease Obligation that is otherwise required to be capitalized,</w:t>
      </w:r>
    </w:p>
    <w:p>
      <w:pPr>
        <w:spacing w:after="0" w:line="9"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recorded in connection with stock based awards, partnership interest based awards, awards of profits interests, deferred compensation awards and similar initiative based compensation awards or arrangements, (xi) any accrued professional liability risks and/or any amounts relating to litigations, judgments and/or settlements, (xii) the current portion of any current or deferred pension plan liabilities and (xiii) the current portion of any other long term liability for borrowed money.</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 Borrowing</w:t>
      </w:r>
      <w:r>
        <w:rPr>
          <w:rFonts w:ascii="Times New Roman" w:cs="Times New Roman" w:eastAsia="Times New Roman" w:hAnsi="Times New Roman"/>
          <w:sz w:val="18"/>
          <w:szCs w:val="18"/>
          <w:color w:val="auto"/>
        </w:rPr>
        <w:t>” means a Borrowing comprised of Daily Simple CORRA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bears interest at a rate based on Daily Simple CORRA.</w:t>
      </w:r>
    </w:p>
    <w:p>
      <w:pPr>
        <w:spacing w:after="0" w:line="225" w:lineRule="exact"/>
        <w:rPr>
          <w:sz w:val="20"/>
          <w:szCs w:val="20"/>
          <w:color w:val="auto"/>
        </w:rPr>
      </w:pPr>
    </w:p>
    <w:p>
      <w:pPr>
        <w:ind w:left="4" w:right="2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Simple CORRA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color w:val="auto"/>
        </w:rPr>
        <w:t>CORRA Rate Day</w:t>
      </w:r>
      <w:r>
        <w:rPr>
          <w:rFonts w:ascii="Times New Roman" w:cs="Times New Roman" w:eastAsia="Times New Roman" w:hAnsi="Times New Roman"/>
          <w:sz w:val="17"/>
          <w:szCs w:val="17"/>
          <w:color w:val="auto"/>
        </w:rPr>
        <w:t>”), a rate per annum equal to CORRA for the day (such day “</w:t>
      </w:r>
      <w:r>
        <w:rPr>
          <w:rFonts w:ascii="Times New Roman" w:cs="Times New Roman" w:eastAsia="Times New Roman" w:hAnsi="Times New Roman"/>
          <w:sz w:val="17"/>
          <w:szCs w:val="17"/>
          <w:b w:val="1"/>
          <w:bCs w:val="1"/>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Determination Date</w:t>
      </w:r>
      <w:r>
        <w:rPr>
          <w:rFonts w:ascii="Times New Roman" w:cs="Times New Roman" w:eastAsia="Times New Roman" w:hAnsi="Times New Roman"/>
          <w:sz w:val="17"/>
          <w:szCs w:val="17"/>
          <w:color w:val="auto"/>
        </w:rPr>
        <w:t>”) that is five (5) RFR Business Days prior to (i) if such CORRA Rate Day is an RFR Business Day, such CORRA Rate Day or</w:t>
      </w:r>
    </w:p>
    <w:p>
      <w:pPr>
        <w:spacing w:after="0" w:line="1" w:lineRule="exact"/>
        <w:rPr>
          <w:sz w:val="20"/>
          <w:szCs w:val="20"/>
          <w:color w:val="auto"/>
        </w:rPr>
      </w:pPr>
    </w:p>
    <w:p>
      <w:pPr>
        <w:ind w:left="4" w:right="40" w:hanging="4"/>
        <w:spacing w:after="0" w:line="253" w:lineRule="auto"/>
        <w:tabs>
          <w:tab w:leader="none" w:pos="26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CORRA Rate Day is not an RFR Business Day, the RFR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4"/>
          </w:cols>
          <w:pgMar w:left="436" w:top="266" w:right="479" w:bottom="1440" w:gutter="0" w:footer="0" w:header="0"/>
        </w:sectPr>
      </w:pPr>
    </w:p>
    <w:bookmarkStart w:id="95" w:name="page96"/>
    <w:bookmarkEnd w:id="95"/>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 If Daily Simple CORRA shall ever be less than zero, then Daily Simple CORRA shall be deemed to be zero.</w:t>
      </w:r>
    </w:p>
    <w:p>
      <w:pPr>
        <w:spacing w:after="0" w:line="172"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U.S., and all other liquidation, conservatorship, bankruptcy, general assignment for the benefit of creditors, moratorium, rearrangement, receivership, insolvency, statutory management administration, reorganization, corporate arrangement or restructuring or similar debtor relief laws of the U.S. or any other applicable jurisdiction from time to time in effect and affecting the rights of creditors generally.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become an Event of Default.</w:t>
      </w:r>
    </w:p>
    <w:p>
      <w:pPr>
        <w:spacing w:after="0" w:line="225"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Defaulting Lender</w:t>
      </w:r>
      <w:r>
        <w:rPr>
          <w:rFonts w:ascii="Times New Roman" w:cs="Times New Roman" w:eastAsia="Times New Roman" w:hAnsi="Times New Roman"/>
          <w:sz w:val="17"/>
          <w:szCs w:val="17"/>
          <w:color w:val="auto"/>
        </w:rPr>
        <w:t xml:space="preserve">” means any Lender that has (a) defaulted in (or is otherwise unable to perform) its obligations under this Agreement, including without limitation, to make a Loan within one Business Day of the date required to be made by it hereunder or to fund its participation in a Letter of Credit or Swingline Loan required to be funded by it hereunder within two Business Days of the date such obligation arose or such Loan, Letter of Credit or Swingline Loan was required to be made or funded, (b) notified the Administrative Agent, any Issuing Bank or the Swingline Lender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(unless such written notice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failed, within two Business Days after the request of the Administrative Agent or the Borrower, to confirm in writing that it will comply with the terms of this Agreement relating to its obligations to fund prospective Loans and participations in then outstanding Letters of Credit and Swingline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Lender shall cease to be a Defaulting Lender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(e) become (or any parent company thereof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the Borrower and the Administrative Agent shall each have determined that such Lender intends, and has all approvals required to enable it (in form and substance satisfactory to the Borrower and the Administrative Agent), to continue to perform its obligations as a Lender hereunder or (f) become (or any parent company thereof has become) the subject of a Bail-In 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be deemed to be a Defaulting Lender solely by virtue of the ownership or acquisition of any Capital Stock in such Lender or its parent by any Governmental Authority;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96" w:name="page97"/>
    <w:bookmarkEnd w:id="9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Delaware Divided LLC</w:t>
      </w:r>
      <w:r>
        <w:rPr>
          <w:rFonts w:ascii="Times New Roman" w:cs="Times New Roman" w:eastAsia="Times New Roman" w:hAnsi="Times New Roman"/>
          <w:sz w:val="18"/>
          <w:szCs w:val="18"/>
          <w:color w:val="auto"/>
        </w:rPr>
        <w:t>” means any Delaware LLC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55" w:lineRule="exact"/>
        <w:rPr>
          <w:sz w:val="20"/>
          <w:szCs w:val="20"/>
          <w:color w:val="auto"/>
        </w:rPr>
      </w:pPr>
    </w:p>
    <w:p>
      <w:pPr>
        <w:ind w:right="5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excluding, for the avoidance of doubt, any investment property (within the meaning of the UCC) or any account evidenced by an instrument or negotiable certificate of deposit (within the meaning of the UCC).</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phantom stock or similar plan providing for payments only on account of services provided by current or former directors, officers, employees, members of management, managers or consultants of the Borrower or its subsidiaries shall constitute a Derivative Transaction and (ii) no Packaged Right, Permitted Bond Hedge Transaction or Permitted Warrant Transaction shall, in each case, constitute a Derivative Transaction.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means the fair market value (as determined by the Borrower in good faith) of non-Cash consideration received by the Borrower or any Restricted Subsidiary in connection with any Disposition pursuant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is designated as Designated Non-Cash Consideration (which amount will be reduced by the amount of Cash or Cash Equivalents received in connection with a subsequent sale or conversion of such Designated Non-Cash Consideration to Cash or Cash Equivalents).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Dispose</w:t>
      </w:r>
      <w:r>
        <w:rPr>
          <w:rFonts w:ascii="Times New Roman" w:cs="Times New Roman" w:eastAsia="Times New Roman" w:hAnsi="Times New Roman"/>
          <w:sz w:val="17"/>
          <w:szCs w:val="17"/>
          <w:color w:val="auto"/>
        </w:rPr>
        <w:t xml:space="preserve">” means the sale, lease, sublease or other disposition of any property of any Person, including any disposition of property to a Delaware Divided LLC pursuant to a Delaware LLC Division. The fair market value of any assets or other property Disposed of shall be determined by the Borrower in good faith and shall be measured at the time provided for in </w:t>
      </w:r>
      <w:r>
        <w:rPr>
          <w:rFonts w:ascii="Times New Roman" w:cs="Times New Roman" w:eastAsia="Times New Roman" w:hAnsi="Times New Roman"/>
          <w:sz w:val="17"/>
          <w:szCs w:val="17"/>
          <w:u w:val="single" w:color="auto"/>
          <w:color w:val="auto"/>
        </w:rPr>
        <w:t>Section 1.04(e)</w:t>
      </w:r>
      <w:r>
        <w:rPr>
          <w:rFonts w:ascii="Times New Roman" w:cs="Times New Roman" w:eastAsia="Times New Roman" w:hAnsi="Times New Roman"/>
          <w:sz w:val="17"/>
          <w:szCs w:val="17"/>
          <w:color w:val="auto"/>
        </w:rPr>
        <w:t>. Notwithstanding any other provision of this Agreement, no license (or sub-license) of property or assets of the Borrower or a Restricted Subsidiary to another Person shall constitute a Disposition.</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66" w:right="459" w:bottom="1440" w:gutter="0" w:footer="0" w:header="0"/>
        </w:sectPr>
      </w:pPr>
    </w:p>
    <w:bookmarkStart w:id="97" w:name="page98"/>
    <w:bookmarkEnd w:id="97"/>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Disqualified Capital Stock</w:t>
      </w:r>
      <w:r>
        <w:rPr>
          <w:rFonts w:ascii="Times New Roman" w:cs="Times New Roman" w:eastAsia="Times New Roman" w:hAnsi="Times New Roman"/>
          <w:sz w:val="17"/>
          <w:szCs w:val="17"/>
          <w:color w:val="auto"/>
        </w:rPr>
        <w:t>”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prior to 91 days following the Latest Maturity Date at the time such Capital Stock is issued (it being understood that if any such redemption is in part, only such part coming into effect prior to 91 days following the Latest Maturity Date at the time such Capital Stock is issued shall constitute Disqualified Capital Stock), (b) is or becomes convertible into or exchangeable (unless at the sole option of the issuer thereof) for (i) debt securities or (ii) any Capital Stock that would constitute Disqualified Capital Stock, in each case at any time prior to 91 days following the Latest Maturity Date at the time such Capital Stock is issued (it being understood that if any such conversion or exchange is in part, only such part coming into effect prior to 91 days following the Latest Maturity Date at the time such Capital Stock is issued shall constitute Disqualified Capital Stock),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such Latest Maturity Date at the time such Capital Stock is issued shall constitute Disqualified Capital Stock) or</w:t>
      </w:r>
    </w:p>
    <w:p>
      <w:pPr>
        <w:spacing w:after="0" w:line="3" w:lineRule="exact"/>
        <w:rPr>
          <w:sz w:val="20"/>
          <w:szCs w:val="20"/>
          <w:color w:val="auto"/>
        </w:rPr>
      </w:pPr>
    </w:p>
    <w:p>
      <w:pPr>
        <w:ind w:left="4" w:right="40" w:hanging="4"/>
        <w:spacing w:after="0" w:line="251" w:lineRule="auto"/>
        <w:tabs>
          <w:tab w:leader="none" w:pos="25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requires the scheduled payments of dividends in Cash prior to 91 days following the Latest Maturity Date at the time such Capital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public offering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 The amount of Disqualified Capital Stock deemed to be outstanding at any time for purposes of this Agreement shall be the maximum amount that the Borrower and its Restricted Subsidiaries may become obligated to pay upon the maturity of, or pursuant to any mandatory redemption provisions of, such Disqualified Capital Stock, exclusive of accrued dividends.</w:t>
      </w:r>
    </w:p>
    <w:p>
      <w:pPr>
        <w:spacing w:after="0" w:line="19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such Capital Stock shall not constitute Disqualified Capital Stock solely because it may be required to be repurchased by the issuer thereof in order to satisfy applicable statutory or regulatory obligations,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and (C) the accrual of interest or dividends, the accretion of accreted value, the accretion or amortization of original issue discount and the payment of interest or dividends in the form of additional Disqualified Capital Stock of the same class shall not be deemed to be an issuance of Disqualified Capital Stock.</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Institution</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4" w:right="40" w:firstLine="419"/>
        <w:spacing w:after="0" w:line="282" w:lineRule="auto"/>
        <w:tabs>
          <w:tab w:leader="none" w:pos="111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Person identified as such in writing to the “left” lead Arranger on or prior to the Signing Date by way of email from the Borrower (or its attorneys on such date), (ii) any Person identified as such by the Borrower in writing after the Signing Date (and reasonably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4"/>
          </w:cols>
          <w:pgMar w:left="436" w:top="266" w:right="459" w:bottom="1440" w:gutter="0" w:footer="0" w:header="0"/>
        </w:sectPr>
      </w:pPr>
    </w:p>
    <w:bookmarkStart w:id="98" w:name="page99"/>
    <w:bookmarkEnd w:id="98"/>
    <w:p>
      <w:pPr>
        <w:ind w:left="440"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acceptable) to the “left” lead Arranger (or if after the Signing Date, to the Administrative Agent), (iii) any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clearly identifiable as an Affiliate of such Person solely on the basis of the similarity of its name to the name of a Disqualified Institution and (iv) any other Affiliate of any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that is identified by the Borrower in a written notice to the “left” lead Arranger (if prior to the Signing Date) or the Administrative Agent (if after the Signing Date) (other than Bona Fide Debt Funds other than such Bona Fide Debt Funds excluded pursuant to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of this paragraph) (each such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firstLine="419"/>
        <w:spacing w:after="0" w:line="254"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that is or becomes a Company Competitor and/or any Affiliate of any Company Competitor (other than any Affiliate that is a Bona Fide Debt Fund) and is identified by the Borrower (or its attorneys) as such in writing to the “left” lead Arranger (if prior to the Signing Date) or the Administrative Agent (if after the Signing Date), (ii) any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(other than any Affiliate that is a Bona Fide Debt Fund) that is clearly identifiable as an Affiliate of such Person solely on the basis of the similarity of its name to the name of a Disqualified Institution and (iii) any other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identified by the Borrower in a written notice to the “left” lead Arranger (if prior to the Signing Date) or to the Administrative Agent (if after the Signing Date) (it being understood and agreed that no Bona Fide Debt Fund may be designated as a Disqualified Institution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but such Bona Fide Debt Fund may be designated as a Disqualified Lending Institution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w:t>
      </w:r>
    </w:p>
    <w:p>
      <w:pPr>
        <w:spacing w:after="0" w:line="8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that (i) has made an incorrect representation or warranty or deemed representation or warranty with respect to not being a Net Short Lender as provided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or (ii) informs the Administrative Agent that it is a Net Short Lender;</w:t>
      </w:r>
    </w:p>
    <w:p>
      <w:pPr>
        <w:spacing w:after="0" w:line="16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it being understood and agreed that (w) changes or additions to the list of Disqualified Institutions shall be delivered at any time and from time to time via email to JPMDQ_Contact@jpmorgan.com (x) any additions to the list of Disqualified Institutions provided in writing pursuant to the above shall not become effective until three Business Days following the submission of such addition in writing to the Administrative Agent, (y) no written notice delivered pursuant to </w:t>
      </w:r>
      <w:r>
        <w:rPr>
          <w:rFonts w:ascii="Times New Roman" w:cs="Times New Roman" w:eastAsia="Times New Roman" w:hAnsi="Times New Roman"/>
          <w:sz w:val="18"/>
          <w:szCs w:val="18"/>
          <w:u w:val="single" w:color="auto"/>
          <w:color w:val="auto"/>
        </w:rPr>
        <w:t>clauses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shall apply retroactively to disqualify any Person that has previously acquired an assignment, participation interest or executed a trade that has not settled in any Loans if such Person was not a Disqualified Institution at the time of acquisition of such assignment, granting of such participation interest or execution of such trade. Notwithstanding the foregoing, the Borrower may, in respect of any assignment or participation, consent in writing to such assignment or participation being an assignment or participation to a Person that would otherwise be a Disqualified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writing includes a statement that the Borrower is aware such Person would otherwise be a Disqualified Institution), in which case such Person shall not be a Disqualified Institution solely for purposes of such assignment or participation.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 has the meaning assigned to such term in the definition of “Disqualified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distribution of the Borrower’s shares of common stock owned by the Parent to the holders of the Parent’s shares of common stock as of the Record Date (as such term is used in the Separation and Distribution Agreement), as may be further described or referred to in, or contemplated by, the Separation Agreements.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99" w:name="page100"/>
    <w:bookmarkEnd w:id="99"/>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Dutch Auction</w:t>
      </w:r>
      <w:r>
        <w:rPr>
          <w:rFonts w:ascii="Times New Roman" w:cs="Times New Roman" w:eastAsia="Times New Roman" w:hAnsi="Times New Roman"/>
          <w:sz w:val="18"/>
          <w:szCs w:val="18"/>
          <w:color w:val="auto"/>
        </w:rPr>
        <w:t>” means an auction (an “</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conducted by any Affiliated Lender (any such Person, the “</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xml:space="preserve">”) in order to purchase Initial Term Loans (or any Additional Term Loans), substantially in accordance with the following procedures (as may be modified by such Affiliated Lender and the applicable “auction agent” in connection with a particular Auction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Auction Party shall initiate any Auction unless (I) at least five Business Days have passed since the consummation of the most recent purchase of Term Loans pursuant to an Auction conducted hereunder; or (II) at least three Business Days have passed since the date of the last Failed Auction (or equivalent) which was withdrawn:</w:t>
      </w:r>
    </w:p>
    <w:p>
      <w:pPr>
        <w:spacing w:after="0" w:line="78" w:lineRule="exact"/>
        <w:rPr>
          <w:sz w:val="20"/>
          <w:szCs w:val="20"/>
          <w:color w:val="auto"/>
        </w:rPr>
      </w:pPr>
    </w:p>
    <w:p>
      <w:pPr>
        <w:ind w:left="440" w:right="80" w:firstLine="419"/>
        <w:spacing w:after="0" w:line="253" w:lineRule="auto"/>
        <w:tabs>
          <w:tab w:leader="none" w:pos="1107"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In connection with any Auction, the Auction Party will provide notification to the Auction Agent (for distribution to the relevant Lenders) of the Term Loans that will be the subject of the Auction (an “</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Each Auction Notice shall be in a form reasonably acceptable to the Auction Agent and shall (i) specify the maximum aggregate principal amount of the Term Loans subject to the Auction, in a minimum amount of $5,000,000 and whole increments of $1,000,000 in excess thereof (or, in any case, such lesser amount of such Term Loans then outstanding or which is otherwise reasonably acceptable to the Auction Agent and the Administrative Agent, as applicable (if different from the Auction Agent)) (the “</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(ii) specify the discount to par (which may be a range (the “</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of percentages of the par principal amount of the Term Loans subject to such Auction), that represents the range of purchase prices that the Auction Party would be willing to accept in the Auction, (iii) be extended, at the sole discretion of the Auction Party, to (x) each Lender and/or (y) each Lender with respect to any Term Loan on an individual Class basis and (iv) remain outstanding through the Auction Response Date. The Auction Agent will promptly provide each appropriate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Reply Procedures</w:t>
      </w:r>
      <w:r>
        <w:rPr>
          <w:rFonts w:ascii="Times New Roman" w:cs="Times New Roman" w:eastAsia="Times New Roman" w:hAnsi="Times New Roman"/>
          <w:sz w:val="18"/>
          <w:szCs w:val="18"/>
          <w:color w:val="auto"/>
        </w:rPr>
        <w:t>. In connection with any Auction, each Lender holding the relevant Term Loans subject to such Auction may, in its sole discretion, participate in such Auction and may provide the Auction Agent with a notice of participation (the “</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which shall be in a form reasonably acceptable to the Auction Agent, and shall specify (i) a discount to par (that must be expressed as a price at which it is willing to sell all or any portion of such Term Loans) (the “</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which (when expressed as a percentage of the par principal amount of such Term Loans) must be within the Discount Range and (ii) a principal amount of such Term Loans, which must be in whole increments of $1,000,000 (or, in any case, such lesser amount of such Term Loans of such Lender then outstanding or which is otherwise reasonably acceptable to the Auction Agent) (the “</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xml:space="preserve">”). Lenders may only submit one Return Bid per Auction, but each Return Bid may contain up to three bids only one of which may result in a Qualifying Bid. In addition to the Return Bid, the participating Lender must execute and deliver, to be held in escrow by the Auction Agent, an Assignment and Assumption with the dollar amount of the Term Loans to be assigned to be left in blank, which amount shall be completed by the Auction Agent in accordance with the final determination of such Lender’s Qualifying Bid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Any Lender whose Return Bid is not received by the Auction Agent by the Auction Response Date shall be deemed to have declined to participate in the relevant Auction with respect to all of its Term Loans.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66" w:right="479" w:bottom="1440" w:gutter="0" w:footer="0" w:header="0"/>
        </w:sectPr>
      </w:pPr>
    </w:p>
    <w:bookmarkStart w:id="100" w:name="page101"/>
    <w:bookmarkEnd w:id="100"/>
    <w:p>
      <w:pPr>
        <w:ind w:left="4" w:right="60" w:firstLine="419"/>
        <w:spacing w:after="0" w:line="266" w:lineRule="auto"/>
        <w:tabs>
          <w:tab w:leader="none" w:pos="671"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Acceptance Procedures</w:t>
      </w:r>
      <w:r>
        <w:rPr>
          <w:rFonts w:ascii="Times New Roman" w:cs="Times New Roman" w:eastAsia="Times New Roman" w:hAnsi="Times New Roman"/>
          <w:sz w:val="17"/>
          <w:szCs w:val="17"/>
          <w:color w:val="auto"/>
        </w:rPr>
        <w:t>. Based on the Reply Prices and Reply Amounts received by the Auction Agent prior to the applicable Auction Response Date, the Auction Agent, in consultation with the Auction Party, will determine the applicable price (the “</w:t>
      </w:r>
      <w:r>
        <w:rPr>
          <w:rFonts w:ascii="Times New Roman" w:cs="Times New Roman" w:eastAsia="Times New Roman" w:hAnsi="Times New Roman"/>
          <w:sz w:val="17"/>
          <w:szCs w:val="17"/>
          <w:b w:val="1"/>
          <w:bCs w:val="1"/>
          <w:color w:val="auto"/>
        </w:rPr>
        <w:t>Applicable Price</w:t>
      </w:r>
      <w:r>
        <w:rPr>
          <w:rFonts w:ascii="Times New Roman" w:cs="Times New Roman" w:eastAsia="Times New Roman" w:hAnsi="Times New Roman"/>
          <w:sz w:val="17"/>
          <w:szCs w:val="17"/>
          <w:color w:val="auto"/>
        </w:rPr>
        <w:t xml:space="preserve">”) for the Auction, which will be the lowest Reply Price for which the Auction Party can complete the Auction at the Auction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the Reply Amounts are insufficient to allow the Auction Party to complete a purchase of the entire Auction Amount (any such Auction, a “</w:t>
      </w:r>
      <w:r>
        <w:rPr>
          <w:rFonts w:ascii="Times New Roman" w:cs="Times New Roman" w:eastAsia="Times New Roman" w:hAnsi="Times New Roman"/>
          <w:sz w:val="17"/>
          <w:szCs w:val="17"/>
          <w:b w:val="1"/>
          <w:bCs w:val="1"/>
          <w:color w:val="auto"/>
        </w:rPr>
        <w:t>Failed Auction</w:t>
      </w:r>
      <w:r>
        <w:rPr>
          <w:rFonts w:ascii="Times New Roman" w:cs="Times New Roman" w:eastAsia="Times New Roman" w:hAnsi="Times New Roman"/>
          <w:sz w:val="17"/>
          <w:szCs w:val="17"/>
          <w:color w:val="auto"/>
        </w:rPr>
        <w:t>”), the Auction Party shall either, at its election, (i) withdraw the Auction or (ii) complete the Auction at an Applicable Price equal to the highest Reply Price. The Auction Party shall purchase the relevant Term Loans (or the respective portions thereof) from each Lender with a Reply Price that is equal to or lower than the Applicable Price (“</w:t>
      </w:r>
      <w:r>
        <w:rPr>
          <w:rFonts w:ascii="Times New Roman" w:cs="Times New Roman" w:eastAsia="Times New Roman" w:hAnsi="Times New Roman"/>
          <w:sz w:val="17"/>
          <w:szCs w:val="17"/>
          <w:b w:val="1"/>
          <w:bCs w:val="1"/>
          <w:color w:val="auto"/>
        </w:rPr>
        <w:t>Qualifying Bids</w:t>
      </w:r>
      <w:r>
        <w:rPr>
          <w:rFonts w:ascii="Times New Roman" w:cs="Times New Roman" w:eastAsia="Times New Roman" w:hAnsi="Times New Roman"/>
          <w:sz w:val="17"/>
          <w:szCs w:val="17"/>
          <w:color w:val="auto"/>
        </w:rPr>
        <w:t xml:space="preserve">”) at the Applicable Price;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aggregate proceeds required to purchase all Term Loans subject to Qualifying Bids would exceed the Auction Amount for such Auction, the Auction Party shall purchase such Term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a Reply Price of $100 with a discount to par of 1.00%, when compared to an Applicable Price of $100 with a 2.00% discount to par, will not be deemed to be a Qualifying Bid, while, however, a Reply Price of $100 with a discount to par of 2.50% would be deemed to be a Qualifying Bid). The Auction Agent shall promptly, and in any case within five Business Days following the Auction Response Date with respect to an Auction, notify (I) the Borrower of the respective Lenders’ responses to such solicitation, the effective date of the purchase of Term Loans pursuant to such Auction, the Applicable Price, and the aggregate principal amount of the Term Loans and the tranches thereof to be purchased pursuant to such Auction, (II) each participating Lender of the effective date of the purchase of Term Loans pursuant to such Auction, the Applicable Price, and the aggregate principal amount and the tranches of Term Loans to be purchased at the Applicable Price on such date,</w:t>
      </w:r>
    </w:p>
    <w:p>
      <w:pPr>
        <w:spacing w:after="0" w:line="6" w:lineRule="exact"/>
        <w:rPr>
          <w:rFonts w:ascii="Times New Roman" w:cs="Times New Roman" w:eastAsia="Times New Roman" w:hAnsi="Times New Roman"/>
          <w:sz w:val="17"/>
          <w:szCs w:val="17"/>
          <w:color w:val="auto"/>
        </w:rPr>
      </w:pPr>
    </w:p>
    <w:p>
      <w:pPr>
        <w:ind w:left="4" w:hanging="4"/>
        <w:spacing w:after="0" w:line="253" w:lineRule="auto"/>
        <w:tabs>
          <w:tab w:leader="none" w:pos="348"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participating Lender of the aggregate principal amount and the tranches of the Term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Borrower and Lenders shall be conclusive and binding for all purposes absent manifest error.</w:t>
      </w:r>
    </w:p>
    <w:p>
      <w:pPr>
        <w:spacing w:after="0" w:line="80"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firstLine="408"/>
        <w:spacing w:after="0" w:line="266" w:lineRule="auto"/>
        <w:tabs>
          <w:tab w:leader="none" w:pos="1159"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initiated by an Auction Notice, the Auction Party may not withdraw an Auction other than a Failed Auction. Furthermore, in connection with any Auction, upon submission by a Lender of a Qualifying Bid, such Lender (each, a “</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will be obligated to sell the entirety or its allocable portion of the Reply Amount, as the case may be, at the Applicable Price.</w:t>
      </w:r>
    </w:p>
    <w:p>
      <w:pPr>
        <w:spacing w:after="0" w:line="67" w:lineRule="exact"/>
        <w:rPr>
          <w:rFonts w:ascii="Times New Roman" w:cs="Times New Roman" w:eastAsia="Times New Roman" w:hAnsi="Times New Roman"/>
          <w:sz w:val="18"/>
          <w:szCs w:val="18"/>
          <w:color w:val="auto"/>
        </w:rPr>
      </w:pPr>
    </w:p>
    <w:p>
      <w:pPr>
        <w:ind w:left="544" w:firstLine="408"/>
        <w:spacing w:after="0" w:line="266" w:lineRule="auto"/>
        <w:tabs>
          <w:tab w:leader="none" w:pos="1209"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expressly provided for herein, each purchase of Term Loans pursuant to an Auction shall be consummated pursuant to procedures consistent with the provisions in this definition, established by the Auction Agent acting in its reasonable discretion and as reasonably agreed by the Borrower.</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64"/>
          </w:cols>
          <w:pgMar w:left="876" w:top="270" w:right="459" w:bottom="1440" w:gutter="0" w:footer="0" w:header="0"/>
        </w:sectPr>
      </w:pPr>
    </w:p>
    <w:bookmarkStart w:id="101" w:name="page102"/>
    <w:bookmarkEnd w:id="101"/>
    <w:p>
      <w:pPr>
        <w:ind w:left="980" w:firstLine="408"/>
        <w:spacing w:after="0" w:line="266" w:lineRule="auto"/>
        <w:tabs>
          <w:tab w:leader="none" w:pos="169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connection with any Auction, the Borrower and the Lenders acknowledge and agree that the Auction Agent may require as a condition to any Auction, the payment of customary fees and expenses by the Auction Party in connection therewith as agreed between the Auction Party and the Auction Agent.</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Loan Document to the contrary, for purposes of this definition, each notice or other</w:t>
      </w:r>
    </w:p>
    <w:p>
      <w:pPr>
        <w:spacing w:after="0" w:line="27" w:lineRule="exact"/>
        <w:rPr>
          <w:rFonts w:ascii="Times New Roman" w:cs="Times New Roman" w:eastAsia="Times New Roman" w:hAnsi="Times New Roman"/>
          <w:sz w:val="18"/>
          <w:szCs w:val="18"/>
          <w:color w:val="auto"/>
        </w:rPr>
      </w:pPr>
    </w:p>
    <w:p>
      <w:pPr>
        <w:ind w:left="98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80" w:lineRule="exact"/>
        <w:rPr>
          <w:rFonts w:ascii="Times New Roman" w:cs="Times New Roman" w:eastAsia="Times New Roman" w:hAnsi="Times New Roman"/>
          <w:sz w:val="18"/>
          <w:szCs w:val="18"/>
          <w:color w:val="auto"/>
        </w:rPr>
      </w:pPr>
    </w:p>
    <w:p>
      <w:pPr>
        <w:ind w:left="980" w:right="140" w:firstLine="408"/>
        <w:spacing w:after="0" w:line="258" w:lineRule="auto"/>
        <w:tabs>
          <w:tab w:leader="none" w:pos="1636"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Lenders acknowledge and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Term Loans provided for in this definition as well as activities of the Auction Agent.</w:t>
      </w:r>
    </w:p>
    <w:p>
      <w:pPr>
        <w:spacing w:after="0" w:line="179"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Yield</w:t>
      </w:r>
      <w:r>
        <w:rPr>
          <w:rFonts w:ascii="Times New Roman" w:cs="Times New Roman" w:eastAsia="Times New Roman" w:hAnsi="Times New Roman"/>
          <w:sz w:val="18"/>
          <w:szCs w:val="18"/>
          <w:color w:val="auto"/>
        </w:rPr>
        <w:t xml:space="preserve">” means, as to any Indebtedness, the effective yield applicable thereto calculated by the Administrative Agent in consultation with the Borrower in a manner consistent with generally accepted financial practices, taking into account (a) interest rate margins (calculated without giving effect to any leverage-based step downs), (b) interest rate floors (subject to the proviso set forth below), (c) any amendment to the relevant interest rate margins and interest rate floors prior to the applicable date of determination and (d) original issue discount and upfront or similar fees actually paid in the primary syndication of such Indebtedness as on file with the Administrative Agent (based on an assumed four-year average life to maturity or lesser remaining average life to maturity), but excluding (i) any advisory, arrangement, commitment, consent, structuring, success, underwriting, ticking, unused line fees, amendment fees and/or any similar fees payable in connection therewith (regardless of whether any such fees are paid to or shared in whole or in part with any lender) and (ii) any other fee that is not paid directly by the Borrower generally to all relevant lenders ratably (or, if only one lender (or affiliated group of lenders) is providing such Indebtedness, are fees of the type not customarily shared with lenders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Indebtedness that includes a “floor”, that (A) to the extent that the Eurocurrency Rate (for an Interest Period of three months) or Alternate Base Rate (in each case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102" w:name="page103"/>
    <w:bookmarkEnd w:id="102"/>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without giving effect to any floor specified in the definitions thereof on the date on which the Effective Yield is being calculated) is less than such floor, the amount of such difference will be deemed added to the interest rate margin applicable to such Indebtedness for purposes of calculating the Effective Yield and (B) to the extent that the Eurocurrency Rate (for an Interest Period of three months) or Alternate Base Rate (in each case, without giving effect to any floor specified in the definitions thereof) is greater than such floor, the floor will be disregarded in calculating the Effective Yield.</w:t>
      </w:r>
    </w:p>
    <w:p>
      <w:pPr>
        <w:spacing w:after="0" w:line="176"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 any Lender, (b) any commercial bank, insurance company, finance company, financial institution, any fund that invests in loans or any other “accredited investor” (as defined in Regulation D of the Securities Act), (c) any Affiliate of any Lender, (d) any Approved Fund of any Lender or (e) to the extent permitted under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any Affiliated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“Eligible Assignee” shall not include (i) any natural person or any investment vehicle established primarily for the benefit of a natural person, (ii) any Disqualified Institution or Defaulting Lender or (iii) except as permitted under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the Borrower or any of its Affiliates.</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means any “employee benefit plan” as defined in Section 3(3) of ERISA (regardless of whether such plan is subject to ERISA) which is sponsored, maintained or contributed to by, or required to be contributed to by, the Borrower or any of its Restricted Subsidiaries.</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written investigation, notice, notice of violation, claim, action, suit, proceeding, demand, abatement order or other order, decree or directive (conditional or otherwise), by any Governmental Authority or any other Person, arising (a) pursuant to or in connection with any actual or alleged violation of any Environmental Law or (b) in connection with any actual or alleged Release or threat of Release of any Hazardous Materials.</w:t>
      </w:r>
    </w:p>
    <w:p>
      <w:pPr>
        <w:spacing w:after="0" w:line="176"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foreign or domestic, federal, state, provincial or local (or any subdivision thereof), statutes, ordinances, orders, decrees, rules, regulations, judgments, Governmental Authorizations, or any other applicable binding requirements of Governmental Authorities or the common law relating to (a) pollution or the protection of the environment or natural resources, occupational safety and health and industrial hygiene (to the extent relating to the exposure to hazardous materials) or other environmental matters or (b) any Hazardous Materials Activity or any exposure to any hazardous material.</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is (a) a member of a controlled group of corporations within the meaning of Section 414(b) of the Code with the Borrower or any of its Restricted Subsidiaries or (b) a member of a group of trades or businesses under common control within the meaning of Section 414(c) of the Code with the Borrower or any of its Restricted Subsidiaries or (c) for purposes of provisions relating to Section 302 of ERISA or Section 412 of the Code, treated as a “single employer” with the Borrower or any of its Restricted Subsidiaries under Section 414(m) or (o) of the Code.</w:t>
      </w:r>
    </w:p>
    <w:p>
      <w:pPr>
        <w:spacing w:after="0" w:line="17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within the meaning of Section 4043 of ERISA and the regulations issued thereunder with respect to any Pension Plan (excluding those for which the 30-day notice period has been waived), (b) the failure of any Pension Plan to satisfy a minimum funding standard under Section 412 of the Code, (c) the filing of any request for, or receipt of, a minimum funding waiver under Section 412 of the Code with respect to any Pension Plan, (d) the provision by the administrator of any Pension Plan pursuant to Section 4041(a)(2) or Section 302 of ERISA of a notice of intent to terminate such plan in a distress termination described in Section 4041(c) of ERISA, (e) the withdrawal by the Borrower, any of its Restricted Subsidiaries or any ERISA Affiliate from any Pension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103" w:name="page104"/>
    <w:bookmarkEnd w:id="103"/>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 with two or more contributing sponsors or the termination of any such Pension Plan resulting in liability to the Borrower or any of its Restricted Subsidiaries pursuant to Section 4063 or 4064 of ERISA, (f) the institution by the PBGC of proceedings to terminate any Pension Plan, (g) the imposition of liability on the Borrower, any of its Restricted Subsidiaries or any ERISA Affiliate pursuant to Section 4062(e) or 4069 of ERISA or by reason of the application of Section 4212(c) of ERISA, (h) a complete or partial withdrawal (within the meaning of Sections 4203 and 4205 of ERISA) of the Borrower, any of its Restricted Subsidiaries or any ERISA Affiliate from any Multiemployer Plan if there is any potential liability under Title IV of ERISA for Borrower or any of its Restricted Subsidiaries, (i) the receipt by the Borrower, any of its Restricted Subsidiaries or any ERISA Affiliate of notice from any Multiemployer Plan that it is insolvent pursuant to Section 4245 of ERISA, or that it intends to terminate or has terminated under Section 4041A or 4042 of ERISA or (j) the incurrence of liability or the imposition of a Lien pursuant to Section 436 or 430(k) of the Code or pursuant to Title IV of ERISA with respect to any Pension Plan.</w:t>
      </w:r>
    </w:p>
    <w:p>
      <w:pPr>
        <w:spacing w:after="0" w:line="184"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 w:right="2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on such date of determination. If such page or service ceases to be available, the Administrative Agent may specify another page or service displaying the relevant rate after consultation with the Borrower.</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single currency of the European Union as constituted by the Treaty on European Union.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Rate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 w:firstLine="436"/>
        <w:spacing w:after="0" w:line="282" w:lineRule="auto"/>
        <w:tabs>
          <w:tab w:leader="none" w:pos="65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as to any Eurocurrency Rate Loan denominated in Dollars, the Term SOFR with tenor equal to such Interest Period, plus the Applicable SOFR Adjustment for each Interest Period; and</w:t>
      </w:r>
    </w:p>
    <w:p>
      <w:pPr>
        <w:spacing w:after="0" w:line="161"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709"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as to any Eurocurrency Rate Loan denominated in Euros, the EURIBO Screen Rate, two TARGET Days prior to the commencement of such Interest Period;</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Initial Term Loans and Initial Revolving Loans, if any such rate determined pursuant to the preceding </w:t>
      </w:r>
      <w:r>
        <w:rPr>
          <w:rFonts w:ascii="Times New Roman" w:cs="Times New Roman" w:eastAsia="Times New Roman" w:hAnsi="Times New Roman"/>
          <w:sz w:val="18"/>
          <w:szCs w:val="18"/>
          <w:u w:val="single" w:color="auto"/>
          <w:color w:val="auto"/>
        </w:rPr>
        <w:t>clauses</w:t>
      </w:r>
    </w:p>
    <w:p>
      <w:pPr>
        <w:spacing w:after="0" w:line="27" w:lineRule="exact"/>
        <w:rPr>
          <w:sz w:val="20"/>
          <w:szCs w:val="20"/>
          <w:color w:val="auto"/>
        </w:rPr>
      </w:pPr>
    </w:p>
    <w:p>
      <w:pPr>
        <w:ind w:left="224" w:hanging="224"/>
        <w:spacing w:after="0"/>
        <w:tabs>
          <w:tab w:leader="none" w:pos="224" w:val="left"/>
        </w:tabs>
        <w:numPr>
          <w:ilvl w:val="0"/>
          <w:numId w:val="14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less than zero, the Eurocurrency Rate will be deemed to be zero.</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be as defined in each applicable Collateral Document.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104" w:name="page105"/>
    <w:bookmarkEnd w:id="10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shall mean certain property excluded from the Collateral, including:</w:t>
      </w:r>
    </w:p>
    <w:p>
      <w:pPr>
        <w:spacing w:after="0" w:line="121" w:lineRule="exact"/>
        <w:rPr>
          <w:sz w:val="20"/>
          <w:szCs w:val="20"/>
          <w:color w:val="auto"/>
        </w:rPr>
      </w:pPr>
    </w:p>
    <w:p>
      <w:pPr>
        <w:ind w:left="4" w:firstLine="419"/>
        <w:spacing w:after="0" w:line="267" w:lineRule="auto"/>
        <w:tabs>
          <w:tab w:leader="none" w:pos="681" w:val="left"/>
        </w:tabs>
        <w:numPr>
          <w:ilvl w:val="1"/>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lease, license, contract or agreement to which any Loan Party is a party, and any of its rights or interest thereunder (or, with respect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any other asset), if and to the extent that a security interest is prohibited by or in violation of (or would result in a loss of material rights under) (i) any law, rule or regulation applicable to such Loan Party, or (ii) a term, provision or condition of any such lease, license, contract or agreement (unless such law, rule, regulation, term, provision or condition would be rendered ineffective with respect to the creation of the security interest hereunder pursuant to Section 9-406, 9-407, 9-408 or 9-409 of the UCC (or any successor provision or provisions) of any relevant jurisdiction or any other applicable law (including the Bankruptcy Code));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the Collateral shall include (and such security interest shall attach) immediately at such time as the contractual or legal prohibition (or condition causing such violation, breach, termination or loss of right) shall no longer be applicable and to the extent severable, shall attach immediately to any portion of such lease, license, contract or agreement not subject to the prohibitions specified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the exclusions referred to in this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shall not include any proceeds of any such lease, license, contract or agreement unless such proceeds result in the consequences described in this </w:t>
      </w:r>
      <w:r>
        <w:rPr>
          <w:rFonts w:ascii="Times New Roman" w:cs="Times New Roman" w:eastAsia="Times New Roman" w:hAnsi="Times New Roman"/>
          <w:sz w:val="17"/>
          <w:szCs w:val="17"/>
          <w:u w:val="single" w:color="auto"/>
          <w:color w:val="auto"/>
        </w:rPr>
        <w:t>clause</w:t>
      </w:r>
    </w:p>
    <w:p>
      <w:pPr>
        <w:spacing w:after="0" w:line="3"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after giving effect to the first proviso in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u w:val="single" w:color="auto"/>
          <w:color w:val="auto"/>
        </w:rPr>
      </w:pPr>
    </w:p>
    <w:p>
      <w:pPr>
        <w:ind w:left="684" w:hanging="261"/>
        <w:spacing w:after="0"/>
        <w:tabs>
          <w:tab w:leader="none" w:pos="68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Securities;</w:t>
      </w:r>
    </w:p>
    <w:p>
      <w:pPr>
        <w:spacing w:after="0" w:line="11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 to use” (or similar) application for registration of a trademark filed pursuant to Section 1(b) of the Lanham Act, 15 U.S.C. § 1051, prior to the filing of a “Statement of Use” pursuant to Section 1(d) of the Lanham Act or an “Amendment to Allege Use” pursuant to Section 1 of the Lanham Act with respect thereto (or similar notice or filing), to the extent, if any, that, and solely during the period, if any, in which, the grant of a security interest therein would impair the validity or enforceability of any registration that issues from such intent to use application under applicable Federal law;</w:t>
      </w:r>
    </w:p>
    <w:p>
      <w:pPr>
        <w:spacing w:after="0" w:line="75"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vehicles and any other asset subject to certificates of title to the extent that a Lien thereon cannot be perfected by the filing of “all assets” financing statements under the UCC;</w:t>
      </w:r>
    </w:p>
    <w:p>
      <w:pPr>
        <w:spacing w:after="0" w:line="5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Letter-of-Credit Rights to the extent that a Lien thereon cannot be perfected by the filing of “all assets” financing statements under the UCC;</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117"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6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assets owned by any Loan Party on the date hereof or hereafter acquired and any proceeds thereof (or related assets) that are subject to a Lien securing Indebtedness incurred in connection with a Finance Lease, purchase money Indebtedness or other Indebtedness incurred to finance the acquisition of such assets permitted to be incurred pursuant to this Agreement to the extent and for so long as the contract or other agreement in which such Lien is granted (or the documentation providing for applicable purchase money Indebtedness) validly prohibits the creation of any other Lien on such assets and proceeds in a manner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4" w:right="120" w:firstLine="419"/>
        <w:spacing w:after="0" w:line="261" w:lineRule="auto"/>
        <w:tabs>
          <w:tab w:leader="none" w:pos="681"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in circumstances where the cost, burden or consequences (including adverse tax consequences) of obtaining or perfecting a security interest in such property or assets (including on account of any need to obtain consents or approvals, and the effect of the ability of the relevant Loan Party to conduct its operations and business in the ordinary course), as determined in good faith by the Borrower, are excessive in relation to the practical benefit afforded to the Secured Parties;</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544"/>
          </w:cols>
          <w:pgMar w:left="876" w:top="266" w:right="479" w:bottom="1440" w:gutter="0" w:footer="0" w:header="0"/>
        </w:sectPr>
      </w:pPr>
    </w:p>
    <w:bookmarkStart w:id="105" w:name="page106"/>
    <w:bookmarkEnd w:id="105"/>
    <w:p>
      <w:pPr>
        <w:ind w:left="980" w:right="100" w:firstLine="408"/>
        <w:spacing w:after="0" w:line="282" w:lineRule="auto"/>
        <w:tabs>
          <w:tab w:leader="none" w:pos="163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property constituting or that is the proceeds of aircraft, aircraft engines, satellites, ships or railroad rolling stock to the extent that a Lien thereon cannot be perfected by the filing of “all assets” financing statements under the UCC;</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or real property interest that is not a Material Real Estate Asset;</w:t>
      </w:r>
    </w:p>
    <w:p>
      <w:pPr>
        <w:spacing w:after="0" w:line="117" w:lineRule="exact"/>
        <w:rPr>
          <w:rFonts w:ascii="Times New Roman" w:cs="Times New Roman" w:eastAsia="Times New Roman" w:hAnsi="Times New Roman"/>
          <w:sz w:val="18"/>
          <w:szCs w:val="18"/>
          <w:color w:val="auto"/>
        </w:rPr>
      </w:pPr>
    </w:p>
    <w:p>
      <w:pPr>
        <w:ind w:left="980" w:firstLine="408"/>
        <w:spacing w:after="0" w:line="258" w:lineRule="auto"/>
        <w:tabs>
          <w:tab w:leader="none" w:pos="171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or regulatory license or state, provincial, municipal or local franchise, charter, consent, permit or authorization to the extent the granting of a security interest therein is prohibited or restricted thereby or by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asset will only constitute an Excluded Asset under this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to the extent such prohibition or restriction would not be rendered ineffective pursuant to applicable anti-assignment provisions of the UCC of any relevant jurisdiction, or other similar applicable law;</w:t>
      </w:r>
    </w:p>
    <w:p>
      <w:pPr>
        <w:spacing w:after="0" w:line="75"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72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(including Capital Stock) the grant or perfection of a security interest in which would result in adverse tax or regulatory consequences to any Loan Party or any of its subsidiaries as determined by the Borrower in good faith;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726"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Receivables Facility Assets and related assets (or interests therein) sold or otherwise transferred to a Receivables Subsidiary or otherwise pledged, transferred or sold, in each case in connection with a Qualified Receivables Facility, factoring transaction or any similar arrangement permitted hereunder.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Security</w:t>
      </w:r>
      <w:r>
        <w:rPr>
          <w:rFonts w:ascii="Times New Roman" w:cs="Times New Roman" w:eastAsia="Times New Roman" w:hAnsi="Times New Roman"/>
          <w:sz w:val="18"/>
          <w:szCs w:val="18"/>
          <w:color w:val="auto"/>
        </w:rPr>
        <w:t xml:space="preserve">” shall mean (i) any Capital Stock or other security representing voting Capital Stock in any Specified Foreign Subsidiary or Foreign Subsidiary Holding Company, other than 65% of the issued and outstanding voting Capital Stock of such Specified Foreign Subsidiary or Foreign Subsidiary Holding Company (as applicable), (ii) any interest in a joint venture or non-wholly owned Subsidiary to the extent and for so long as the attachment of the security interest created hereby therein would violate any joint venture agreement, Organizational Document, shareholders agreement or equivalent agreement relating to such joint venture or non-wholly owned Subsidiary, (iii) any Capital Stock the pledge of which in support of the Loan Document Obligations is otherwise prohibited by applicable law, (iv) any Capital Stock in the entities solely to the extent that the transfer or assignment of such Capital Stock is prohibited by contractual requirements applicable to the grantor holding such Capital Stock, including the requirements of the Organizational Documents of the issuer of such Capital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Capital Stock in any such entity shall no longer constitute an Excluded Security for purposes hereof if at any time the prohibitions on transfer or assignment of such Capital Stock are no longer applicable to such Person, (v) the Capital Stock of any Captive Insurance Subsidiary, Unrestricted Subsidiary, broker-dealer subsidiary, not-for-profit subsidiary, special purpose entity used for any permitted securitization facility, or Receivables Subsidiary, (vi) any Margin Stock, (vii) any Capital Stock issued by any Foreign Subsidiary and (viii) any Capital Stock that would otherwise be an Excluded Asset.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640" w:hanging="252"/>
        <w:spacing w:after="0"/>
        <w:tabs>
          <w:tab w:leader="none" w:pos="1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Wholly-Owned Subsidiary,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106" w:name="page107"/>
    <w:bookmarkEnd w:id="106"/>
    <w:p>
      <w:pPr>
        <w:ind w:left="980" w:firstLine="408"/>
        <w:spacing w:after="0" w:line="254" w:lineRule="auto"/>
        <w:tabs>
          <w:tab w:leader="none" w:pos="162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Subsidiary that is prohibited or restricted by law, rule or regulation or contractual obligation existing on the Closing Date or at the time such Restricted Subsidiary becomes a Subsidiary (in the case of contractual obligations not existing on the Closing Date, pursuant to a contractual obligation not entered into expressly in contemplation of such Restricted Subsidiary becoming an Excluded Subsidiary) from providing a Loan Guarantee or that would require a governmental (including regulatory) or third party consent, approval, license or authorization to provide a Loan Guarantee (including under any financial assistance, corporate benefit, thin capitalization, capital maintenance, liquidity maintenance or similar legal principles) unless such consent has been received, it being understood that the Borrower and its subsidiaries shall have no obligation to seek or obtain any such consent, approval, license or authorization,</w:t>
      </w:r>
    </w:p>
    <w:p>
      <w:pPr>
        <w:spacing w:after="0" w:line="8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not-for-profit subsidiary,</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2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 subsidiary that is a broker-dealer, captive risk retention subsidiary or subsidiary that is a trust company,</w:t>
      </w:r>
    </w:p>
    <w:p>
      <w:pPr>
        <w:spacing w:after="0" w:line="53"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0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entity (including a special purpose entity used for any permitted securitization or receivables facility or financing) and any Receivables Subsidiary,</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Foreign Subsidiary,</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Foreign Subsidiary Holding Company and (ii) any Subsidiary that is a subsidiary of any Specified Foreign Subsidiary,</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61" w:lineRule="auto"/>
        <w:tabs>
          <w:tab w:leader="none" w:pos="16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acquired pursuant to a Permitted Acquisition or other Investment permitted by this Agreement that has assumed, or is otherwise an obligor under, Indebtedness not incurred in contemplation of such Permitted Acquisition or other Investment and any Restricted Subsidiary thereof that guarantees such Indebtedness, in each case to the extent the terms of such Indebtedness prohibit such subsidiary from becoming a Guarantor,</w:t>
      </w:r>
    </w:p>
    <w:p>
      <w:pPr>
        <w:spacing w:after="0" w:line="71"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59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if the provision of a Loan Guarantee could reasonably be expected to result in adverse tax or regulatory consequences to any Loan Party or any of its subsidiaries as determined by the Borrower in good faith ,</w:t>
      </w:r>
    </w:p>
    <w:p>
      <w:pPr>
        <w:spacing w:after="0" w:line="53"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8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Subsidiary with respect to which, in the good faith judgment of the Administrative Agent and the Borrower, the burden or cost of providing a Loan Guarantee outweighs the benefits afforded thereby, and</w:t>
      </w:r>
    </w:p>
    <w:p>
      <w:pPr>
        <w:spacing w:after="0" w:line="53" w:lineRule="exact"/>
        <w:rPr>
          <w:rFonts w:ascii="Times New Roman" w:cs="Times New Roman" w:eastAsia="Times New Roman" w:hAnsi="Times New Roman"/>
          <w:sz w:val="18"/>
          <w:szCs w:val="18"/>
          <w:color w:val="auto"/>
        </w:rPr>
      </w:pPr>
    </w:p>
    <w:p>
      <w:pPr>
        <w:ind w:left="980" w:right="180" w:firstLine="408"/>
        <w:spacing w:after="0" w:line="266" w:lineRule="auto"/>
        <w:tabs>
          <w:tab w:leader="none" w:pos="1636"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the capital requirements of which are subject to regulation by a Governmental Authority in respect of which the guaranteeing by such Subsidiary of the Obligations would, as determined by the Borrower in good faith, result in adverse regulatory consequences to such Subsidiary or impair the conduct of the business of such Subsidiary and any Subsidiary of such Subsidiary.</w:t>
      </w:r>
    </w:p>
    <w:p>
      <w:pPr>
        <w:spacing w:after="0" w:line="17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Loan Party, any Swap Obligation if, and to the extent that, all or a portion of the Loan Guarantee of such Loan Party of, or the grant by such Loan Party of a security interest to secure, such Swap Obligation (or any Loan Guarantee thereof) is or becomes illegal under the Commodity Exchange Act or any rule, regulation or order of the Commodity</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107" w:name="page108"/>
    <w:bookmarkEnd w:id="107"/>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Futures Trading Commission (or the application or official interpretation of any thereof) by virtue of such Loan Party’s failure for any reason to constitute an “eligible contract participant” as defined in the Commodity Exchange Act and the regulations thereunder (determined after giving effect to Section 3.20 of the Loan Guarantee and any other “keepwell”, support or other agreement for the benefit of such Loan Party) at the time the Loan Guarantee of such Loan Party or the grant of such security interest becomes effective with respect to such Swap Obligation. If any Swap Obligation arises under a master agreement governing more than one swap, such exclusion shall apply only to the portion of such Swap Obligation that is attributable to swaps for which such Loan Guarantee or security interest is or becomes illegal.</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any of the following Taxes imposed on or with respect to the Administrative Agent, any Lender, any Issuing Bank or required to be withheld or deducted from a payment to the Administrative Agent, any Lender or any Issuing Bank, (a) Taxes imposed on (or measured by) its net income (however denominated) and franchise Taxes (i) as a result of such recipient being organized or having its principal office or, in the case of any Lender, having its applicable lending office located in such jurisdiction (or any political subdivision thereof) or (ii) that are Other Connection Taxes, (b) any U.S. federal branch profits Taxes or any similar Taxes imposed by any other jurisdiction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that are Other Connection Taxes, (c) in the case of a Lender, U.S. federal withholding Tax that is imposed on amounts payable to or for the account of such Lender at the time such Lender becomes a party to this Agreement (or designates a new lending office), except (i) pursuant to an assignment or designation of a new lending office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(ii) to the extent that such Lender (or its assignor, if any) was entitled immediately prior to the time of designation of a new lending office (or assignment), to receive additional amounts from any Loan Party with respect to such withholding Tax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(d) any Taxes imposed as a result of a failure by such Administrative Agent, Lender or Issuing Bank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(e) any withholding Taxes imposed under FATCA.</w:t>
      </w:r>
    </w:p>
    <w:p>
      <w:pPr>
        <w:spacing w:after="0" w:line="182" w:lineRule="exact"/>
        <w:rPr>
          <w:sz w:val="20"/>
          <w:szCs w:val="20"/>
          <w:color w:val="auto"/>
        </w:rPr>
      </w:pPr>
    </w:p>
    <w:p>
      <w:pPr>
        <w:jc w:val="both"/>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 of Credit</w:t>
      </w:r>
      <w:r>
        <w:rPr>
          <w:rFonts w:ascii="Times New Roman" w:cs="Times New Roman" w:eastAsia="Times New Roman" w:hAnsi="Times New Roman"/>
          <w:sz w:val="18"/>
          <w:szCs w:val="18"/>
          <w:color w:val="auto"/>
        </w:rPr>
        <w:t xml:space="preserve">” means each letter of credit, bank guarantee, bankers’ acceptance and similar document or instrument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(as such Schedule may be updated by the Borrower with the consent of the Administrative Agent (not to be unreasonably withheld, delayed or conditioned) after the Signing Date and on or prior to the Closing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(to the extent required by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the Borrower, executed by each of (a) the Borrower(s), (b) the Administrative Agent and (c) each Lender that has accepted the applicable Extension Offer pursuant hereto and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108" w:name="page109"/>
    <w:bookmarkEnd w:id="108"/>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any real property (including all buildings, fixtures or other improvements located thereon) now, hereafter or, except with respect to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heretofore owned, leased, operated or used by the Borrower or any of its Restricted Subsidiaries or any of their respective predecessors or Affiliates.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Failed 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means, with respect to a Contributing Guarantor as of any date of determination, an amount equal to (i) the ratio of (A) the Fair Share Contribution Amount with respect to such Contributing Guarantor to (B) the aggregate of the Fair Share Contribution Amounts with respect to all Contributing Guarantors multiplied by (ii) the aggregate amount paid or distributed on or before such date by all Funding Guarantors under the Loan Guarantee or any other Loan Document in respect of the Guaranteed Obligations.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 Contribution Amount</w:t>
      </w:r>
      <w:r>
        <w:rPr>
          <w:rFonts w:ascii="Times New Roman" w:cs="Times New Roman" w:eastAsia="Times New Roman" w:hAnsi="Times New Roman"/>
          <w:sz w:val="18"/>
          <w:szCs w:val="18"/>
          <w:color w:val="auto"/>
        </w:rPr>
        <w:t xml:space="preserve">” means, with respect to a Contributing Guarantor as of any date of determination, the maximum aggregate amount of the obligations of such Contributing Guarantor under the Loan Guarantee that would not render its obligations hereunder or thereunder subject to avoidance as a fraudulent transfer or conveyance under Section 548 of Title 11 of the United States Code or any comparable applicable provisions of any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calculating the “Fair Share Contribution Amount” with respect to any Contributing Guarantor for purposes of this Agreement, any assets or liabilities of such Contributing Guarantor arising by virtue of any rights to subrogation, reimbursement or indemnification or any rights to or obligations of contribution hereunder shall not be considered as assets or liabilities of such Contributing Guarantor.</w:t>
      </w:r>
    </w:p>
    <w:p>
      <w:pPr>
        <w:spacing w:after="0" w:line="183" w:lineRule="exact"/>
        <w:rPr>
          <w:sz w:val="20"/>
          <w:szCs w:val="20"/>
          <w:color w:val="auto"/>
        </w:rPr>
      </w:pPr>
    </w:p>
    <w:p>
      <w:pPr>
        <w:ind w:right="3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any intergovernmental agreement, treaty or convention among Governmental Authorities (and any related legislation, rules or official administrative practice) implementing the foregoing.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Assignment of Claims Act</w:t>
      </w:r>
      <w:r>
        <w:rPr>
          <w:rFonts w:ascii="Times New Roman" w:cs="Times New Roman" w:eastAsia="Times New Roman" w:hAnsi="Times New Roman"/>
          <w:sz w:val="18"/>
          <w:szCs w:val="18"/>
          <w:color w:val="auto"/>
        </w:rPr>
        <w:t>” means the Federal Assignment of Claims Act (41 U.S.C. §15).</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Federal Funds Effective Rate</w:t>
      </w:r>
      <w:r>
        <w:rPr>
          <w:rFonts w:ascii="Times New Roman" w:cs="Times New Roman" w:eastAsia="Times New Roman" w:hAnsi="Times New Roman"/>
          <w:sz w:val="17"/>
          <w:szCs w:val="17"/>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Federal Funds Effective Rate for any day is less than zero, the Federal Funds Rate for such day will be deemed to be zero.</w:t>
      </w:r>
    </w:p>
    <w:p>
      <w:pPr>
        <w:spacing w:after="0" w:line="16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that certain Agent Fee Letter and that certain Arranger Fee Letter, each dated as of September 3, 2025, by and among, inter alios, the Borrower and JPM, as amended to date.</w:t>
      </w:r>
    </w:p>
    <w:p>
      <w:pPr>
        <w:spacing w:after="0" w:line="15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xml:space="preserve">” means, as applied to any Person, any lease of any property (whether real, personal or mixed) by such Person as lessee that, in conformity with GAAP (but subject to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 xml:space="preserve">), is or should be accounted for as a finance lease on the balance sheet of that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obligations attributable to any Finance Lease shall exclude any capitalized operating lease liabilities resulting from the adoption of ASC 842, Leases.</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40"/>
          </w:cols>
          <w:pgMar w:left="440" w:top="266" w:right="519" w:bottom="1440" w:gutter="0" w:footer="0" w:header="0"/>
        </w:sectPr>
      </w:pPr>
    </w:p>
    <w:bookmarkStart w:id="109" w:name="page110"/>
    <w:bookmarkEnd w:id="10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means the covenant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Standstill</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Leverage Ratio</w:t>
      </w:r>
      <w:r>
        <w:rPr>
          <w:rFonts w:ascii="Times New Roman" w:cs="Times New Roman" w:eastAsia="Times New Roman" w:hAnsi="Times New Roman"/>
          <w:sz w:val="18"/>
          <w:szCs w:val="18"/>
          <w:color w:val="auto"/>
        </w:rPr>
        <w:t>” means the ratio, as of any date of determination, of (a) Consolidated First Lien Debt as of such date to</w:t>
      </w:r>
    </w:p>
    <w:p>
      <w:pPr>
        <w:spacing w:after="0" w:line="31" w:lineRule="exact"/>
        <w:rPr>
          <w:sz w:val="20"/>
          <w:szCs w:val="20"/>
          <w:color w:val="auto"/>
        </w:rPr>
      </w:pPr>
    </w:p>
    <w:p>
      <w:pPr>
        <w:ind w:left="4" w:right="460" w:hanging="4"/>
        <w:spacing w:after="0" w:line="260" w:lineRule="auto"/>
        <w:tabs>
          <w:tab w:leader="none" w:pos="259"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Test Period then most recently ended or the Test Period otherwise specified where the term “First Lien Leverage Ratio” is used in this Agreement, in each case of the Borrower and its Restricted Subsidiaries on a consolidated basis.</w:t>
      </w:r>
    </w:p>
    <w:p>
      <w:pPr>
        <w:spacing w:after="0" w:line="177" w:lineRule="exact"/>
        <w:rPr>
          <w:sz w:val="20"/>
          <w:szCs w:val="20"/>
          <w:color w:val="auto"/>
        </w:rPr>
      </w:pPr>
    </w:p>
    <w:p>
      <w:pPr>
        <w:jc w:val="both"/>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ind w:left="4"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Borrower ending December 31 of each calendar year, as such fiscal year end may be adjusted in accordance with the terms of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Five Year Notes</w:t>
      </w:r>
      <w:r>
        <w:rPr>
          <w:rFonts w:ascii="Times New Roman" w:cs="Times New Roman" w:eastAsia="Times New Roman" w:hAnsi="Times New Roman"/>
          <w:sz w:val="18"/>
          <w:szCs w:val="18"/>
          <w:color w:val="auto"/>
        </w:rPr>
        <w:t>” has the meaning assigned to such term in the definition of Incremental Equivalent Debt.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Hazard Property</w:t>
      </w:r>
      <w:r>
        <w:rPr>
          <w:rFonts w:ascii="Times New Roman" w:cs="Times New Roman" w:eastAsia="Times New Roman" w:hAnsi="Times New Roman"/>
          <w:sz w:val="18"/>
          <w:szCs w:val="18"/>
          <w:color w:val="auto"/>
        </w:rPr>
        <w:t>” means any Material Real Estate Asset subject to a Mortgage if any building included in such Material Real Estate Asset is located in an area designated by the Federal Emergency Management Agency as having special flood hazards.</w:t>
      </w:r>
    </w:p>
    <w:p>
      <w:pPr>
        <w:spacing w:after="0" w:line="15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Restricted Subsidiary that is not a U.S. Subsidiary.</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 Holding Company</w:t>
      </w:r>
      <w:r>
        <w:rPr>
          <w:rFonts w:ascii="Times New Roman" w:cs="Times New Roman" w:eastAsia="Times New Roman" w:hAnsi="Times New Roman"/>
          <w:sz w:val="18"/>
          <w:szCs w:val="18"/>
          <w:color w:val="auto"/>
        </w:rPr>
        <w:t>” means any Subsidiary that owns (directly or indirectly) no material assets other than the Capital Stock and/or Indebtedness of one or more Specified Foreign Subsidiaries or other Foreign Subsidiary Holding Companies.</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xml:space="preserve">” means that certain registration statement on Form 10 under the Exchange Act originally filed by the Borrower with the SEC on September 18, 2025, together with all exhibits (including all schedules and appendices thereto) and the related information statement (each as amended, restated, amended and restated, supplemented or otherwise modified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amendment, restatement, amendment and restatement, supplement or other modification that has the effect of modifying (in a manner materially adverse to the interests of the Lenders (in their capacities as such)) the terms of the Separation Agreements shall require the prior written consent of the Required Lenders).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4"/>
          </w:cols>
          <w:pgMar w:left="436" w:top="266" w:right="459" w:bottom="1440" w:gutter="0" w:footer="0" w:header="0"/>
        </w:sectPr>
      </w:pPr>
    </w:p>
    <w:bookmarkStart w:id="110" w:name="page111"/>
    <w:bookmarkEnd w:id="1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 in effect and applicable to the accounting period in respect of which reference to GAAP is made.</w:t>
      </w:r>
    </w:p>
    <w:p>
      <w:pPr>
        <w:spacing w:after="0" w:line="155" w:lineRule="exact"/>
        <w:rPr>
          <w:sz w:val="20"/>
          <w:szCs w:val="20"/>
          <w:color w:val="auto"/>
        </w:rPr>
      </w:pPr>
    </w:p>
    <w:p>
      <w:pPr>
        <w:jc w:val="both"/>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of either thereof.</w:t>
      </w:r>
    </w:p>
    <w:p>
      <w:pPr>
        <w:spacing w:after="0" w:line="176"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authorization, plan, directive, consent order or consent decree of or from any Governmental Authority.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(solely for purposes of this definition,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in any manner and including any obligation of the Guarantor (a) to purchase or pay (or advance or supply funds for the purchase or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guarantee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 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8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(i) the Borrower (other than with respect to its own Obligations) and (ii) each Subsidiary Guarantor from time to time. 44</w:t>
      </w:r>
    </w:p>
    <w:p>
      <w:pPr>
        <w:sectPr>
          <w:pgSz w:w="11900" w:h="16838" w:orient="portrait"/>
          <w:cols w:equalWidth="0" w:num="1">
            <w:col w:w="11000"/>
          </w:cols>
          <w:pgMar w:left="440" w:top="266" w:right="459" w:bottom="1440" w:gutter="0" w:footer="0" w:header="0"/>
        </w:sectPr>
      </w:pPr>
    </w:p>
    <w:bookmarkStart w:id="111" w:name="page112"/>
    <w:bookmarkEnd w:id="111"/>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substance or waste, or any constituent thereof, which is prohibited, limited or regulated by any Environmental Law due to its hazardous, toxic or similar characteristics, including any chemical, material, substance or waste defined or listed as “hazardous” or “toxic” in any Environmental Law.</w:t>
      </w:r>
    </w:p>
    <w:p>
      <w:pPr>
        <w:spacing w:after="0" w:line="171"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the use, manufacture, storage, Release, threatened Release, discharge, generation, transportation, processing, treatment, abatement, removal, investigation, remediation, disposal, disposition or handling of any Hazardous Material, and any corrective action or response action with respect to any of the foregoing.</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Derivative Transaction between any Loan Party or any Restricted Subsidiary and any other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Person, the obligations of such Person under any Hedge Agreement.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xml:space="preserve">” means international accounting standards within the meaning of the IAS Regulation 1606/2002, as in effect from time to time (subject to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to the extent applicable to the relevant financial statements.</w:t>
      </w:r>
    </w:p>
    <w:p>
      <w:pPr>
        <w:spacing w:after="0" w:line="15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xml:space="preserve">” means, as of any date, any Restricted Subsidiary of the Borrower (1) that does not have assets in excess of 5.0% of Consolidated Total Assets of the Borrower and its Restricted Subsidiaries and (2) that does not contribute Consolidated Adjusted EBITDA in excess of 5.0% of the Consolidated Adjusted EBITDA of the Borrower and its Restricted Subsidiaries, in each case,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Total Assets and Consolidated Adjusted EBITDA (as so determined) of all Immaterial Subsidiaries shall not exceed 10.0% of Consolidated Total Assets and 10.0% of Consolidated Adjusted EBITDA, in each case, of the Borrower and its Restricted Subsidiaries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at all times prior to the first delivery of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this definition shall be applied based on the pro forma combined financial statements of the Borrower delivered to the Arrangers prior to the Closing Date. For the avoidance of doubt, the Borrower may elect for a Restricted Subsidiary that is an Immaterial Subsidiary to provide a Loan Guarantee, but not pledge any Collateral that would otherwise be required, in which case such Immaterial Subsidiary shall continue to be counted as such for purposes of determinations hereunder. The Restricted Subsidiaries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are designated Immaterial Subsidiaries as of the Closing Date.</w:t>
      </w:r>
    </w:p>
    <w:p>
      <w:pPr>
        <w:spacing w:after="0" w:line="18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domestic partner, former domestic partner, sibling or step-sibling (and any linear descendant thereof), mother-in-law, father-in-law, son-in-law and daughter-in-law (including adoptive relationships), any trust, partnership or other bona fide estate-planning vehicle the only beneficiaries of which are any of the foregoing individuals, any of the foregoing individual’s (including the initial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Cap</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 the Shared Incremental Amount, plus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66" w:right="459" w:bottom="1440" w:gutter="0" w:footer="0" w:header="0"/>
        </w:sectPr>
      </w:pPr>
    </w:p>
    <w:bookmarkStart w:id="112" w:name="page113"/>
    <w:bookmarkEnd w:id="112"/>
    <w:p>
      <w:pPr>
        <w:ind w:firstLine="419"/>
        <w:spacing w:after="0" w:line="289" w:lineRule="auto"/>
        <w:tabs>
          <w:tab w:leader="none" w:pos="67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that effectively extends the Maturity Date with respect to any Class of Loans and/or commitments hereunder, an amount equal to the portion of the relevant Class of Loans or commitments that will be replaced by such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plus</w:t>
      </w:r>
    </w:p>
    <w:p>
      <w:pPr>
        <w:spacing w:after="0" w:line="49" w:lineRule="exact"/>
        <w:rPr>
          <w:rFonts w:ascii="Times New Roman" w:cs="Times New Roman" w:eastAsia="Times New Roman" w:hAnsi="Times New Roman"/>
          <w:sz w:val="17"/>
          <w:szCs w:val="17"/>
          <w:color w:val="auto"/>
        </w:rPr>
      </w:pPr>
    </w:p>
    <w:p>
      <w:pPr>
        <w:ind w:right="140" w:firstLine="419"/>
        <w:spacing w:after="0" w:line="266" w:lineRule="auto"/>
        <w:tabs>
          <w:tab w:leader="none" w:pos="66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Facility, Incremental Equivalent Debt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effectively replaces any Revolving Credit Commitment or Term Loan terminated in accordance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hereof, an amount equal to the relevant terminated Revolving Credit Commitment or Term Loan, plus</w:t>
      </w:r>
    </w:p>
    <w:p>
      <w:pPr>
        <w:spacing w:after="0" w:line="67" w:lineRule="exact"/>
        <w:rPr>
          <w:rFonts w:ascii="Times New Roman" w:cs="Times New Roman" w:eastAsia="Times New Roman" w:hAnsi="Times New Roman"/>
          <w:sz w:val="18"/>
          <w:szCs w:val="18"/>
          <w:color w:val="auto"/>
        </w:rPr>
      </w:pPr>
    </w:p>
    <w:p>
      <w:pPr>
        <w:ind w:right="80" w:firstLine="419"/>
        <w:spacing w:after="0" w:line="253" w:lineRule="auto"/>
        <w:tabs>
          <w:tab w:leader="none" w:pos="67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any optional prepayment of any Loan (including any Incremental Loan) in accordance with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and/or the amount of any permanent reduction of any Revolving Credit Commitment, (ii) the amount of any optional prepayment, redemption, repurchase or retirement of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(iii) the amount of any optional prepayment, redemption, repurchase or retirement of any Replacement Term Loans or Loans under any Replacement Revolving Facility (to the extent accompanied by a permanent reduction in commitments) or any borrowing or issuance of Replacement Debt previously applied to the permanent prepayment of any Loan hereunder, of any Incremental Equivalent Debt or of any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(iv) the aggregate amount of any Indebtedness referred to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repaid or retired resulting from any assignment of such Indebtedness to (and/or assignment and/or purchase of such Indebtedness by) the Borrower and/or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the relevant prepayment, redemption, repurchase, retirement, assignment and/or purchase was not funded with the proceeds of any long-term Indebtedness (other than revolving Indebtedness), plus</w:t>
      </w:r>
    </w:p>
    <w:p>
      <w:pPr>
        <w:spacing w:after="0" w:line="86" w:lineRule="exact"/>
        <w:rPr>
          <w:rFonts w:ascii="Times New Roman" w:cs="Times New Roman" w:eastAsia="Times New Roman" w:hAnsi="Times New Roman"/>
          <w:sz w:val="18"/>
          <w:szCs w:val="18"/>
          <w:color w:val="auto"/>
        </w:rPr>
      </w:pPr>
    </w:p>
    <w:p>
      <w:pPr>
        <w:ind w:right="40" w:firstLine="419"/>
        <w:spacing w:after="0" w:line="267" w:lineRule="auto"/>
        <w:tabs>
          <w:tab w:leader="none" w:pos="668"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unlimited amount so long as, in the case of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on a Pro Forma Basis after giving effect to the incurrence of the Incremental Facility, the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as applicable, and the application of the proceeds thereof (without netting cash funded to the consolidated balance sheet of the Borrower that is not otherwise applied to consummate the relevant Subject Transaction) and to any relevant Subject Transaction (and, in the case of any Incremental Revolving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in the form of revolving loans or a revolving facility then being established, assuming a full drawing thereunder), (i) if such Indebtedness is secured by a first priority Lien on the Collateral, the First Lien Leverage Ratio does not exceed the greater of (x) 2.25:1.00 and (y) the First Lien Leverage Ratio as of the last day of the most recently ended Test Period, (ii) if such Indebtedness is secured by a Lien on the Collateral other than on a first priority basis, the Secured Leverage Ratio does not exceed the greater of (x) 2.75:1.00 and (y) the Secured Leverage Ratio as of the last day of the most recently ended Test Period and (iii) if such Indebtedness is unsecured or is secured by a Lien on assets that do not constitute Collateral, at the election of the Borrower, either (A) the Total Leverage Ratio does not exceed the greater of (x)</w:t>
      </w:r>
    </w:p>
    <w:p>
      <w:pPr>
        <w:spacing w:after="0" w:line="3" w:lineRule="exact"/>
        <w:rPr>
          <w:rFonts w:ascii="Times New Roman" w:cs="Times New Roman" w:eastAsia="Times New Roman" w:hAnsi="Times New Roman"/>
          <w:sz w:val="17"/>
          <w:szCs w:val="17"/>
          <w:color w:val="auto"/>
        </w:rPr>
      </w:pPr>
    </w:p>
    <w:p>
      <w:pPr>
        <w:ind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3.50:1.00 and (y) the Total Leverage Ratio as of the last day of the most recently ended Test Period or (B) the Interest Coverage Ratio is not less than the lesser of (x) 2.00:1.00 and (y) the Interest Coverage Ratio as of the last day of the most recently ended Test Period;</w:t>
      </w:r>
    </w:p>
    <w:p>
      <w:pPr>
        <w:spacing w:after="0" w:line="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ind w:right="100" w:firstLine="419"/>
        <w:spacing w:after="0" w:line="266" w:lineRule="auto"/>
        <w:tabs>
          <w:tab w:leader="none" w:pos="67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Facility, Incremental Equivalent Debt and/or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may be incurred under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definition as selected by the Borrower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 Incremental Facility may be incurred only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thereof),</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80"/>
          </w:cols>
          <w:pgMar w:left="880" w:top="270" w:right="439" w:bottom="1440" w:gutter="0" w:footer="0" w:header="0"/>
        </w:sectPr>
      </w:pPr>
    </w:p>
    <w:bookmarkStart w:id="113" w:name="page114"/>
    <w:bookmarkEnd w:id="113"/>
    <w:p>
      <w:pPr>
        <w:ind w:left="4" w:right="480" w:firstLine="419"/>
        <w:spacing w:after="0" w:line="276" w:lineRule="auto"/>
        <w:tabs>
          <w:tab w:leader="none" w:pos="681" w:val="left"/>
        </w:tabs>
        <w:numPr>
          <w:ilvl w:val="1"/>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is intended to be incurred or implemented under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definition and any other clause of this definition in a single transaction or series of related transactions,</w:t>
      </w:r>
    </w:p>
    <w:p>
      <w:pPr>
        <w:ind w:left="4" w:right="40" w:hanging="4"/>
        <w:spacing w:after="0" w:line="252" w:lineRule="auto"/>
        <w:tabs>
          <w:tab w:leader="none" w:pos="29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of the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to be incurred or implemented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 shall be calculated first without giving effect to any Incremental Facilities,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to be incurred or implemented under any other clause of this definition, but giving full pro forma effect to the use of proceeds of the entire amount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and the related transactions and (B) the incurrence of the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to be incurred or implemented under the other applicable clauses of this definition shall be calculated thereafter,</w:t>
      </w:r>
    </w:p>
    <w:p>
      <w:pPr>
        <w:spacing w:after="0" w:line="80"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any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is incurred or implemented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definition, unless otherwise elected by the Borrower, shall automatically and without need for action by any Person, be reclassified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 if, at any time after the incurrence or implementation thereof, when financial statements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are delivered or, at the Borrower’s election, become internally available, such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would, using the figures reflected in such financial statements, be (or have been) permitted under the First Lien Leverage Ratio, Secured Leverage Ratio, Total Leverage Ratio or Interest Coverage Ratio test, as applicable,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w:t>
      </w:r>
    </w:p>
    <w:p>
      <w:pPr>
        <w:spacing w:after="0" w:line="80"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81"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in the form of revolving loans or a revolving facility, if a full drawing thereunder is permitted at the time the commitments in respect thereof are established (as determined in accordance with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then the obligors thereunder may thereafter borrow, repay, prepay and reborrow amounts thereunder, in whole or in part, from time to time, without further compliance with the provisions of this definition, and</w:t>
      </w:r>
    </w:p>
    <w:p>
      <w:pPr>
        <w:spacing w:after="0" w:line="71" w:lineRule="exact"/>
        <w:rPr>
          <w:rFonts w:ascii="Times New Roman" w:cs="Times New Roman" w:eastAsia="Times New Roman" w:hAnsi="Times New Roman"/>
          <w:sz w:val="18"/>
          <w:szCs w:val="18"/>
          <w:color w:val="auto"/>
        </w:rPr>
      </w:pPr>
    </w:p>
    <w:p>
      <w:pPr>
        <w:ind w:left="4" w:right="20" w:firstLine="419"/>
        <w:spacing w:after="0" w:line="272" w:lineRule="auto"/>
        <w:tabs>
          <w:tab w:leader="none" w:pos="681"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ratio calculated for purposes of determining the “Incremental Cap” shall be calculated on a Pro Forma Basis after giving effect to the incurrence of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and the use of proceeds thereof ((a) assuming that the full amount of any Incremental Revolving Facility being established at such time is fully drawn and (b) treating, at the option of the Borrower, any Indebtedness constituting delayed draw term loan commitments then being incurred as (i) fully drawn, (ii) disregarded for purpose of testing such financial ratio so long as, upon funding, such Indebtedness would satisfy the applicable financial ratio test or (iii) a combination of being partially drawn and otherwise subject to the foregoing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but without giving effect to any simultaneous incurrence of any (i) Revolving Loans or (ii)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made pursuant to the Shared Incremental Amount) for the most recently ended Test Period as of such date and subject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to the extent applicable.</w:t>
      </w:r>
    </w:p>
    <w:p>
      <w:pPr>
        <w:spacing w:after="0" w:line="10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4"/>
          </w:cols>
          <w:pgMar w:left="876" w:top="270" w:right="459" w:bottom="1440" w:gutter="0" w:footer="0" w:header="0"/>
        </w:sectPr>
      </w:pPr>
    </w:p>
    <w:bookmarkStart w:id="114" w:name="page115"/>
    <w:bookmarkEnd w:id="114"/>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Commitment</w:t>
      </w:r>
      <w:r>
        <w:rPr>
          <w:rFonts w:ascii="Times New Roman" w:cs="Times New Roman" w:eastAsia="Times New Roman" w:hAnsi="Times New Roman"/>
          <w:sz w:val="18"/>
          <w:szCs w:val="18"/>
          <w:color w:val="auto"/>
        </w:rPr>
        <w:t>” means any commitment made by a lender to provide all or any portion of any Incremental Facility or Incremental Loans.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means any Indebtedness that satisfies the following conditions:</w:t>
      </w:r>
    </w:p>
    <w:p>
      <w:pPr>
        <w:spacing w:after="0" w:line="121" w:lineRule="exact"/>
        <w:rPr>
          <w:sz w:val="20"/>
          <w:szCs w:val="20"/>
          <w:color w:val="auto"/>
        </w:rPr>
      </w:pPr>
    </w:p>
    <w:p>
      <w:pPr>
        <w:ind w:right="140" w:firstLine="436"/>
        <w:spacing w:after="0" w:line="282" w:lineRule="auto"/>
        <w:tabs>
          <w:tab w:leader="none" w:pos="6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thereof does not exceed the Incremental Cap as in effect at the time of determination (after giving effect to any reclassification on or prior to such date of determination),</w:t>
      </w:r>
    </w:p>
    <w:p>
      <w:pPr>
        <w:spacing w:after="0" w:line="161"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subject to the Permitted Earlier Maturity Indebtedness Exception, unless such Indebtedness is in the form of revolving loans or a revolving facility, the Weighted Average Life to Maturity of such Indebtedness is no shorter than the remaining Weighted Average Life to Maturity of the Initial Term Loans and the final maturity date of such Indebtedness is no earlier than the Initial Term Loan Maturity Date and (B) if such Indebtedness is in the form of revolving loans or a revolving facility, such Indebtedness shall mature no earlier than, and require no scheduled mandatory commitment reduction prior to, the Initial Revolving Credit Maturity Date, in each case as determined on the date of issuance or incurrence, as applicable,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limitations shall not apply to (i)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(other than revolving loans)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(ii) 364-day bridge loans, (iii) escrowed debt subject to a customary special mandatory redemption, (iv) notes or other debt securities with a final stated maturity of five years or greater (and any additional or other notes or other debt securities issued under the same indenture or purchase agreement as such notes or other debt securities with a final stated maturity of no shorter than that of such initially issued notes or other debt securities) (any such notes referred to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Five Year Notes</w:t>
      </w:r>
      <w:r>
        <w:rPr>
          <w:rFonts w:ascii="Times New Roman" w:cs="Times New Roman" w:eastAsia="Times New Roman" w:hAnsi="Times New Roman"/>
          <w:sz w:val="18"/>
          <w:szCs w:val="18"/>
          <w:color w:val="auto"/>
        </w:rPr>
        <w:t>”) and (v) convertible notes or other convertible debt securities,</w:t>
      </w:r>
    </w:p>
    <w:p>
      <w:pPr>
        <w:spacing w:after="0" w:line="189" w:lineRule="exact"/>
        <w:rPr>
          <w:rFonts w:ascii="Times New Roman" w:cs="Times New Roman" w:eastAsia="Times New Roman" w:hAnsi="Times New Roman"/>
          <w:sz w:val="18"/>
          <w:szCs w:val="18"/>
          <w:color w:val="auto"/>
        </w:rPr>
      </w:pPr>
    </w:p>
    <w:p>
      <w:pPr>
        <w:ind w:firstLine="436"/>
        <w:spacing w:after="0" w:line="282" w:lineRule="auto"/>
        <w:tabs>
          <w:tab w:leader="none" w:pos="68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Indebtedness may otherwise have an amortization schedule as determined by the Borrower and the lenders providing such Indebtedness,</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secured by assets that constitute Collateral, the holders of such Indebtedness (or a representative therefor) shall be party to an Acceptable Intercreditor Agreement,</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81" w:lineRule="auto"/>
        <w:tabs>
          <w:tab w:leader="none" w:pos="68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Indebtedness may provide for the ability to participate (A) on a pro rata basis or non-pro rata basis in any voluntary prepayment of Term Loans made pursuant to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xml:space="preserve"> and (B) to the extent secured on a pari passu basis with the Initial Term Loans, on a pro rata basis (but not on a greater than pro rata basis other than in the case of a prepayment with proceeds of Indebtedness refinancing such Incremental Equivalent Debt) in any mandatory prepayment of Term Loans required pursuant to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or less than a pro rata basis with the then-outstanding Term Facility, and</w:t>
      </w:r>
    </w:p>
    <w:p>
      <w:pPr>
        <w:spacing w:after="0" w:line="164" w:lineRule="exact"/>
        <w:rPr>
          <w:rFonts w:ascii="Times New Roman" w:cs="Times New Roman" w:eastAsia="Times New Roman" w:hAnsi="Times New Roman"/>
          <w:sz w:val="17"/>
          <w:szCs w:val="17"/>
          <w:color w:val="auto"/>
        </w:rPr>
      </w:pPr>
    </w:p>
    <w:p>
      <w:pPr>
        <w:ind w:right="280" w:firstLine="436"/>
        <w:spacing w:after="0" w:line="258" w:lineRule="auto"/>
        <w:tabs>
          <w:tab w:leader="none" w:pos="6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financial maintenance covenant is added to any such Indebtedness and such financial maintenance covenant is more favorable to the lenders under such Indebtedness than the Financial Covenant, either (x) such financial maintenance covenant shall only be applicable after the Initial Term Loan Maturity Date and the Latest Revolving Loan Maturity Date or (y) Initial Term Lenders and the Revolving Lenders shall also receive the benefit of such more favorable financial maintenance covenant (together with, at the election of the Borrower, any applicable “equity cure” (or equivalent) provisions with respect thereto).</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66" w:right="459" w:bottom="1440" w:gutter="0" w:footer="0" w:header="0"/>
        </w:sectPr>
      </w:pPr>
    </w:p>
    <w:bookmarkStart w:id="115" w:name="page116"/>
    <w:bookmarkEnd w:id="115"/>
    <w:p>
      <w:pPr>
        <w:jc w:val="both"/>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Facility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Borrower executed by each of (a) the Borrower, (b) the Administrative Agent and (c) each Lender that agrees to provide all or any portion of the Incremental Facility being incurred pursuant thereto and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means, with respect to any Incremental Revolving Facility, each Revolving Lender providing any portion of such Incremental Revolving Facility.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as applied to any Person means, without duplication, (a) all indebtedness of such Person for borrowed money; (b) that portion of obligations with respect to Finance Leases of such Person to the extent recorded as a liability on a balance sheet (excluding the footnotes thereto) of such Person prepared in accordance with GAAP; (c) all obligations of such Person evidenced by bonds, debentures, notes or similar instruments to the extent the same would appear as a liability on a balance sheet (excluding the footnotes thereto) of such Person prepared in accordance with GAAP;</w:t>
      </w:r>
    </w:p>
    <w:p>
      <w:pPr>
        <w:spacing w:after="0" w:line="3" w:lineRule="exact"/>
        <w:rPr>
          <w:sz w:val="20"/>
          <w:szCs w:val="20"/>
          <w:color w:val="auto"/>
        </w:rPr>
      </w:pPr>
    </w:p>
    <w:p>
      <w:pPr>
        <w:ind w:left="4" w:hanging="4"/>
        <w:spacing w:after="0" w:line="251" w:lineRule="auto"/>
        <w:tabs>
          <w:tab w:leader="none" w:pos="259"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obligation of such Person owed for all or any part of the deferred purchase price of property or services (excluding (w) any earn out obligation, purchase price adjustment or other similar obligation until such obligation (A) becomes a liability on the balance sheet of such Person (excluding the footnotes thereto) in accordance with GAAP and (B) has not been paid within 60 days after becoming due and payable following expiration of any dispute resolution mechanics set forth in the applicable agreement governing the applicable transaction, (x) any such obligations incurred under ERISA or under any employee consulting agreements, (y) accrued expenses, trade accounts payable, accruals for payroll and other liabilities accrued in the ordinary course of business (including on an intercompany basis) and (z) liabilities associated with customer prepayments and deposits), which purchase price is (i) due more than twelve months from the date of incurrence of the obligation in respect thereof or (ii) evidenced by a note or similar written instrument and, in each case, to the extent the same would appear as a liability on the balance sheet of such Person (excluding the footnotes thereto) prepared in accordance with GAAP; (e) all Indebtedness (excluding prepaid interest thereon) of others secured by any Lien on any property or asset owned or held by such Person regardless of whether the Indebtedness secured thereby has been assumed by such Person or is non-recourse to the credit of such Person; (f) the face amount of any letter of credit issued for the account of such Person or as to which such Person is otherwise liable for reimbursement of drawings; (g) the Guarantee by such Person of the Indebtedness of another; (h) all obligations of such Person in respect of any Disqualified Capital Stock; and (i) all net obligations of such Person in respect of any Derivative Transaction, including any Hedge Agreement, whether or not entered into for hedging or speculative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no event shall obligations under or in respect of any Derivative Transaction or Non-Finance Lease Obligation be deemed “Indebtedness” for any calculation of the Total Leverage Ratio, the First Lien Leverage Ratio, the Secured Leverage Ratio, the Interest Coverage Ratio or any other financial ratio under this Agreement, (ii)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deemed to be equal to the lesser of (A) the aggregate unpaid amount of such</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4"/>
          </w:cols>
          <w:pgMar w:left="436" w:top="266" w:right="479" w:bottom="1440" w:gutter="0" w:footer="0" w:header="0"/>
        </w:sectPr>
      </w:pPr>
    </w:p>
    <w:bookmarkStart w:id="116" w:name="page117"/>
    <w:bookmarkEnd w:id="116"/>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(or such lower amount of maximum liability as is expressly provided for under the documentation pursuant to which the respective Lien is granted) and (B) the fair market value of the property encumbered thereby as determined by such Person in good faith, (iii) the accrual of interest or dividends, the accretion of accreted value, the accretion or amortization of original issue discount and the payment of interest or dividends in the form of additional Indebtedness of the same class shall not be deemed “Indebtedness” and (iv) obligations of such Person (other than indebtedness of such Person for borrowed money) arising from Separation Agreements shall not be deemed “Indebtedness”.</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 all purposes hereof, the Indebtedness of any Person shall include the Indebtedness of any partnership or any Joint Venture (other than any Joint Venture that is itself a corporation or limited liability company) in which such Person is a general partner or a joint venturer to the extent such Person would be liable therefor under applicable Requirements of Law or any agreement or instrument by virtue of such Person’s ownership interest in such partnership or Joint Venture, except to the extent such Person’s liability for such Indebtedness is otherwise limited and only to the extent such Indebtedness would otherwise be included in the calculation of Consolidated Total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hereunder as a result of accounting for any embedded derivative created by the terms of such Indebtedness (it being understood that any such amounts that would have constituted Indebtedness hereunder but for the application of this proviso shall not be deemed to be an incurrence of Indebtedness hereunder).</w:t>
      </w:r>
    </w:p>
    <w:p>
      <w:pPr>
        <w:spacing w:after="0" w:line="183"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Lenders</w:t>
      </w:r>
      <w:r>
        <w:rPr>
          <w:rFonts w:ascii="Times New Roman" w:cs="Times New Roman" w:eastAsia="Times New Roman" w:hAnsi="Times New Roman"/>
          <w:sz w:val="18"/>
          <w:szCs w:val="18"/>
          <w:color w:val="auto"/>
        </w:rPr>
        <w:t>” means the financial institutions who are party to this Agreement as Lenders on the Signing Date.</w:t>
      </w:r>
    </w:p>
    <w:p>
      <w:pPr>
        <w:spacing w:after="0" w:line="22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Credit Commitment</w:t>
      </w:r>
      <w:r>
        <w:rPr>
          <w:rFonts w:ascii="Times New Roman" w:cs="Times New Roman" w:eastAsia="Times New Roman" w:hAnsi="Times New Roman"/>
          <w:sz w:val="18"/>
          <w:szCs w:val="18"/>
          <w:color w:val="auto"/>
        </w:rPr>
        <w:t xml:space="preserve">” means, with respect to each Initial Revolving Lender, the commitment of such Lender to make Initial Revolving Loans (and acquire participations in Letters of Credit and Swingline Loans) hereunder as set forth on the Commitment Schedule, or in the Assignment Agreement pursuant to which such Lender assumed its Initial Revolving Credit Commitment, as applicable, as the same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(c) increased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The aggregate amount of the Initial Revolving Credit Commitments as of the Signing Date is $750,000,000.</w:t>
      </w:r>
    </w:p>
    <w:p>
      <w:pPr>
        <w:spacing w:after="0" w:line="209"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Credit Exposure</w:t>
      </w:r>
      <w:r>
        <w:rPr>
          <w:rFonts w:ascii="Times New Roman" w:cs="Times New Roman" w:eastAsia="Times New Roman" w:hAnsi="Times New Roman"/>
          <w:sz w:val="18"/>
          <w:szCs w:val="18"/>
          <w:color w:val="auto"/>
        </w:rPr>
        <w:t>” means, with respect to any Lender at any time, the aggregate Outstanding Amount at such time of all Initial Revolving Loans of such Lender, plus the aggregate amount at such time of such Lender’s LC Exposure and Swingline Exposure, in each case, attributable to its Initial Revolving Credit Commitment.</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117" w:name="page118"/>
    <w:bookmarkEnd w:id="11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Initial Revolving Credit Maturity Date</w:t>
      </w:r>
      <w:r>
        <w:rPr>
          <w:rFonts w:ascii="Times New Roman" w:cs="Times New Roman" w:eastAsia="Times New Roman" w:hAnsi="Times New Roman"/>
          <w:sz w:val="18"/>
          <w:szCs w:val="18"/>
          <w:color w:val="auto"/>
        </w:rPr>
        <w:t>” means the date that is five years after the Closing Date.</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Facility</w:t>
      </w:r>
      <w:r>
        <w:rPr>
          <w:rFonts w:ascii="Times New Roman" w:cs="Times New Roman" w:eastAsia="Times New Roman" w:hAnsi="Times New Roman"/>
          <w:sz w:val="18"/>
          <w:szCs w:val="18"/>
          <w:color w:val="auto"/>
        </w:rPr>
        <w:t>” means the Initial Revolving Credit Commitments and the Initial Revolving Loans and other extensions of credit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Lender</w:t>
      </w:r>
      <w:r>
        <w:rPr>
          <w:rFonts w:ascii="Times New Roman" w:cs="Times New Roman" w:eastAsia="Times New Roman" w:hAnsi="Times New Roman"/>
          <w:sz w:val="18"/>
          <w:szCs w:val="18"/>
          <w:color w:val="auto"/>
        </w:rPr>
        <w:t>” means any Lender with an Initial Revolving Credit Commitment or any Initial Revolving Credit Exposure.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Loan</w:t>
      </w:r>
      <w:r>
        <w:rPr>
          <w:rFonts w:ascii="Times New Roman" w:cs="Times New Roman" w:eastAsia="Times New Roman" w:hAnsi="Times New Roman"/>
          <w:sz w:val="18"/>
          <w:szCs w:val="18"/>
          <w:color w:val="auto"/>
        </w:rPr>
        <w:t xml:space="preserve">” means any revolving loan made by the Initial Revolving Lenders to the Borrower pursuant to </w:t>
      </w:r>
      <w:r>
        <w:rPr>
          <w:rFonts w:ascii="Times New Roman" w:cs="Times New Roman" w:eastAsia="Times New Roman" w:hAnsi="Times New Roman"/>
          <w:sz w:val="18"/>
          <w:szCs w:val="18"/>
          <w:u w:val="single" w:color="auto"/>
          <w:color w:val="auto"/>
        </w:rPr>
        <w:t>Section 2.01(a)(ii)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Lender</w:t>
      </w:r>
      <w:r>
        <w:rPr>
          <w:rFonts w:ascii="Times New Roman" w:cs="Times New Roman" w:eastAsia="Times New Roman" w:hAnsi="Times New Roman"/>
          <w:sz w:val="18"/>
          <w:szCs w:val="18"/>
          <w:color w:val="auto"/>
        </w:rPr>
        <w:t>” means any Lender with an Initial Term Loan Commitment or an outstanding Initial Term Loan.</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Commitment</w:t>
      </w:r>
      <w:r>
        <w:rPr>
          <w:rFonts w:ascii="Times New Roman" w:cs="Times New Roman" w:eastAsia="Times New Roman" w:hAnsi="Times New Roman"/>
          <w:sz w:val="18"/>
          <w:szCs w:val="18"/>
          <w:color w:val="auto"/>
        </w:rPr>
        <w:t xml:space="preserve">” means, with respect to each Term Lender, the commitment of such Term Lender to make Initial Term Loans hereunder in an aggregate amount not to exceed the amount set forth opposite such Term Lender’s name on the Commitment Schedule, as the same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(b) reduced or increased from time to time pursuant to (x) assignments by or to such Term Lender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(y) an Additional Term Loan Commitment. The aggregate amount of the Term Lenders’ Initial Term Loan Commitments on the Signing Date is $1,000,000,000.</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Maturity Date</w:t>
      </w:r>
      <w:r>
        <w:rPr>
          <w:rFonts w:ascii="Times New Roman" w:cs="Times New Roman" w:eastAsia="Times New Roman" w:hAnsi="Times New Roman"/>
          <w:sz w:val="18"/>
          <w:szCs w:val="18"/>
          <w:color w:val="auto"/>
        </w:rPr>
        <w:t>” means the date that is five years after the Closing Date.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means the term loans made by the Initial Term Lenders to the Borrower pursuant to </w:t>
      </w:r>
      <w:r>
        <w:rPr>
          <w:rFonts w:ascii="Times New Roman" w:cs="Times New Roman" w:eastAsia="Times New Roman" w:hAnsi="Times New Roman"/>
          <w:sz w:val="18"/>
          <w:szCs w:val="18"/>
          <w:u w:val="single" w:color="auto"/>
          <w:color w:val="auto"/>
        </w:rPr>
        <w:t>Section 2.01(a)(i)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xml:space="preserve">” means any agreement executed on or after the Closing Date confirming or effecting the grant of any Lien on IP Rights owned by any Loan Party to the Collateral Agent, for the benefit of the Secured Parties, in accordance with this Agreement, including any of the following: (a) a Trademark Security Agreement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hereto, (b) a Patent Security Agreement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hereto or (c) a Copyright Security Agreement substantially in the form of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hereto, or in each case any other form approved by the Administrative Agent and the Borrower.</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5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Coverage Ratio</w:t>
      </w:r>
      <w:r>
        <w:rPr>
          <w:rFonts w:ascii="Times New Roman" w:cs="Times New Roman" w:eastAsia="Times New Roman" w:hAnsi="Times New Roman"/>
          <w:sz w:val="18"/>
          <w:szCs w:val="18"/>
          <w:color w:val="auto"/>
        </w:rPr>
        <w:t xml:space="preserve">” means, as of any date of determination, the ratio for the most recently ended Test Period of (a) Consolidated Adjusted EBITDA for such Test Period to (b) Ratio Interest Expense for such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the Interest Coverage Ratio for any period ending prior to the first anniversary of the Closing Date, Ratio Interest Expense shall be an amount equal to actual Ratio Interest Expense from the Closing Date through the date of determination multiplied by a fraction the numerator of which is 365 and the denominator of which is the number of days from the Closing Date through the date of determination.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66" w:right="459" w:bottom="1440" w:gutter="0" w:footer="0" w:header="0"/>
        </w:sectPr>
      </w:pPr>
    </w:p>
    <w:bookmarkStart w:id="118" w:name="page119"/>
    <w:bookmarkEnd w:id="118"/>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means a request by the Borrower substantially in the form approved by the Administrative Agent and separately provided to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with respect to any ABR Loan or Canadian Prime Rate Loan, the last Business Day of each March, June, September and December (commencing with the last Business Day of the first full Fiscal Quarter ending after the Closing Date) or the maturity date applicable to such Loan, (b) with respect to any Eurocurrency Rate Loan, Term CORRA Loan, the last day of the Interest Period applicable to the Borrowing of which such Loan is a part and, in the case of a Eurocurrency Rate Borrowing or Term CORRA Borrowing with an Interest Period of more than three months’ duration, each day that would have been an Interest Payment Date had successive Interest Periods of three months’ duration been applicable to such Borrowing and the maturity date applicable to such Loan and (c) with respect to any Alternative Currency Daily Rate Loan or Daily Simple CORRA Loan, the last Business Day of each month and the maturity date applicable to such Loan.</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with respect to any Eurocurrency Rate Borrowing or Term CORRA Borrowing, the period commencing on the date of such Borrowing and ending on the numerically corresponding day in the calendar month that is one, three or (other than with respect to Term CORRA Borrowings) six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(a) any purchase or other acquisition by the Borrower or any of its Restricted Subsidiaries of any of the Securities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line of business or other business unit of any Person and (c) any loan, advance (other than any advance to any current or former employee, officer, director, member of management, manager, consultant or independent contractor of the Borrower or any Restricted Subsidiary for moving, entertainment and travel expenses, drawing accounts and similar expenditures or payroll expenses or advances in the ordinary course of business (including in the form of recruiting costs) or capital contribution by the Borrower or any of its Restricted Subsidiaries to any other Person. Subject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and interest in the case of any Investment in the form of a loan and any return or reduction of capital (including any distributions in connection with reduction or redemption of capital) or return on Investment in the case of any equity Investment (whether as a distribution, dividend, share buyback, redemption, sale or other similar amounts or income).</w:t>
      </w:r>
    </w:p>
    <w:p>
      <w:pPr>
        <w:spacing w:after="0" w:line="194"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“Investments” shall not include (i) accounts receivable, credit card and debit card receivables, trade credit, advances to customers and distributors, commission, travel and similar advances to employees, directors, officers, managers, distributors and consultants in each case made in the ordinary course of business or (ii) endorsements of negotiable instruments and documents in the ordinary course of business.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6" w:right="459" w:bottom="1440" w:gutter="0" w:footer="0" w:header="0"/>
        </w:sectPr>
      </w:pPr>
    </w:p>
    <w:bookmarkStart w:id="119" w:name="page120"/>
    <w:bookmarkEnd w:id="119"/>
    <w:p>
      <w:pPr>
        <w:ind w:right="22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Investment Grade Securities</w:t>
      </w:r>
      <w:r>
        <w:rPr>
          <w:rFonts w:ascii="Times New Roman" w:cs="Times New Roman" w:eastAsia="Times New Roman" w:hAnsi="Times New Roman"/>
          <w:sz w:val="17"/>
          <w:szCs w:val="17"/>
          <w:color w:val="auto"/>
        </w:rPr>
        <w:t xml:space="preserve">” means (a) securities issued or directly and fully guaranteed or insured by the United States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funds invested exclusively in investments of the type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which fund may also hold immaterial amounts of cash pending investment or distribution and (d) corresponding instruments in countries other than the United States customarily utilized for high quality investments.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xml:space="preserve">” means, as the context may require, (a) each of the Revolving Lenders with a Letter of Credit Commitment listed on </w:t>
      </w:r>
      <w:r>
        <w:rPr>
          <w:rFonts w:ascii="Times New Roman" w:cs="Times New Roman" w:eastAsia="Times New Roman" w:hAnsi="Times New Roman"/>
          <w:sz w:val="18"/>
          <w:szCs w:val="18"/>
          <w:u w:val="single" w:color="auto"/>
          <w:color w:val="auto"/>
        </w:rPr>
        <w:t>Schedule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1.01(a)(ii)</w:t>
      </w:r>
      <w:r>
        <w:rPr>
          <w:rFonts w:ascii="Times New Roman" w:cs="Times New Roman" w:eastAsia="Times New Roman" w:hAnsi="Times New Roman"/>
          <w:sz w:val="17"/>
          <w:szCs w:val="17"/>
          <w:color w:val="auto"/>
        </w:rPr>
        <w:t xml:space="preserve"> and (b) any other Revolving Lender that is appointed as an Issuing Bank in accordance with </w:t>
      </w:r>
      <w:r>
        <w:rPr>
          <w:rFonts w:ascii="Times New Roman" w:cs="Times New Roman" w:eastAsia="Times New Roman" w:hAnsi="Times New Roman"/>
          <w:sz w:val="17"/>
          <w:szCs w:val="17"/>
          <w:u w:val="single" w:color="auto"/>
          <w:color w:val="auto"/>
        </w:rPr>
        <w:t>Section 2.05(i)</w:t>
      </w:r>
      <w:r>
        <w:rPr>
          <w:rFonts w:ascii="Times New Roman" w:cs="Times New Roman" w:eastAsia="Times New Roman" w:hAnsi="Times New Roman"/>
          <w:sz w:val="17"/>
          <w:szCs w:val="17"/>
          <w:color w:val="auto"/>
        </w:rPr>
        <w:t>. Subject to the reasonable consent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of the Borrower (subject to the standards set forth in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each Issuing Bank may, in its discretion, arrange for one or more Letters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to be issued by any Affiliate of such Issuing Bank, in which case the term “Issuing Bank” shall include any such Affiliate with respect to Letters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Credit issued by such Affiliate.</w:t>
      </w:r>
    </w:p>
    <w:p>
      <w:pPr>
        <w:spacing w:after="0" w:line="203" w:lineRule="exact"/>
        <w:rPr>
          <w:sz w:val="20"/>
          <w:szCs w:val="20"/>
          <w:color w:val="auto"/>
        </w:rPr>
      </w:pPr>
    </w:p>
    <w:p>
      <w:pPr>
        <w:jc w:val="both"/>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with respect to any Person, any other Person in which such Person owns Capital Stock (other than any Wholly-Owned Subsidiary), and including, for the avoidance of doubt, any other Person in which such Person owns an interest in less than 100% of the Capital Stock thereof. Unless otherwise specified, “Joint Venture” shall refer to any Person in which the Borrower or any Restricted Subsidiary owns Capital Stock (other than any Wholly-Owned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means any Indebtedness for borrowed money of the Borrower or any of its Restricted Subsidiaries that is a Loan Party (other than Indebtedness among the Borrower and/or its subsidiaries) that is expressly subordinated in right of payment to the Loan Document Obligations.</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as of any date of determination, the latest maturity or expiration date applicable to any Loan or Commitment hereunder at such time.</w:t>
      </w:r>
    </w:p>
    <w:p>
      <w:pPr>
        <w:spacing w:after="0" w:line="15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Revolving Loan Maturity Date</w:t>
      </w:r>
      <w:r>
        <w:rPr>
          <w:rFonts w:ascii="Times New Roman" w:cs="Times New Roman" w:eastAsia="Times New Roman" w:hAnsi="Times New Roman"/>
          <w:sz w:val="18"/>
          <w:szCs w:val="18"/>
          <w:color w:val="auto"/>
        </w:rPr>
        <w:t>” means, as of any date of determination, the latest maturity or expiration date applicable to any Revolving Loan or Revolving Credit Commitment hereunder at such time.</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Term Loan Maturity Date</w:t>
      </w:r>
      <w:r>
        <w:rPr>
          <w:rFonts w:ascii="Times New Roman" w:cs="Times New Roman" w:eastAsia="Times New Roman" w:hAnsi="Times New Roman"/>
          <w:sz w:val="18"/>
          <w:szCs w:val="18"/>
          <w:color w:val="auto"/>
        </w:rPr>
        <w:t>” means, as of any date of determination, the latest maturity or expiration date applicable to any Term Loan hereunder at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2.05(j)(i)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means a payment or disbursement made by an Issuing Bank pursuant to a Letter of Credit.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6" w:right="459" w:bottom="1440" w:gutter="0" w:footer="0" w:header="0"/>
        </w:sectPr>
      </w:pPr>
    </w:p>
    <w:bookmarkStart w:id="120" w:name="page121"/>
    <w:bookmarkEnd w:id="120"/>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LC Exposure</w:t>
      </w:r>
      <w:r>
        <w:rPr>
          <w:rFonts w:ascii="Times New Roman" w:cs="Times New Roman" w:eastAsia="Times New Roman" w:hAnsi="Times New Roman"/>
          <w:sz w:val="18"/>
          <w:szCs w:val="18"/>
          <w:color w:val="auto"/>
        </w:rPr>
        <w:t>” means, at any time, the Dollar Equivalent (if applicable) of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 “</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 the application of relevant Debtor Relief Laws, general principles of equity and/or principles of good faith and fair dealing.</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means the Term Lenders, the Revolving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w:t>
      </w:r>
      <w:r>
        <w:rPr>
          <w:rFonts w:ascii="Times New Roman" w:cs="Times New Roman" w:eastAsia="Times New Roman" w:hAnsi="Times New Roman"/>
          <w:sz w:val="17"/>
          <w:szCs w:val="17"/>
          <w:color w:val="auto"/>
        </w:rPr>
        <w:t>” means any Standby Letter of Credit or Commercial Letter of Credit, bank guarantee, bankers’ acceptance or similar document or instrument, in each case issued pursuant to this Agreement (and shall, as of the Closing Date, be deemed to include all Existing Letters of Credit).</w:t>
      </w:r>
    </w:p>
    <w:p>
      <w:pPr>
        <w:spacing w:after="0" w:line="13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Commitment</w:t>
      </w:r>
      <w:r>
        <w:rPr>
          <w:rFonts w:ascii="Times New Roman" w:cs="Times New Roman" w:eastAsia="Times New Roman" w:hAnsi="Times New Roman"/>
          <w:sz w:val="18"/>
          <w:szCs w:val="18"/>
          <w:color w:val="auto"/>
        </w:rPr>
        <w:t xml:space="preserve">” means (i) with respect to any Issuing Bank listed on </w:t>
      </w:r>
      <w:r>
        <w:rPr>
          <w:rFonts w:ascii="Times New Roman" w:cs="Times New Roman" w:eastAsia="Times New Roman" w:hAnsi="Times New Roman"/>
          <w:sz w:val="18"/>
          <w:szCs w:val="18"/>
          <w:u w:val="single" w:color="auto"/>
          <w:color w:val="auto"/>
        </w:rPr>
        <w:t>Schedule 1.01(a)(ii)</w:t>
      </w:r>
      <w:r>
        <w:rPr>
          <w:rFonts w:ascii="Times New Roman" w:cs="Times New Roman" w:eastAsia="Times New Roman" w:hAnsi="Times New Roman"/>
          <w:sz w:val="18"/>
          <w:szCs w:val="18"/>
          <w:color w:val="auto"/>
        </w:rPr>
        <w:t xml:space="preserve">, the amount set forth opposite such Issuing Bank’s name on such Schedule and (ii) with respect to any other Issuing Bank, the amount specified to be such Issuing Bank’s “Letter of Credit Commitment” at the time such Issuing Bank becomes an Issuing Bank (as contemplated by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xml:space="preserve">) all as separately increased pursuant to any written agreement between such Issuing Bank and the Borrower and notified to the Administrative Agent, in each case, as the same may be reduced from time to time pursuant to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the consent of the Borrower and the Administrative Agent not to be unreasonably withheld or delayed, any Issuing Bank may assign in whole or part a portion of its Letter of Credit Commitment to any other Revolving Lender who consents to such assignment.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Letter-of-Credit Right</w:t>
      </w:r>
      <w:r>
        <w:rPr>
          <w:rFonts w:ascii="Times New Roman" w:cs="Times New Roman" w:eastAsia="Times New Roman" w:hAnsi="Times New Roman"/>
          <w:sz w:val="18"/>
          <w:szCs w:val="18"/>
          <w:color w:val="auto"/>
        </w:rPr>
        <w:t>” has the meaning set forth in Article 9 of the UCC.</w:t>
      </w:r>
    </w:p>
    <w:p>
      <w:pPr>
        <w:spacing w:after="0" w:line="225"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 Sublimit</w:t>
      </w:r>
      <w:r>
        <w:rPr>
          <w:rFonts w:ascii="Times New Roman" w:cs="Times New Roman" w:eastAsia="Times New Roman" w:hAnsi="Times New Roman"/>
          <w:sz w:val="17"/>
          <w:szCs w:val="17"/>
          <w:color w:val="auto"/>
        </w:rPr>
        <w:t xml:space="preserve">” means the aggregate amount of Letter of Credit Commitments, as adjusted from time to time in accordance with </w:t>
      </w:r>
      <w:r>
        <w:rPr>
          <w:rFonts w:ascii="Times New Roman" w:cs="Times New Roman" w:eastAsia="Times New Roman" w:hAnsi="Times New Roman"/>
          <w:sz w:val="17"/>
          <w:szCs w:val="17"/>
          <w:u w:val="single" w:color="auto"/>
          <w:color w:val="auto"/>
        </w:rPr>
        <w:t>Section 2.05(i)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2.10(c)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xml:space="preserve"> hereof. The aggregate amount of Letter of Credit Commitments on the Signing Date is $$150,000,000.</w:t>
      </w:r>
    </w:p>
    <w:p>
      <w:pPr>
        <w:spacing w:after="0" w:line="132"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in each case, in the nature of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Non-Finance Lease Obligation in and of itself be deemed to constitute a Lien.</w:t>
      </w:r>
    </w:p>
    <w:p>
      <w:pPr>
        <w:spacing w:after="0" w:line="17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 Obligations</w:t>
      </w:r>
      <w:r>
        <w:rPr>
          <w:rFonts w:ascii="Times New Roman" w:cs="Times New Roman" w:eastAsia="Times New Roman" w:hAnsi="Times New Roman"/>
          <w:sz w:val="18"/>
          <w:szCs w:val="18"/>
          <w:color w:val="auto"/>
        </w:rPr>
        <w:t xml:space="preserve">”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and all expenses, reimbursements, indemnities and all other advances to, debts, liabilities and obligations of the Loan Parties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 including any Erroneous Payment Subrogation Rights acquired by the Administrative Agent pursuant to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(it being understood and agreed that such Erroneous Payment Subrogation Rights shall not be duplicative of or increase the Loan Document Obligations).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80"/>
          </w:cols>
          <w:pgMar w:left="440" w:top="266" w:right="479" w:bottom="1440" w:gutter="0" w:footer="0" w:header="0"/>
        </w:sectPr>
      </w:pPr>
    </w:p>
    <w:bookmarkStart w:id="121" w:name="page122"/>
    <w:bookmarkEnd w:id="121"/>
    <w:p>
      <w:pPr>
        <w:jc w:val="both"/>
        <w:ind w:right="3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Agreement, any Promissory Note, the Collateral Documents, any Acceptable Intercreditor Agreement and any other document or instrument designated by the Borrower and the Administrative Agent as a “Loan Document”, including any Incremental Facility Amendment, Refinancing Amendment or Extension Amendment or any other amendment hereto or thereto. Any reference in this Agreement or any other Loan Document to a Loan Document shall include all appendices, exhibits or schedules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Guarantee</w:t>
      </w:r>
      <w:r>
        <w:rPr>
          <w:rFonts w:ascii="Times New Roman" w:cs="Times New Roman" w:eastAsia="Times New Roman" w:hAnsi="Times New Roman"/>
          <w:sz w:val="18"/>
          <w:szCs w:val="18"/>
          <w:color w:val="auto"/>
        </w:rPr>
        <w:t xml:space="preserve">” means the guarantee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including pursuant to any Counterpart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the Borrower and each Subsidiary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any Initial Term Loan, any Additional Term Loan, any Revolving Loan, any Swingline Loan and/or any Additional Revolving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to such term in Regulation U.</w:t>
      </w:r>
    </w:p>
    <w:p>
      <w:pPr>
        <w:spacing w:after="0" w:line="225" w:lineRule="exact"/>
        <w:rPr>
          <w:sz w:val="20"/>
          <w:szCs w:val="20"/>
          <w:color w:val="auto"/>
        </w:rPr>
      </w:pPr>
    </w:p>
    <w:p>
      <w:pPr>
        <w:jc w:val="both"/>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xml:space="preserve">” means, at any date of determination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amount equal to (a) the total number of then issued and outstanding shares of common Capital Stock of the Borrower or any parent company multiplied by (b) the arithmetic mean of the closing prices per share of such common Capital Stock on the principal securities exchange on which such common Capital Stock is traded for the 30 consecutive trading days immediately preceding such date.</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Intercreditor Agreement</w:t>
      </w:r>
      <w:r>
        <w:rPr>
          <w:rFonts w:ascii="Times New Roman" w:cs="Times New Roman" w:eastAsia="Times New Roman" w:hAnsi="Times New Roman"/>
          <w:sz w:val="18"/>
          <w:szCs w:val="18"/>
          <w:color w:val="auto"/>
        </w:rPr>
        <w:t xml:space="preserve">” means an intercreditor or subordination agreement or arrangement (which may take the form of a “waterfall” or similar provision) the terms of which are either (a)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Indebtedness subject thereto or (b) in the event a “Market Intercreditor Agreement” has been entered into after the Signing Date meeting the requirement of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terms of which are, taken as a whole, not materially less favorable to the Lenders, the Administrative Agent and the Issuing Banks (in their capacities as such) than the terms of such Market Intercreditor Agreement to the extent such agreement governs similar priorities, in each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determined by the Borrower in good faith.</w:t>
      </w:r>
    </w:p>
    <w:p>
      <w:pPr>
        <w:spacing w:after="0" w:line="183"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business, financial condition or results of operations, in each case, of the Borrower and its Restricted Subsidiaries, taken as a whole or (b) the material rights and remedies (taken as a whole) of the Administrative Agent and the applicable Lenders under the applicable Loan Documents.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 Instrument</w:t>
      </w:r>
      <w:r>
        <w:rPr>
          <w:rFonts w:ascii="Times New Roman" w:cs="Times New Roman" w:eastAsia="Times New Roman" w:hAnsi="Times New Roman"/>
          <w:sz w:val="18"/>
          <w:szCs w:val="18"/>
          <w:color w:val="auto"/>
        </w:rPr>
        <w:t>” means any physical instrument evidencing any Indebtedness for borrowed money which is required to be pledged and delivered to the Collateral Agent (or its bailee) pursuant to the Collateral Documents.</w:t>
      </w:r>
    </w:p>
    <w:p>
      <w:pPr>
        <w:spacing w:after="0" w:line="155"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Insurance/Condemnation Proceeds</w:t>
      </w:r>
      <w:r>
        <w:rPr>
          <w:rFonts w:ascii="Times New Roman" w:cs="Times New Roman" w:eastAsia="Times New Roman" w:hAnsi="Times New Roman"/>
          <w:sz w:val="17"/>
          <w:szCs w:val="17"/>
          <w:color w:val="auto"/>
        </w:rPr>
        <w:t>” means Net Insurance/Condemnation Proceeds in excess of the greater of $112,500,000 and 5% of Consolidated Adjusted EBITDA as of the last day of the most recently ended Test Period in any single transaction or series of related transactions.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122" w:name="page123"/>
    <w:bookmarkEnd w:id="122"/>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any IP Rights (other than customer lists) owned by the Borrower and its Restricted Subsidiaries that is material to the business of the Borrower and its Restricted Subsidiaries, taken as a whole (as determined by the Borrower in good faith).</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Estate Asset</w:t>
      </w:r>
      <w:r>
        <w:rPr>
          <w:rFonts w:ascii="Times New Roman" w:cs="Times New Roman" w:eastAsia="Times New Roman" w:hAnsi="Times New Roman"/>
          <w:sz w:val="18"/>
          <w:szCs w:val="18"/>
          <w:color w:val="auto"/>
        </w:rPr>
        <w:t>” means any “fee-owned” Real Estate Asset located in the United States, and the improvements thereto, that (together with such improvements) has a fair market value (as determined by the Borrower in good faith after taking into account any liabilities with respect thereto that impact such fair market value or, if not then readily determinable, a book value) in excess of the greater of $225,500,000 and 10% of Consolidated Adjusted EBITDA as of the last day of the most recently ended Test Period (a) as of the Closing Date, with respect to any Real Estate Asset owned by any Loan Party as of the Closing Date, or (b) as of the date of acquisition thereof, with respect to any Real Estate Asset acquired by any Loan Party after the Closing Date.</w:t>
      </w:r>
    </w:p>
    <w:p>
      <w:pPr>
        <w:spacing w:after="0" w:line="182"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 with respect to the Initial Revolving Facility, the Initial Revolving Credit Maturity Date, (b) with respect to the Initial Term Loans, the Initial Term Loan Maturity Date, (c) with respect to any Replacement Term Loans or Replacement Revolving Facility, the final maturity date for such Replacement Term Loans or Replacement Revolving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MIRE Event”</w:t>
      </w:r>
      <w:r>
        <w:rPr>
          <w:rFonts w:ascii="Times New Roman" w:cs="Times New Roman" w:eastAsia="Times New Roman" w:hAnsi="Times New Roman"/>
          <w:sz w:val="18"/>
          <w:szCs w:val="18"/>
          <w:color w:val="auto"/>
        </w:rPr>
        <w:t xml:space="preserve"> means, with respect to any Initial Lender, if there are any Mortgaged Properties at such time, any increase of the principal amount, extension of the Maturity Date or renewal hereunder of any of the Commitments or Loans of such Initial Lender (including provision of any Incremental Facilities by such Initial Lender, but excluding (i) any continuation or conversion of Borrowings, (ii) the making of any Loan or (iii) the issuance, renewal or extension of Letters of Credit).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right="4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means any mortgage, deed of trust, deed to secure debt or other agreement which conveys or evidences a Lien in favor of the Collateral Agent, for the benefit of the Collateral Agent and the relevant Secured Parties, on any Material Real Estate Asset constituting Collateral.</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has the meaning assigned to such term in the definition of “Collateral and Guarantee Requirement”.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Property”</w:t>
      </w:r>
      <w:r>
        <w:rPr>
          <w:rFonts w:ascii="Times New Roman" w:cs="Times New Roman" w:eastAsia="Times New Roman" w:hAnsi="Times New Roman"/>
          <w:sz w:val="18"/>
          <w:szCs w:val="18"/>
          <w:color w:val="auto"/>
        </w:rPr>
        <w:t xml:space="preserve"> means any Material Real Estate Asset subject to a Mortgage.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of ERISA, that is subject to the provisions of Title IV of ERISA, and in respect of which the Borrower, any of its Restricted Subsidiaries or any ERISA Affiliate, makes or is obligated to make contributions or with respect to which any of them has any ongoing obligation or liability.</w:t>
      </w:r>
    </w:p>
    <w:p>
      <w:pPr>
        <w:spacing w:after="0" w:line="171"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Narrative Report</w:t>
      </w:r>
      <w:r>
        <w:rPr>
          <w:rFonts w:ascii="Times New Roman" w:cs="Times New Roman" w:eastAsia="Times New Roman" w:hAnsi="Times New Roman"/>
          <w:sz w:val="18"/>
          <w:szCs w:val="18"/>
          <w:color w:val="auto"/>
        </w:rPr>
        <w:t>” means, with respect to the financial statements with respect to which it is delivered, a management discussion and narrative report describing the operations of the Borrower and its Restricted Subsidiaries for the applicable Fiscal Quarter or Fiscal Year and for the period from the beginning of the then current Fiscal Year to the end of the period to which the relevant financial statements relate.</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123" w:name="page124"/>
    <w:bookmarkEnd w:id="12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Net Insurance/Condemnation Proceeds</w:t>
      </w:r>
      <w:r>
        <w:rPr>
          <w:rFonts w:ascii="Times New Roman" w:cs="Times New Roman" w:eastAsia="Times New Roman" w:hAnsi="Times New Roman"/>
          <w:sz w:val="18"/>
          <w:szCs w:val="18"/>
          <w:color w:val="auto"/>
        </w:rPr>
        <w:t xml:space="preserve">” means an amount equal to: (a) any Cash payments or proceeds (including Cash Equivalents) received by the Borrower or any of its Restricted Subsidiaries other than in the ordinary course of business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expropriation or otherwise, or pursuant to a sale of any such assets to a purchaser with such power under threat of such a taking, minus (b) in respect of the Loan Parties or any of their respective subsidiaries, Affiliates or direct or indirect equityholders (i) any actual out-of-pocket costs and expenses incurred in connection with the adjustment, settlement or collection of any claims in respect thereof, (ii) payment of the outstanding principal amount of, premium or penalty, if any, and interest and other amounts on any Indebtedness (other than the Loans, any Indebtedness secured by a Lien on the Collateral that is pari passu with or expressly subordinated to the Lien on the Collateral securing the Obligations and any unsecured Indebtedness incurred by a Loan Party)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deed or mortgage recording taxes, relocation expenses, currency hedging expenses, other expenses and brokerage, consultant and other customary fees actually incurred in connection therewith and transfer and similar Taxes and the Borrower’s good faith estimate of income Taxes paid or payable (including pursuant to Tax sharing arrangements or that are or would be imposed on intercompany distributions of such proceeds)) in connection with any sale or taking of such assets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(v) any amounts provided as a reserve in accordance with GAAP against any liabilities under any indemnification obligation or purchase price adjustments associated with any sale or taking of such assets as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Insurance/Condemnation Proceeds) and (vi) in the case of any covered loss or taking from any non-Wholly-Owned Subsidiary, the pro rata portion thereof (calculated without regard to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attributable to minority interests and not available for distribution to or for the account of the Borrower or a Wholly-Owned Subsidiary as a result thereof.</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(a) with respect to any Disposition (including any Prepayment Asset Sale), the Cash proceeds (including Cash Equivalents and Cash proceeds subsequently received (as and when received) in respect of non-cash consideration initially received), net of (with respect to any Loan Party or its subsidiaries, Affiliates or direct or indirect equity owners) (i) selling costs and out-of-pocket expenses (including broker’s fees or commissions, legal fees, accountants’ fees, investment banking fees, survey costs, title insurance premiums, and related search and recording charges, deed or mortgage recording Taxes, relocation expenses incurred as a result thereof, foreign currency hedging expenses, other customary expenses and brokerage, consultant and other customary fees actually incurred in connection therewith and transfer and similar Taxes and the Borrower’s good faith estimate of income Taxes paid or payable (including pursuant to Tax sharing arrangements or that are or would be imposed on intercompany distributions of such proceeds) in connection with such Disposition and the Borrower’s good faith estimate of payments to be made in respect of incentive equity, synthetic equity or similar incentive awards in connection with such Disposition), (ii) amounts provided as a reserve in accordance with GAAP against any liabilities under any indemnification obligation or purchase price adjustment associated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124" w:name="page125"/>
    <w:bookmarkEnd w:id="12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amounts shall constitute Net Proceeds), (iii) the principal amount, premium or penalty, if any, interest and other amounts on any Indebtedness (other than the Loans, any other Indebtedness that is secured by a Lien on the Collateral that is pari passu with or expressly subordinated to the Lien on the Collateral securing the Obligations and any unsecured Indebtedness incurred by a Loan Party) that is required to be repaid or otherwise comes due or would be in default and is repaid or which is required to be paid in order to obtain a necessary consent to such Disposition or by applicable law (other than any such Indebtedness that is assumed by the purchaser of such asset), (iv) Cash escrows (until released from escrow to the Borrower or any of its Restricted Subsidiaries) from the sale price for such Disposition, (v) in the case of any Disposition by any non-Wholly-Owned Subsidiary, the pro rata portion of the Net Proceeds thereof (calculated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attributable to any minority interest and not available for distribution to or for the account of the Borrower or a Wholly-Owned Subsidiary as a result thereof and (vi) in the case of any Disposition of a Permitted Bond Hedge Transaction, any cash amount owing to holders of Convertible Indebtedness in connection with a related conversion or repayment thereof; and (b) with respect to any issuance or incurrence of Indebtedness or Capital Stock, the Cash proceeds thereof, net of all Taxes and fees, commissions, costs, underwriting discounts and other fees and expenses incurred in connection therewith (including, in respect of any incurrence of Convertible Indebtedness, the cost of any Permitted Bond Hedge Transaction, net of the proceeds of any concurrent Permitted Warrant Transaction).</w:t>
      </w:r>
    </w:p>
    <w:p>
      <w:pPr>
        <w:spacing w:after="0" w:line="18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has the meaning assigned to such term in the definition of “Consolidated Total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2.19(b)(iv)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Non-Finance Lease Obligation</w:t>
      </w:r>
      <w:r>
        <w:rPr>
          <w:rFonts w:ascii="Times New Roman" w:cs="Times New Roman" w:eastAsia="Times New Roman" w:hAnsi="Times New Roman"/>
          <w:sz w:val="18"/>
          <w:szCs w:val="18"/>
          <w:color w:val="auto"/>
        </w:rPr>
        <w:t>” of any Person means a lease obligation of such Person that is not an obligation in respect of a Finance Lease. A straight-line or operating lease shall be considered a Non-Finance Lease Obligation.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xml:space="preserve">” means all Loan Document Obligations, together with (a) all Banking Services Obligations and (b) all Secured Hedging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Banking Services Obligations and Secured Hedging Obligations shall cease to constitute Obligations on and after the Termination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with respect to any corporation, its certificate, memorandum or articles of incorporation, association, amalgamation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or limited liability company agreement and (e) with 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125" w:name="page126"/>
    <w:bookmarkEnd w:id="125"/>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means any Indebtedness that is secured on a pari passu basis (without regard to the control of remedies) with any Obligation pursuant to the terms of the documentation governing such Indebtedness.</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or the Administrative Agent,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any and all present or future stamp, court or documentary, intangible, recording, filing or similar Taxes arising from any payment made hereunder or from the execution, delivery or enforcement of,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the Dollar Equivalent of (a) with respect to any Loans on any date, the aggregate outstanding principal amount thereof after giving effect to any borrowings and prepayments or repayments of such Loans occurring on such date, (b) with respect to any Letter of Credit,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w:t>
      </w:r>
    </w:p>
    <w:p>
      <w:pPr>
        <w:spacing w:after="0" w:line="183"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Packaged Rights</w:t>
      </w:r>
      <w:r>
        <w:rPr>
          <w:rFonts w:ascii="Times New Roman" w:cs="Times New Roman" w:eastAsia="Times New Roman" w:hAnsi="Times New Roman"/>
          <w:sz w:val="18"/>
          <w:szCs w:val="18"/>
          <w:color w:val="auto"/>
        </w:rPr>
        <w:t>” means warrants, options or other rights or obligations to acquire shares of any class of the Capital Stock of the Borrower or a Restricted Subsidiary (whether settled in Capital Stock, cash or any combination thereof), regardless of the issuer of such warrants, options or other rights, that are initially issued as a unit with Capital Stock or Indebtedness of the Borrower or any Restricted Subsidiary (which may be guaranteed by the Guarantors, the Borrower or any Restricted Subsidiary) permitted to be incurred hereunder, even if such Capital Stock or Indebtedness is separable from such warrants, options or other rights by a holder thereof.</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assigned to such term in the recitals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patents and patent applications, together with all inventions, designs or improvement described or claimed therein, and all reissues, reexaminations, divisions, continuations, renewals, extensions and continuations in part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defined in Section 3(2) of ERISA (other than a Multiemployer Plan), that is subject to the provisions of Title IV of ERISA or Section 412 of the Code or Section 302 of ERISA, and that the Borrower, any of its Restricted Subsidiaries or any ERISA Affiliate, maintains or contributes to or has an obligation to contribute to, or otherwise has any liability for.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6" w:right="439" w:bottom="1440" w:gutter="0" w:footer="0" w:header="0"/>
        </w:sectPr>
      </w:pPr>
    </w:p>
    <w:bookmarkStart w:id="126" w:name="page127"/>
    <w:bookmarkEnd w:id="126"/>
    <w:p>
      <w:pPr>
        <w:ind w:left="4" w:right="8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the Perfection Certificate in the form delivered on the Closing Date or any other form approved by the Administrative Agent and the Borrower.</w:t>
      </w:r>
    </w:p>
    <w:p>
      <w:pPr>
        <w:spacing w:after="0" w:line="15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Requirements</w:t>
      </w:r>
      <w:r>
        <w:rPr>
          <w:rFonts w:ascii="Times New Roman" w:cs="Times New Roman" w:eastAsia="Times New Roman" w:hAnsi="Times New Roman"/>
          <w:sz w:val="18"/>
          <w:szCs w:val="18"/>
          <w:color w:val="auto"/>
        </w:rPr>
        <w:t>” means (a) the filing of appropriate financing statements with the office of the Secretary of State or other appropriate office in the state of organization of each Loan Party, (b) the filing of Intellectual Property Security Agreements or other appropriate assignments or notices with the U.S. Patent and Trademark Office and/or the U.S. Copyright Office, as applicable, (c) the proper recording or filing, as applicable, of Mortgages and fixture filings with respect to any Material Real Estate Asset constituting Collateral, in each case in favor of the Collateral Agent for the benefit of the Secured Parties, (d) the delivery to the Collateral Agent of any stock certificate or promissory note to the extent required to be delivered by the applicable Loan Documents, and (e) other filings, recordings and registrations necessary to perfect the Liens on the Collateral granted by the Loan Parties in favor of the Collateral Agent or to enforce the rights of the Collateral Agent, the Administrative Agent and the Secured Parties under the Loan Documents.</w:t>
      </w:r>
    </w:p>
    <w:p>
      <w:pPr>
        <w:spacing w:after="0" w:line="185"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Acquisition</w:t>
      </w:r>
      <w:r>
        <w:rPr>
          <w:rFonts w:ascii="Times New Roman" w:cs="Times New Roman" w:eastAsia="Times New Roman" w:hAnsi="Times New Roman"/>
          <w:sz w:val="17"/>
          <w:szCs w:val="17"/>
          <w:color w:val="auto"/>
        </w:rPr>
        <w:t>” means (a) any acquisition by the Borrower or any of its Restricted Subsidiaries, whether by purchase, merger, amalgamation or otherwise, of all or a substantial portion of the assets of, or any division, line of business, business unit or product line (including research and development and related assets in respect of any product line, product or facility) of, any Person or of a majority of the outstanding Capital Stock of any Person (and, in any event, including any Investment in (x) any Restricted Subsidiary which serves to increase the Borrower’s or any Restricted Subsidiary’s respective equity ownership in such Restricted Subsidiary or (y) any Joint Venture for the purpose of increasing the Borrower’s or its relevant Restricted Subsidiary’s ownership interest in such Joint Venture) or (b) any exclusive license of a product line of a Person, in each case if</w:t>
      </w:r>
    </w:p>
    <w:p>
      <w:pPr>
        <w:spacing w:after="0" w:line="4" w:lineRule="exact"/>
        <w:rPr>
          <w:sz w:val="20"/>
          <w:szCs w:val="20"/>
          <w:color w:val="auto"/>
        </w:rPr>
      </w:pPr>
    </w:p>
    <w:p>
      <w:pPr>
        <w:ind w:left="4" w:right="120" w:hanging="4"/>
        <w:spacing w:after="0" w:line="252" w:lineRule="auto"/>
        <w:tabs>
          <w:tab w:leader="none" w:pos="2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Person is or becomes a Restricted Subsidiary or (2) such Person, in one transaction or a series of related transactions, is amalgamated, merged or consolidated with or into, or transfers, conveys or exclusively licenses all or a substantial portion of its assets (or such division, line of business, business unit, product line or facility) to, or is liquidated into, the Borrower and/or any Restricted Subsidiary as a result of such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target Person, assets, business or division in respect of such acquisition is a business permitted under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(ii) at the applicable time elected by the Borrower in accordance with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with respect to such acquisition, no Specified Event of Default shall be continuing and (iii) the Borrower and its Restricted Subsidiaries shall comply with the requirements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(to the extent so required therein and within the time periods (and extensions thereof) set forth therein) with respect to each Person, Capital Stock and/or other assets so acquired.</w:t>
      </w:r>
    </w:p>
    <w:p>
      <w:pPr>
        <w:spacing w:after="0" w:line="184"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means the concurrent purchase and sale or exchange of Related Business Assets or any combination of Related Business Assets between the Borrower and/or any Restricted Subsidiary and any other Person.</w:t>
      </w:r>
    </w:p>
    <w:p>
      <w:pPr>
        <w:spacing w:after="0" w:line="15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Bond Hedge Transaction</w:t>
      </w:r>
      <w:r>
        <w:rPr>
          <w:rFonts w:ascii="Times New Roman" w:cs="Times New Roman" w:eastAsia="Times New Roman" w:hAnsi="Times New Roman"/>
          <w:sz w:val="18"/>
          <w:szCs w:val="18"/>
          <w:color w:val="auto"/>
        </w:rPr>
        <w:t xml:space="preserve">” means any bond hedge or call or capped call option (or similar transaction) on or linked to the Borrower’s Capital Stock and purchased in connection with the issuance of any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 price for such Permitted Bond Hedge Transaction, less the proceeds received from the sale of any related Permitted Warrant Transaction, does not exceed the net proceeds received from the sale of such Convertible Indebtedness.</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4"/>
          </w:cols>
          <w:pgMar w:left="436" w:top="266" w:right="459" w:bottom="1440" w:gutter="0" w:footer="0" w:header="0"/>
        </w:sectPr>
      </w:pPr>
    </w:p>
    <w:bookmarkStart w:id="127" w:name="page128"/>
    <w:bookmarkEnd w:id="127"/>
    <w:p>
      <w:pPr>
        <w:ind w:right="30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Earlier Maturity Indebtedness Exception</w:t>
      </w:r>
      <w:r>
        <w:rPr>
          <w:rFonts w:ascii="Times New Roman" w:cs="Times New Roman" w:eastAsia="Times New Roman" w:hAnsi="Times New Roman"/>
          <w:sz w:val="18"/>
          <w:szCs w:val="18"/>
          <w:color w:val="auto"/>
        </w:rPr>
        <w:t>” means, with respect to any Incremental Term Facility, Incremental Equivalent Debt, Refinancing Indebtedness or Replacement Term Loan permitted to be incurred hereunder, that up to the greater of $1,125,000,000 and 50% of Consolidated Adjusted EBITDA as of the last day of the most recently ended Test Period in aggregate principal amount of such Indebtedness outstanding at such time (the “</w:t>
      </w:r>
      <w:r>
        <w:rPr>
          <w:rFonts w:ascii="Times New Roman" w:cs="Times New Roman" w:eastAsia="Times New Roman" w:hAnsi="Times New Roman"/>
          <w:sz w:val="18"/>
          <w:szCs w:val="18"/>
          <w:b w:val="1"/>
          <w:bCs w:val="1"/>
          <w:color w:val="auto"/>
        </w:rPr>
        <w:t>Specified Debt</w:t>
      </w:r>
      <w:r>
        <w:rPr>
          <w:rFonts w:ascii="Times New Roman" w:cs="Times New Roman" w:eastAsia="Times New Roman" w:hAnsi="Times New Roman"/>
          <w:sz w:val="18"/>
          <w:szCs w:val="18"/>
          <w:color w:val="auto"/>
        </w:rPr>
        <w:t>”) may have a final maturity date that is earlier than, and a Weighted Average Life to Maturity that is shorter than the remaining Weighted Average Life to Maturity of, the Indebtedness with respect to which the Specified Debt is otherwise required to have a later final maturity date or Weighted Average Life.</w:t>
      </w:r>
    </w:p>
    <w:p>
      <w:pPr>
        <w:spacing w:after="0" w:line="182"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w:t>
      </w:r>
      <w:r>
        <w:rPr>
          <w:rFonts w:ascii="Times New Roman" w:cs="Times New Roman" w:eastAsia="Times New Roman" w:hAnsi="Times New Roman"/>
          <w:sz w:val="18"/>
          <w:szCs w:val="18"/>
          <w:color w:val="auto"/>
        </w:rPr>
        <w:t>” means (a) common equity, (b) Qualified Capital Stock and (c) other preferred Capital Stock or other instruments having terms reasonably acceptable to the Administrative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means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means any future, current or former director, officer, member of management, manager, employee, independent contractor or consultant (or any Affiliate, Immediate Family Member or transferee of any of the foregoing) of the Borrower (or any subsidiary).</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xml:space="preserve">” means any transaction or undertaking, including Investments, in connection with internal reorganizations and/or restructurings (including in connection with tax planning and corporate reorganizations), so long as, after giving effect thereto, (a) the Loan Parties shall comply with the Collateral and Guarantee Requirements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(b) the security interest of the Secured Parties in the Collateral, taken as a whole, is not materially impaired (including by a material portion of the assets that constitute Collateral immediately prior to such Permitted Reorganization no longer constituting Collateral) as a result of such Permitted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delivered to the Administrative Agent an officer’s certificate executed by a Responsible Officer of the Borrower certifying as to the best of such officer’s knowledge compliance with the requirements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18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Treasury Arrangements</w:t>
      </w:r>
      <w:r>
        <w:rPr>
          <w:rFonts w:ascii="Times New Roman" w:cs="Times New Roman" w:eastAsia="Times New Roman" w:hAnsi="Times New Roman"/>
          <w:sz w:val="18"/>
          <w:szCs w:val="18"/>
          <w:color w:val="auto"/>
        </w:rPr>
        <w:t>” means Banking Services entered into in the ordinary course of business and any transactions between or among the Borrower and its Subsidiaries that are entered into in the ordinary course of business in connection with such Banking Services.</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Warrant Transaction</w:t>
      </w:r>
      <w:r>
        <w:rPr>
          <w:rFonts w:ascii="Times New Roman" w:cs="Times New Roman" w:eastAsia="Times New Roman" w:hAnsi="Times New Roman"/>
          <w:sz w:val="18"/>
          <w:szCs w:val="18"/>
          <w:color w:val="auto"/>
        </w:rPr>
        <w:t>” means any call option, warrant or right to purchase (or similar transaction), on or linked to the Borrower’s or a Restricted Subsidiary’s Capital Stock, regardless of the issuer or seller thereof, issued substantially concurrently with any purchase of a related Permitted Bond Hedge Transaction.</w:t>
      </w:r>
    </w:p>
    <w:p>
      <w:pPr>
        <w:spacing w:after="0" w:line="17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any other entity.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Capital Stock</w:t>
      </w:r>
      <w:r>
        <w:rPr>
          <w:rFonts w:ascii="Times New Roman" w:cs="Times New Roman" w:eastAsia="Times New Roman" w:hAnsi="Times New Roman"/>
          <w:sz w:val="18"/>
          <w:szCs w:val="18"/>
          <w:color w:val="auto"/>
        </w:rPr>
        <w:t>” means any Capital Stock with preferential rights of payment of dividends or upon liquidation, dissolution or winding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w:t>
      </w:r>
    </w:p>
    <w:p>
      <w:pPr>
        <w:spacing w:after="0" w:line="203"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Asset Sale</w:t>
      </w:r>
      <w:r>
        <w:rPr>
          <w:rFonts w:ascii="Times New Roman" w:cs="Times New Roman" w:eastAsia="Times New Roman" w:hAnsi="Times New Roman"/>
          <w:sz w:val="18"/>
          <w:szCs w:val="18"/>
          <w:color w:val="auto"/>
        </w:rPr>
        <w:t xml:space="preserve">” means any Disposition by the Borrower or its Restricted Subsidiaries made pursuant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of assets constituting Collateral.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has the meaning assigned to such term in the definition of “Guarantee”.</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60"/>
          </w:cols>
          <w:pgMar w:left="440" w:top="266" w:right="499" w:bottom="1440" w:gutter="0" w:footer="0" w:header="0"/>
        </w:sectPr>
      </w:pPr>
    </w:p>
    <w:bookmarkStart w:id="128" w:name="page129"/>
    <w:bookmarkEnd w:id="128"/>
    <w:p>
      <w:pPr>
        <w:ind w:right="2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means, with respect to any determination of the Total Leverage Ratio, the First Lien Leverage Ratio, the Secured Leverage Ratio, the Interest Coverage Ratio, Consolidated Adjusted EBITDA, Consolidated Net Income or Consolidated Total Assets (including component definitions thereof), that each Subject Transaction shall be deemed to have occurred as of the first day of the applicable Test Period (or, in the case of Consolidated Total Assets (or with respect to any determination pertaining to the balance sheet, including the acquisition of Cash and Cash Equivalents in connection with an acquisition of a Person, business line, unit, division or product line), as of the last day of such Test Period) with respect to any test or covenant for which such calculation is being made and that:</w:t>
      </w:r>
    </w:p>
    <w:p>
      <w:pPr>
        <w:spacing w:after="0" w:line="78" w:lineRule="exact"/>
        <w:rPr>
          <w:sz w:val="20"/>
          <w:szCs w:val="20"/>
          <w:color w:val="auto"/>
        </w:rPr>
      </w:pPr>
    </w:p>
    <w:p>
      <w:pPr>
        <w:ind w:left="440" w:right="20" w:firstLine="419"/>
        <w:spacing w:after="0" w:line="253" w:lineRule="auto"/>
        <w:tabs>
          <w:tab w:leader="none" w:pos="11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case of (A) any Disposition of all or substantially all of the Capital Stock of any Restricted Subsidiary or any division and/or product line of the Borrower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“Subject Transaction”,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86" w:lineRule="exact"/>
        <w:rPr>
          <w:rFonts w:ascii="Times New Roman" w:cs="Times New Roman" w:eastAsia="Times New Roman" w:hAnsi="Times New Roman"/>
          <w:sz w:val="18"/>
          <w:szCs w:val="18"/>
          <w:color w:val="auto"/>
        </w:rPr>
      </w:pPr>
    </w:p>
    <w:p>
      <w:pPr>
        <w:ind w:left="440" w:right="100" w:firstLine="419"/>
        <w:spacing w:after="0" w:line="258" w:lineRule="auto"/>
        <w:tabs>
          <w:tab w:leader="none" w:pos="111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Expected Cost Savings as a result of any Cost Saving Initiative shall be calculated on a pro forma basis as though such Expected Cost Savings had been realized on the first day of the applicable Test Period and as if such Expected Cost Savings were realized in full during the entirety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75" w:lineRule="exact"/>
        <w:rPr>
          <w:rFonts w:ascii="Times New Roman" w:cs="Times New Roman" w:eastAsia="Times New Roman" w:hAnsi="Times New Roman"/>
          <w:sz w:val="18"/>
          <w:szCs w:val="18"/>
          <w:color w:val="auto"/>
        </w:rPr>
      </w:pPr>
    </w:p>
    <w:p>
      <w:pPr>
        <w:jc w:val="both"/>
        <w:ind w:left="440" w:right="440" w:firstLine="419"/>
        <w:spacing w:after="0" w:line="266" w:lineRule="auto"/>
        <w:tabs>
          <w:tab w:leader="none" w:pos="110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w:t>
      </w:r>
    </w:p>
    <w:p>
      <w:pPr>
        <w:spacing w:after="0" w:line="81" w:lineRule="exact"/>
        <w:rPr>
          <w:rFonts w:ascii="Times New Roman" w:cs="Times New Roman" w:eastAsia="Times New Roman" w:hAnsi="Times New Roman"/>
          <w:sz w:val="18"/>
          <w:szCs w:val="18"/>
          <w:color w:val="auto"/>
        </w:rPr>
      </w:pPr>
    </w:p>
    <w:p>
      <w:pPr>
        <w:ind w:left="440" w:firstLine="419"/>
        <w:spacing w:after="0" w:line="274" w:lineRule="auto"/>
        <w:tabs>
          <w:tab w:leader="none" w:pos="1118"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Indebtedness incurred by the Borrower or any of its Restricted Subsidiaries in connection therewith shall be deemed to have occurred as of the first day of the applicable Test Period with respect to any test or covenant for which the relevant determination is being made;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Finance Lease shall be deemed to accrue at an interest rate determined by a Responsible Officer of the Borrower in good faith to be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20"/>
          </w:cols>
          <w:pgMar w:left="440" w:top="266" w:right="439" w:bottom="1440" w:gutter="0" w:footer="0" w:header="0"/>
        </w:sectPr>
      </w:pPr>
    </w:p>
    <w:bookmarkStart w:id="129" w:name="page130"/>
    <w:bookmarkEnd w:id="129"/>
    <w:p>
      <w:pPr>
        <w:jc w:val="both"/>
        <w:ind w:left="44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w:t>
      </w:r>
    </w:p>
    <w:p>
      <w:pPr>
        <w:spacing w:after="0" w:line="68" w:lineRule="exact"/>
        <w:rPr>
          <w:sz w:val="20"/>
          <w:szCs w:val="20"/>
          <w:color w:val="auto"/>
        </w:rPr>
      </w:pPr>
    </w:p>
    <w:p>
      <w:pPr>
        <w:ind w:left="440" w:firstLine="419"/>
        <w:spacing w:after="0" w:line="258" w:lineRule="auto"/>
        <w:tabs>
          <w:tab w:leader="none" w:pos="1108"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(including Cash and Cash Equivalents) included in calculating Consolidated Total Assets, whether pursuant to any Subject Transaction or any Person becoming a subsidiary or merging, amalgamating or consolidating with or into the Borrower or any of its subsidiaries, or the Disposition of any assets (including Cash and Cash Equivalents)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183"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For purposes of determining pro forma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prior to the last day of the first Fiscal Quarter after the Closing Date, the applicable level shall be the level cited in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Notwithstanding anything to the contrary set forth in the immediately preceding paragraph, for the avoidance of doubt, when calculating the First Lien Leverage Ratio for purposes of the definitions of “Applicable Rate”, “Commitment Fee Rate” and “Required Net Proceeds Percentage” and for purposes of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(other than for the purpose of determining pro forma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as a condition to taking any action under this Agreement), the events described in the immediately preceding paragraph that occurred subsequent to the end of the applicable Test Period shall not be given pro forma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means the projections of the Borrower and its Subsidiaries provided to the Arrangers on or about August 19, 2025.</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xml:space="preserve">” means a promissory note of the Borrower payable to any Lender or its registered assigns, in substantially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hereto or any other form approved by the Administrative Agent and the Borrower, evidencing the aggregate outstanding principal amount of Loans of such Borrower owed to such Lender resulting from the Loans made by such Lender.</w:t>
      </w:r>
    </w:p>
    <w:p>
      <w:pPr>
        <w:spacing w:after="0" w:line="17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any similar Requirement of Law under any other applicable jurisdiction),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listing fees and all executive, legal and professional fees and costs related to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means any Capital Stock of such Person that is not Disqualified Capital Stock.</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70" w:right="459" w:bottom="1440" w:gutter="0" w:footer="0" w:header="0"/>
        </w:sectPr>
      </w:pPr>
    </w:p>
    <w:bookmarkStart w:id="130" w:name="page131"/>
    <w:bookmarkEnd w:id="130"/>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Qualified Receivables Facility</w:t>
      </w:r>
      <w:r>
        <w:rPr>
          <w:rFonts w:ascii="Times New Roman" w:cs="Times New Roman" w:eastAsia="Times New Roman" w:hAnsi="Times New Roman"/>
          <w:sz w:val="18"/>
          <w:szCs w:val="18"/>
          <w:color w:val="auto"/>
        </w:rPr>
        <w:t>” means any Receivables Facility that meets the following conditions: (a) the Borrower shall have determined in good faith that such Receivables Facility (including financing terms, covenants, termination events and other provisions) is in the aggregate economically fair and reasonable to the Borrower and its Restricted Subsidiaries; (b) all sales or contributions (as applicable) of Receivables Facility Assets and related assets by the Borrower or any Restricted Subsidiary to the Receivables Subsidiary or any other Person are made for a price that is not materially less than fair market value (as determined in good faith by the Borrower); (c) the financing terms, covenants, termination events and other provisions thereof shall be on market terms (as determined in good faith by the Borrower at the time of entry into such transaction or, if earlier, the establishment of such terms) and may include Standard Securitization Undertakings; and (d) the obligations under such Receivables Facility are non-recourse (except for (i) customary representations, warranties, covenants and indemnities made in connection with such facilities, (ii) as otherwise customary for similar transactions in the applicable jurisdiction, (iii) Standard Securitization Undertakings, (iv) performance guarantees and/or</w:t>
      </w:r>
    </w:p>
    <w:p>
      <w:pPr>
        <w:spacing w:after="0" w:line="3" w:lineRule="exact"/>
        <w:rPr>
          <w:sz w:val="20"/>
          <w:szCs w:val="20"/>
          <w:color w:val="auto"/>
        </w:rPr>
      </w:pPr>
    </w:p>
    <w:p>
      <w:pPr>
        <w:ind w:left="4" w:right="80" w:hanging="4"/>
        <w:spacing w:after="0" w:line="260" w:lineRule="auto"/>
        <w:tabs>
          <w:tab w:leader="none" w:pos="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to the equity interests issued by any Receivables Subsidiary) to the Borrower or any of its Restricted Subsidiaries (other than a Receivables Subsidiary).</w:t>
      </w:r>
    </w:p>
    <w:p>
      <w:pPr>
        <w:spacing w:after="0" w:line="17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Supply Chain Financing</w:t>
      </w:r>
      <w:r>
        <w:rPr>
          <w:rFonts w:ascii="Times New Roman" w:cs="Times New Roman" w:eastAsia="Times New Roman" w:hAnsi="Times New Roman"/>
          <w:sz w:val="18"/>
          <w:szCs w:val="18"/>
          <w:color w:val="auto"/>
        </w:rPr>
        <w:t xml:space="preserve"> ” means any agreement under which any bank or other financial institution may, from time to time, provide to the Borrower or any Restricted Subsidiary, letters of credit, guarantees or other credit support or financial accommodation in respect of trade payables of the Borrower or any Restricted Subsidiary (including the acquisition of receivables corresponding to such trade payables pursuant to “supply chain” or other similar financing) so long as (i) except for Qualified Supply Chain Financings in an aggregate principal amount outstanding of up to the greater of (x) $562,500,000 and (y) 25% of Consolidated Adjusted EBITDA as of the last day of the most recently ended Test Period calculated on a Pro Forma Basis (which amount may be secured as a Banking Services Obligation or otherwise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 such Indebtedness is unsecured and (ii) such Indebtedness represents principal amounts not in excess of those amounts which the Borrower or any Restricted Subsidiary would otherwise have been obligated to pay to its vendor or supplier in respect of the applicable trade payables were such Qualified Supply Chain Financing not in place.</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Bid</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Interest Expense</w:t>
      </w:r>
      <w:r>
        <w:rPr>
          <w:rFonts w:ascii="Times New Roman" w:cs="Times New Roman" w:eastAsia="Times New Roman" w:hAnsi="Times New Roman"/>
          <w:sz w:val="18"/>
          <w:szCs w:val="18"/>
          <w:color w:val="auto"/>
        </w:rPr>
        <w:t>” means, with respect to any Person for any period, (a) consolidated total cash interest expense of such Person and its Restricted Subsidiaries for such period, (i) including the interest component of any payment under any Finance Lease (regardless of whether accounted for as interest expense under GAAP) and (ii) excluding (A) amortization, accretion or accrual of deferred financing fees, original issue discount, debt issuance costs, discounted liabilities, commissions, fees and expenses, (B) any expense arising from any bridge, commitment, structuring and/or other financing fee (including fees and expenses associated with the Transactions and agency and trustee fees), (C) any expense resulting from the discounting of Indebtedness in connection with the application of recapitalization accounting or, if applicable, acquisition accounting, (D) fees and expenses associated with any Dispositions, acquisitions, Investments, issuances of Capital Stock or Indebtedness (in each case, whether or not consummated), (E) costs associated with obtaining, or breakage costs in respect of, any Hedge Agreement or any other derivative instrument other than any interest rate Hedge Agreement or interest rate derivative instrument with respect to Indebtedness, (F) penalties and interest relating to Taxes, (G) any “additional interest” or “liquidated damages” for failure to timely comply with registration rights obligations, (H) [reserved], (I) any payments with respect to make-whole, prepayment or repayment premiums or other breakage costs of any Indebtedness, (J) any interest expense attributable to the exercise of appraisal rights or other rights of dissenting shareholders and the settlement of any claims or actions (whether actual, contingent or potential) with respect thereto in connection with the Transactions or any acquisition or Investment permitted hereunder, (K) any lease, rental or other expense in connection with a Non-Finance Lease Obligation and (L) for the avoidance of doubt, any non-cash interest expense</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4"/>
          </w:cols>
          <w:pgMar w:left="436" w:top="266" w:right="459" w:bottom="1440" w:gutter="0" w:footer="0" w:header="0"/>
        </w:sectPr>
      </w:pPr>
    </w:p>
    <w:bookmarkStart w:id="131" w:name="page132"/>
    <w:bookmarkEnd w:id="13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minus (b) cash interest income for such period. For purposes of this definition, (x) interest in respect of any Finance Lease shall be deemed to accrue at an interest rate determined by such Person in good faith to be the rate of interest implicit in such Finance Lease in accordance with GAAP and (y) for the avoidance of doubt, unless already included in the calculation of interest expense, interest expense shall be calculated after giving effect to any payments made or received under any Hedge Agreement or any other derivative instrument with respect to Indebtedness.</w:t>
      </w:r>
    </w:p>
    <w:p>
      <w:pPr>
        <w:spacing w:after="0" w:line="18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all right, title and interest of any Loan Party in and to all real property owned by such Loan Party and all real property leased or subleased by such Loan Party (in each case including, but not limited to, land, improvements and fixtures thereon).</w:t>
      </w:r>
    </w:p>
    <w:p>
      <w:pPr>
        <w:spacing w:after="0" w:line="171"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Receivables Facility</w:t>
      </w:r>
      <w:r>
        <w:rPr>
          <w:rFonts w:ascii="Times New Roman" w:cs="Times New Roman" w:eastAsia="Times New Roman" w:hAnsi="Times New Roman"/>
          <w:sz w:val="17"/>
          <w:szCs w:val="17"/>
          <w:color w:val="auto"/>
        </w:rPr>
        <w:t>” means any transaction or series of transactions that may be entered into by the Borrower or any of its Restricted Subsidiaries pursuant to which the Borrower or such Restricted Subsidiary may sell, convey, grant a security interest in or otherwise transfer any Receivables Facility Assets (whether now existing or arising in the future) to either (a) a Person that is not a Restricted Subsidiary or (b) a Receivables Subsidiary that in turn may sell, convey, grant a security interest in or otherwise transfer Receivables Facility Assets to a Person that is not a Restricted Subsidiary (or by borrowing from such a Person or from another Receivables Subsidiary that in turn funds itself by borrowing from such a Person).</w:t>
      </w:r>
    </w:p>
    <w:p>
      <w:pPr>
        <w:spacing w:after="0" w:line="164"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Receivables Facility Asset</w:t>
      </w:r>
      <w:r>
        <w:rPr>
          <w:rFonts w:ascii="Times New Roman" w:cs="Times New Roman" w:eastAsia="Times New Roman" w:hAnsi="Times New Roman"/>
          <w:sz w:val="17"/>
          <w:szCs w:val="17"/>
          <w:color w:val="auto"/>
        </w:rPr>
        <w:t xml:space="preserve">” means (i) any and all receivables customarily transferred or in respect of which security interests are customarily granted in connection with receivables facilities and/or asset securitization transactions involving accounts receivable (as determined by the Borrower in good faith) by the Borrower or any of its Restricted Subsidiaries pursuant to documents relating to any Receivables Facility, (ii) all rights arising under the documentation governing or related to receivables (including rights in respect of Liens securing such receivables and other credit support in respect of such receivables), any proceeds of such receivables and any lockboxes or accounts in which such proceeds are deposited or received, spread accounts and other similar accounts (and any amounts on deposit therein) established in connection with a Receivables Facility, any warranty, indemnity, dilution and other claim arising out of the documents relating to such Receivables Facility, and all other assets, rights or interests which are customarily transferred or in respect of which security interests are customarily granted in connection with receivables facilities and/or asset securitizations involving accounts receivable (as determined by the Borrower in good faith, and including, for the avoidance of doubt, equity interests in any Receivables Subsidiary) and (iii) all collections (including recoveries) and other proceeds of the assets described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Fees</w:t>
      </w:r>
      <w:r>
        <w:rPr>
          <w:rFonts w:ascii="Times New Roman" w:cs="Times New Roman" w:eastAsia="Times New Roman" w:hAnsi="Times New Roman"/>
          <w:sz w:val="18"/>
          <w:szCs w:val="18"/>
          <w:color w:val="auto"/>
        </w:rPr>
        <w:t>” means distributions or payments made directly or by means of discounts with respect to any Receivables Facility Asset or participation interest therein issued or sold in connection with, and other fees and expenses paid to a Person that is not a Restricted Subsidiary in connection with, any Receivables Facility.</w:t>
      </w:r>
    </w:p>
    <w:p>
      <w:pPr>
        <w:spacing w:after="0" w:line="171"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a Restricted Subsidiary created in connection with the transactions contemplated by a Receivables Facility, which Person engages in no activities and holds no assets other than those incidental or reasonably related to such Receivables Facility (including Receivables Facility Assets) or another Person formed for the purposes of engaging in a Receivables Facility in which the Borrower or any subsidiary makes an Investment and to which the Borrower or any subsidiary transfers Receivables Facility Assets.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440" w:top="270" w:right="499" w:bottom="1440" w:gutter="0" w:footer="0" w:header="0"/>
        </w:sectPr>
      </w:pPr>
    </w:p>
    <w:bookmarkStart w:id="132" w:name="page133"/>
    <w:bookmarkEnd w:id="13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Reclassifiable Item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and the Borrower executed by (a) the Borrower, (b) the Administrative Agent and (c) each Lender that agrees to provide all or any portion of the Replacement Term Loans or the Replacement Revolving Facility, as applicable, being incurred pursuant thereto and in accordance with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xml:space="preserve">”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or (v) any other U.S. or non-U.S. depository institution or any branch, agency or similar office thereof supervised by a bank regulatory authority in any jurisdiction.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Board as from time to time in effect and all official rulings and interpretations thereunder or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means Regulation X of the Board as from time to time in effect and all official rulings and interpretations thereunder or thereof.</w:t>
      </w:r>
    </w:p>
    <w:p>
      <w:pPr>
        <w:spacing w:after="0" w:line="225"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Business Assets</w:t>
      </w:r>
      <w:r>
        <w:rPr>
          <w:rFonts w:ascii="Times New Roman" w:cs="Times New Roman" w:eastAsia="Times New Roman" w:hAnsi="Times New Roman"/>
          <w:sz w:val="18"/>
          <w:szCs w:val="18"/>
          <w:color w:val="auto"/>
        </w:rPr>
        <w:t xml:space="preserve">” means assets (other than Cash or Cash Equivalents) used or useful in a Similar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managers, officers, trustees, employees, partners, agents, advisors and other representatives of such Person and such Person’s Affiliates.</w:t>
      </w:r>
    </w:p>
    <w:p>
      <w:pPr>
        <w:spacing w:after="0" w:line="15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66" w:right="459" w:bottom="1440" w:gutter="0" w:footer="0" w:header="0"/>
        </w:sectPr>
      </w:pPr>
    </w:p>
    <w:bookmarkStart w:id="133" w:name="page134"/>
    <w:bookmarkEnd w:id="1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Debt</w:t>
      </w:r>
      <w:r>
        <w:rPr>
          <w:rFonts w:ascii="Times New Roman" w:cs="Times New Roman" w:eastAsia="Times New Roman" w:hAnsi="Times New Roman"/>
          <w:sz w:val="18"/>
          <w:szCs w:val="18"/>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any subsequent refinancing of such Replacement Debt).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Initial Lenders</w:t>
      </w:r>
      <w:r>
        <w:rPr>
          <w:rFonts w:ascii="Times New Roman" w:cs="Times New Roman" w:eastAsia="Times New Roman" w:hAnsi="Times New Roman"/>
          <w:sz w:val="18"/>
          <w:szCs w:val="18"/>
          <w:color w:val="auto"/>
        </w:rPr>
        <w:t>” means, at any time, Lenders having Initial Revolving Loans or unused Initial Revolving Credit Commitments and Initial Term Loans or unused Initial Term Loan Commitments representing more than 50% of the sum of the total Initial Revolving Loans, Initial Term Loans and such unused Initial Revolving Credit Commitments and Initial Term Loan Commitments at such time.</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having Loans or unused Commitments representing more than 50% of the sum of the total Loans and such unused Commitments at such time.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Net Proceeds Percentage</w:t>
      </w:r>
      <w:r>
        <w:rPr>
          <w:rFonts w:ascii="Times New Roman" w:cs="Times New Roman" w:eastAsia="Times New Roman" w:hAnsi="Times New Roman"/>
          <w:sz w:val="18"/>
          <w:szCs w:val="18"/>
          <w:color w:val="auto"/>
        </w:rPr>
        <w:t xml:space="preserve">” means, as of any date of determination, (a) if the First Lien Leverage Ratio is greater than 1.00:1.00, 100%, (b) if the First Lien Leverage Ratio is less than or equal to 1.00:1.00 and greater than 0.75:1.00, 50% and (c) if the First Lien Leverage Ratio is less than or equal to 0.75:1.00, 0%; it being understood and agreed that, for purposes of this definition as it applies to the determination of the amount of Net Proceeds or Net Insurance/Condemnation Proceeds that are required to be applied to prepay Subject Loans under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for any payment, the First Lien Leverage Ratio shall be determined on the date on which such proceeds are received by the Borrower or applicable Restricted Subsidiary (giving pro forma effect to the subject Dispositions and/or casualty events and the application of the relevant proceeds thereof).</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means, at any time, Lenders having Revolving Loans and unused Revolving Credit Commitments representing more than 50% of the sum of the total Revolving Loans and such unused Revolving Credit Commitments at such time.</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66" w:right="479" w:bottom="1440" w:gutter="0" w:footer="0" w:header="0"/>
        </w:sectPr>
      </w:pPr>
    </w:p>
    <w:bookmarkStart w:id="134" w:name="page135"/>
    <w:bookmarkEnd w:id="13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xml:space="preserve">” of any Person means the chief executive officer, the president, the chief financial officer, the treasurer, any assistant treasurer, any executive vice president, any senior vice president, any vice president or the chief operating officer of such Person and any other individual or 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any other officer of the applicable Loan Party so designated by any of the foregoing officers in a written notice to the Administrative Agent (including, for the avoidance of doubt, by electronic means).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8"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Persons covered by such financial statements as at the dates indicated and their consolidated income and cash flows for the periods indicated, subject to changes resulting from audit and normal year-end adjustments and, in the case of quarterly financial statements, the absence of footnotes.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w:t>
      </w:r>
      <w:r>
        <w:rPr>
          <w:rFonts w:ascii="Times New Roman" w:cs="Times New Roman" w:eastAsia="Times New Roman" w:hAnsi="Times New Roman"/>
          <w:sz w:val="18"/>
          <w:szCs w:val="18"/>
          <w:color w:val="auto"/>
        </w:rPr>
        <w:t>” means any Junior Indebtedness to the extent the outstanding principal amount thereof is equal to or greater than the Threshold Amount.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 Payments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xml:space="preserve">” means (a) any dividend or other distribution on account of any shares of any class of the Capital Stock of the Borrower (or any direct or indirect parent of the Borrower) except a dividend payable solely in shares of Qualified Capital Stock (or in options, warrants or other rights to purchase such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 (other than Convertible Indebtedness or Packaged Rights). The amount of any Restricted Payment (other than Cash) shall be the fair market value, as determined in good faith by the Borrower on the applicable date set forth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of the assets or securities proposed to be transferred or issued by the Borrower pursuant to such Restricted Payment. For the avoidance of doubt, any payment on account of any Indebtedness convertible into or exchangeable for Capital Stock or on account of Packaged Rights shall be deemed not to be a Restricted Payment.</w:t>
      </w:r>
    </w:p>
    <w:p>
      <w:pPr>
        <w:spacing w:after="0" w:line="188"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as to any Person, any subsidiary of such Person that is not an Unrestricted Subsidiary. Unless otherwise specified, “Restricted Subsidiary” shall mean any Restricted Subsidiary of the Borrower.</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series of transactions involving the Spin Business prior to the consummation of the Distribution, including the restructuring of the Spin Business and the transactions resulting in the Spin Business being owned directly, or indirectly through its subsidiaries, by the Borrower.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20"/>
          </w:cols>
          <w:pgMar w:left="440" w:top="266" w:right="439" w:bottom="1440" w:gutter="0" w:footer="0" w:header="0"/>
        </w:sectPr>
      </w:pPr>
    </w:p>
    <w:bookmarkStart w:id="135" w:name="page136"/>
    <w:bookmarkEnd w:id="135"/>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Retained Asset Sale Proceeds</w:t>
      </w:r>
      <w:r>
        <w:rPr>
          <w:rFonts w:ascii="Times New Roman" w:cs="Times New Roman" w:eastAsia="Times New Roman" w:hAnsi="Times New Roman"/>
          <w:sz w:val="17"/>
          <w:szCs w:val="17"/>
          <w:color w:val="auto"/>
        </w:rPr>
        <w:t xml:space="preserve">” means, at any date of determination, an amount determined on a cumulative basis, that is equal to the aggregate cumulative sum of (a) all Net Proceeds and Net Insurance/Condemnation Proceeds received by the Borrower or any of its Restricted Subsidiaries that are not or were not required to be applied to prepay Term Loans pursuant to </w:t>
      </w:r>
      <w:r>
        <w:rPr>
          <w:rFonts w:ascii="Times New Roman" w:cs="Times New Roman" w:eastAsia="Times New Roman" w:hAnsi="Times New Roman"/>
          <w:sz w:val="17"/>
          <w:szCs w:val="17"/>
          <w:u w:val="single" w:color="auto"/>
          <w:color w:val="auto"/>
        </w:rPr>
        <w:t>Section 2.11(b)(ii)</w:t>
      </w:r>
      <w:r>
        <w:rPr>
          <w:rFonts w:ascii="Times New Roman" w:cs="Times New Roman" w:eastAsia="Times New Roman" w:hAnsi="Times New Roman"/>
          <w:sz w:val="17"/>
          <w:szCs w:val="17"/>
          <w:color w:val="auto"/>
        </w:rPr>
        <w:t xml:space="preserve"> and (b) all Excluded Proceeds (as defined in</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xml:space="preserve">” means (a) with respect to any Revolving Loan denominated in an Alternate Currency, each of the following: (i) each date of any Borrowing of such Revolving Loan, (ii) each date of any conversion or continuation of such Revolving Loan pursuant to the terms of this Agreement, (iii) the last day of each Fiscal Quarter and (iv) the date of any voluntary reduction of a Revolving Credit Commitment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(b) with respect to any Letter of Credit denominated in any Alternate Currency, each of the following: (i) each date of issuance of such a Letter of Credit, (ii) each date of an amendment of such a Letter of Credit that would have the effect of increasing the face amount thereof and (iii) the last day of each Fiscal Quarter; (c) with respect to the unused Revolving Credit Commitment of any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such additional dates as the Administrative Agent or the Required Revolving Lenders shall reasonably require and (d) any additional date as the Administrative Agent shall determine or the Required Revolving Lenders shall require, in each case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at any time when an Event of Default has occurred and is continuing.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means any Initial Revolving Credit Commitment and any Additional Revolving Credit Commitment.</w:t>
      </w:r>
    </w:p>
    <w:p>
      <w:pPr>
        <w:spacing w:after="0" w:line="225"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with respect to any Lender at any time, the aggregate Outstanding Amount at such time of such Lender’s Initial Revolving Credit Exposure and Additional Revolving Credit Exposure.</w:t>
      </w:r>
    </w:p>
    <w:p>
      <w:pPr>
        <w:spacing w:after="0" w:line="15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the Initial Revolving Facility, any Incremental Revolving Facility, any facility governing any Extended Revolving Credit Commitment or Extended Revolving Loans and any Replacement Revolving Facility.</w:t>
      </w:r>
    </w:p>
    <w:p>
      <w:pPr>
        <w:spacing w:after="0" w:line="155"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 Testing Condition</w:t>
      </w:r>
      <w:r>
        <w:rPr>
          <w:rFonts w:ascii="Times New Roman" w:cs="Times New Roman" w:eastAsia="Times New Roman" w:hAnsi="Times New Roman"/>
          <w:sz w:val="18"/>
          <w:szCs w:val="18"/>
          <w:color w:val="auto"/>
        </w:rPr>
        <w:t>” means, as of any date of determination, without duplication, that the aggregate Outstanding Amount of all Revolving Loans (including, for the avoidance of doubt, outstanding Swingline Loans) net of the Unrestricted Cash Amount, in each case as of such date, exceeds an amount equal to 35% of the Total Revolving Credit Commitment.</w:t>
      </w:r>
    </w:p>
    <w:p>
      <w:pPr>
        <w:spacing w:after="0" w:line="171"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any Initial Revolving Lender and any Additional Revolving Lender. Unless the context otherwise requires, the term “Revolving Lenders” shall include the Swingline Lender.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means any Initial Revolving Loans and any Additional Revolving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RFR Business Day</w:t>
      </w:r>
      <w:r>
        <w:rPr>
          <w:rFonts w:ascii="Times New Roman" w:cs="Times New Roman" w:eastAsia="Times New Roman" w:hAnsi="Times New Roman"/>
          <w:sz w:val="18"/>
          <w:szCs w:val="18"/>
          <w:color w:val="auto"/>
        </w:rPr>
        <w:t>” means, for any Obligations, interest, fees, commissions or other amounts denominated in, or calculated with respect to,</w:t>
      </w:r>
    </w:p>
    <w:p>
      <w:pPr>
        <w:spacing w:after="0" w:line="31" w:lineRule="exact"/>
        <w:rPr>
          <w:sz w:val="20"/>
          <w:szCs w:val="20"/>
          <w:color w:val="auto"/>
        </w:rPr>
      </w:pPr>
    </w:p>
    <w:p>
      <w:pPr>
        <w:ind w:left="4" w:right="140" w:hanging="4"/>
        <w:spacing w:after="0" w:line="255" w:lineRule="auto"/>
        <w:tabs>
          <w:tab w:leader="none" w:pos="249"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Sterling, any day except for (i) a Saturday, (ii) a Sunday or (iii) a day on which banks are closed for general business in London and (b) any other Alternate Currency (to the extent such Loans denominated in such currency will bear interest at a daily rate), any day other than those identified at the time such Alternate Currency is approved by the Administrative Agent and the relevant Lenders pursuant to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44"/>
          </w:cols>
          <w:pgMar w:left="436" w:top="266" w:right="519" w:bottom="1440" w:gutter="0" w:footer="0" w:header="0"/>
        </w:sectPr>
      </w:pPr>
    </w:p>
    <w:bookmarkStart w:id="136" w:name="page137"/>
    <w:bookmarkEnd w:id="13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(at the time of this Agreement, Crimea, Cuba, Iran, North Korea, the so-called People’s Republic of Luhansk and the so-called People’s Republic of Donetsk and the non-Ukrainian government-controlled areas of the Zaporizhzhia and Kherson regions of Ukraine).</w:t>
      </w:r>
    </w:p>
    <w:p>
      <w:pPr>
        <w:spacing w:after="0" w:line="171"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His Majesty’s Treasury (b) any Person located, organized or resident in a Sanctioned Country or (c) any Person owned or controlled by any such Person or Persons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the Office of Foreign Assets Control of the U.S. Department of the Treasury, the U.S. Department of State, the United Nations Security Council, the European Union, His Majesty’s Treasury.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Hedging Obligations</w:t>
      </w:r>
      <w:r>
        <w:rPr>
          <w:rFonts w:ascii="Times New Roman" w:cs="Times New Roman" w:eastAsia="Times New Roman" w:hAnsi="Times New Roman"/>
          <w:sz w:val="18"/>
          <w:szCs w:val="18"/>
          <w:color w:val="auto"/>
        </w:rPr>
        <w:t>” means all Hedging Obligations (other than any Excluded Swap Obligations) under each Hedge Agreement that</w:t>
      </w:r>
    </w:p>
    <w:p>
      <w:pPr>
        <w:spacing w:after="0" w:line="31" w:lineRule="exact"/>
        <w:rPr>
          <w:sz w:val="20"/>
          <w:szCs w:val="20"/>
          <w:color w:val="auto"/>
        </w:rPr>
      </w:pPr>
    </w:p>
    <w:p>
      <w:pPr>
        <w:ind w:left="4" w:right="40" w:hanging="4"/>
        <w:spacing w:after="0" w:line="265" w:lineRule="auto"/>
        <w:tabs>
          <w:tab w:leader="none" w:pos="249" w:val="left"/>
        </w:tabs>
        <w:numPr>
          <w:ilvl w:val="0"/>
          <w:numId w:val="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in effect on the Closing Date between the Borrower or any Restricted Subsidiary of the Borrower and a counterparty that is the Administrative Agent, a Lender, an Arranger or any Affiliate of the Administrative Agent, a Lender or an Arranger as of the Closing Date or any other Person that is designated in writing by the Borrower to the Administrative Agent as such counterparty or (b) is entered into after the Closing Date between the Borrower or any Restricted Subsidiary of the Borrower and any counterparty that is (or is an Affiliate of) the Administrative Agent, any Lender or any Arranger at the time such Hedge Agreement is entered into or any other Person that is designated in writing by the Borrower to the Administrative Agent as such counterparty, for which such Loan Party or Restricted Subsidiary agrees to provide or procure security and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(other than with respect to the Administrative Agent)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that has not been designated to the Administrative Agent in writing by the Borrower as not constituting a “Secured Hedging Obligation” for purposes of the Loan Documents, it being understood that each counterparty thereto shall be deemed</w:t>
      </w:r>
    </w:p>
    <w:p>
      <w:pPr>
        <w:spacing w:after="0" w:line="1" w:lineRule="exact"/>
        <w:rPr>
          <w:rFonts w:ascii="Times New Roman" w:cs="Times New Roman" w:eastAsia="Times New Roman" w:hAnsi="Times New Roman"/>
          <w:sz w:val="17"/>
          <w:szCs w:val="17"/>
          <w:color w:val="auto"/>
        </w:rPr>
      </w:pPr>
    </w:p>
    <w:p>
      <w:pPr>
        <w:ind w:left="4" w:right="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(A) to appoint the Collateral Agent and the Administrative Agent as its agent under the applicable Loan Documents and (B) to agree to be bound by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each Acceptable Intercreditor Agreement as if it were a Lender.</w:t>
      </w:r>
    </w:p>
    <w:p>
      <w:pPr>
        <w:spacing w:after="0" w:line="177"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Leverage Ratio</w:t>
      </w:r>
      <w:r>
        <w:rPr>
          <w:rFonts w:ascii="Times New Roman" w:cs="Times New Roman" w:eastAsia="Times New Roman" w:hAnsi="Times New Roman"/>
          <w:sz w:val="18"/>
          <w:szCs w:val="18"/>
          <w:color w:val="auto"/>
        </w:rPr>
        <w:t>” means the ratio, as of any date of determination, of (a) Consolidated Secured Debt as of such date to (b) Consolidated Adjusted EBITDA for the Test Period then most recently ended or the Test Period otherwise specified where the term “Secured Leverage Ratio” is used in this Agreement, in each case of the Borrower and its Restricted Subsidiaries on a consolidated basis.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(i) the Lenders, the Swingline Lender and the Issuing Banks, (ii) the Administrative Agent and the Collateral Agent,</w:t>
      </w:r>
    </w:p>
    <w:p>
      <w:pPr>
        <w:spacing w:after="0" w:line="31" w:lineRule="exact"/>
        <w:rPr>
          <w:sz w:val="20"/>
          <w:szCs w:val="20"/>
          <w:color w:val="auto"/>
        </w:rPr>
      </w:pPr>
    </w:p>
    <w:p>
      <w:pPr>
        <w:ind w:left="4" w:right="400" w:hanging="4"/>
        <w:spacing w:after="0" w:line="253" w:lineRule="auto"/>
        <w:tabs>
          <w:tab w:leader="none" w:pos="319"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counterparty to a Hedge Agreement with a Loan Party or a Restricted Subsidiary the obligations under which constitute Secured Hedging Obligations, (iv) each provider of Banking Services to any Loan Party or a Restricted Subsidiary the obligations under which constitute Banking Services Obligations, (v) the Arrangers and (vi) the beneficiaries of each indemnification obligation undertaken by any Loan Party under any Loan Document.</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4"/>
          </w:cols>
          <w:pgMar w:left="436" w:top="266" w:right="479" w:bottom="1440" w:gutter="0" w:footer="0" w:header="0"/>
        </w:sectPr>
      </w:pPr>
    </w:p>
    <w:bookmarkStart w:id="137" w:name="page138"/>
    <w:bookmarkEnd w:id="137"/>
    <w:p>
      <w:pPr>
        <w:ind w:right="8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“Securities” shall not include any earn-out agreement or obligation or any employee bonus or other incentive compensation plan or agreement.</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the Pledge and Security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among the Loan Parties and the Collateral Agent for the benefit of the Secured Parties.</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the execution, delivery and performance of the Separation Agreements and the consummation of the transactions, including the Restructuring, the Borrower Distribution and the Distribution, in connection with the separation of the Spin Business from the Parent, in each case as may be further described or referred to in, or contemplated by, the Separation Agreements.</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Agreements</w:t>
      </w:r>
      <w:r>
        <w:rPr>
          <w:rFonts w:ascii="Times New Roman" w:cs="Times New Roman" w:eastAsia="Times New Roman" w:hAnsi="Times New Roman"/>
          <w:sz w:val="18"/>
          <w:szCs w:val="18"/>
          <w:color w:val="auto"/>
        </w:rPr>
        <w:t>” means any and all agreements entered into in contemplation of, or to effect or facilitate, or otherwise in connection with, the Separation, including the Separation and Distribution Agreement, the Tax Matters Agreement, the Transition Services Agreement, the Employee Matters Agreement and the Ancillary Agreements (each as described or referred to in, or contemplated by, the Form 10), and any other transition services agreements, other commercial agreements or arrangements or other agreements or arrangements described or referred to therein or in the Form 10 or contemplated thereby or by the Form 10.</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and Distribution Agreement</w:t>
      </w:r>
      <w:r>
        <w:rPr>
          <w:rFonts w:ascii="Times New Roman" w:cs="Times New Roman" w:eastAsia="Times New Roman" w:hAnsi="Times New Roman"/>
          <w:sz w:val="18"/>
          <w:szCs w:val="18"/>
          <w:color w:val="auto"/>
        </w:rPr>
        <w:t>” has the meaning set forth in the Form 10.</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6" w:right="459" w:bottom="1440" w:gutter="0" w:footer="0" w:header="0"/>
        </w:sectPr>
      </w:pPr>
    </w:p>
    <w:bookmarkStart w:id="138" w:name="page139"/>
    <w:bookmarkEnd w:id="138"/>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55" w:lineRule="exact"/>
        <w:rPr>
          <w:sz w:val="20"/>
          <w:szCs w:val="20"/>
          <w:color w:val="auto"/>
        </w:rPr>
      </w:pPr>
    </w:p>
    <w:p>
      <w:pPr>
        <w:ind w:right="2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Incremental Amount</w:t>
      </w:r>
      <w:r>
        <w:rPr>
          <w:rFonts w:ascii="Times New Roman" w:cs="Times New Roman" w:eastAsia="Times New Roman" w:hAnsi="Times New Roman"/>
          <w:sz w:val="18"/>
          <w:szCs w:val="18"/>
          <w:color w:val="auto"/>
        </w:rPr>
        <w:t xml:space="preserve">” means, as of any date of determination, (a) the greater of $2,250,000,000 and 100% of Consolidated Adjusted EBITDA as of the last day of the most recently ended Test Period calculated on a Pro Forma Basis minus (b) the aggregate principal amount of all Incremental Facilities, Incremental Equivalent Debt and/or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originally established in reliance on the Shared Incremental Amount outstanding on such date of determination, in each case after giving effect to any reclassification of any such Indebtedness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hereunder.</w:t>
      </w:r>
    </w:p>
    <w:p>
      <w:pPr>
        <w:spacing w:after="0" w:line="179"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RP Amount</w:t>
      </w:r>
      <w:r>
        <w:rPr>
          <w:rFonts w:ascii="Times New Roman" w:cs="Times New Roman" w:eastAsia="Times New Roman" w:hAnsi="Times New Roman"/>
          <w:sz w:val="18"/>
          <w:szCs w:val="18"/>
          <w:color w:val="auto"/>
        </w:rPr>
        <w:t xml:space="preserve">” means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Sections 6.04(a)(ii)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For the avoidance of doubt, the Signing date is October 3, 2025.</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xml:space="preserve">” means any Person the majority of the revenues of which are derived from a business that would be permitted by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if the references to “Restricted Subsidiaries”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were read to refer to such Person.</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with respect to any U.S. Government Securities Business Day, a rate per annum equal to the secured overnight financing rate for such U.S. Government Securities Business Day published by the SOFR Administrator on the website of the SOFR Administrator, currently at http://www.newyorkfed.org (or any successor source for the secured overnight financing rate identified as such by the SOFR Administrator from time to time) on the immediately succeeding U.S. Government Securities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Cash Payment</w:t>
      </w:r>
      <w:r>
        <w:rPr>
          <w:rFonts w:ascii="Times New Roman" w:cs="Times New Roman" w:eastAsia="Times New Roman" w:hAnsi="Times New Roman"/>
          <w:sz w:val="18"/>
          <w:szCs w:val="18"/>
          <w:color w:val="auto"/>
        </w:rPr>
        <w:t xml:space="preserve">” has the meaning set forth in the Separation and Distribution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Special Cash Payment shall not exceed $2,250,000,000.</w:t>
      </w:r>
    </w:p>
    <w:p>
      <w:pPr>
        <w:spacing w:after="0" w:line="155" w:lineRule="exact"/>
        <w:rPr>
          <w:sz w:val="20"/>
          <w:szCs w:val="20"/>
          <w:color w:val="auto"/>
        </w:rPr>
      </w:pPr>
    </w:p>
    <w:p>
      <w:pPr>
        <w:jc w:val="center"/>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with respect to the Borrower,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72</w:t>
      </w:r>
    </w:p>
    <w:p>
      <w:pPr>
        <w:sectPr>
          <w:pgSz w:w="11900" w:h="16838" w:orient="portrait"/>
          <w:cols w:equalWidth="0" w:num="1">
            <w:col w:w="10980"/>
          </w:cols>
          <w:pgMar w:left="440" w:top="266" w:right="479"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Specified Foreign Subsidiary</w:t>
      </w:r>
      <w:r>
        <w:rPr>
          <w:rFonts w:ascii="Times New Roman" w:cs="Times New Roman" w:eastAsia="Times New Roman" w:hAnsi="Times New Roman"/>
          <w:sz w:val="18"/>
          <w:szCs w:val="18"/>
          <w:color w:val="auto"/>
        </w:rPr>
        <w:t>” means a Foreign Subsidiary that is a CFC within the meaning of Section 957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3.01(a)(i)</w:t>
      </w:r>
      <w:r>
        <w:rPr>
          <w:rFonts w:ascii="Times New Roman" w:cs="Times New Roman" w:eastAsia="Times New Roman" w:hAnsi="Times New Roman"/>
          <w:sz w:val="18"/>
          <w:szCs w:val="18"/>
          <w:color w:val="auto"/>
        </w:rPr>
        <w:t xml:space="preserve"> (as it relates to the Borrower),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(as it relates to the due authorization, execution, delivery and performance of the Loan Documents and the enforceability thereof),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(limited to the execution, delivery and performance of the Loan Documents, incurrence of the Indebtedness thereunder and the granting of Guarantees and Liens in respect thereof),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(as it relates to the creation, validity and perfection of the security interests in the Collateral, subject to the last sentence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3.17(a)(ii)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 Business</w:t>
      </w:r>
      <w:r>
        <w:rPr>
          <w:rFonts w:ascii="Times New Roman" w:cs="Times New Roman" w:eastAsia="Times New Roman" w:hAnsi="Times New Roman"/>
          <w:sz w:val="18"/>
          <w:szCs w:val="18"/>
          <w:color w:val="auto"/>
        </w:rPr>
        <w:t>” means the SpinCo Business as defined in the Separation and Distribution Agreement.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(or on such other day and time as may be mutually agreed by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Administrative Agent does not have as of the date of determination a spot buying rate for any such currency.</w:t>
      </w:r>
    </w:p>
    <w:p>
      <w:pPr>
        <w:spacing w:after="0" w:line="182"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all representations, warranties, covenants, indemnities, performance guarantees, servicing obligations and repurchase obligations (including guarantees thereof), entered into by the Borrower or any Subsidiary which are customary in connection with any Receivables Facility (as determined by the Borrower in good faith).</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Standby Letter of Credit</w:t>
      </w:r>
      <w:r>
        <w:rPr>
          <w:rFonts w:ascii="Times New Roman" w:cs="Times New Roman" w:eastAsia="Times New Roman" w:hAnsi="Times New Roman"/>
          <w:sz w:val="18"/>
          <w:szCs w:val="18"/>
          <w:color w:val="auto"/>
        </w:rPr>
        <w:t>” means any Letter of Credit other than any Commercial Letter of Credit.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maximum amount available to be drawn thereunder, in each case determined (x) as if any future automatic increases in the maximum available amount provided for in any such Letter of Credit had in fact occurred at such time and (y) without regard to whether any conditions to drawing could then be met but after giving effect to all previous drawings made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Loans</w:t>
      </w:r>
      <w:r>
        <w:rPr>
          <w:rFonts w:ascii="Times New Roman" w:cs="Times New Roman" w:eastAsia="Times New Roman" w:hAnsi="Times New Roman"/>
          <w:sz w:val="18"/>
          <w:szCs w:val="18"/>
          <w:color w:val="auto"/>
        </w:rPr>
        <w:t xml:space="preserve">” means, as of any date of determination, (a) Initial Term Loans and (b) any Additional Term Loans that are subject to ratable prepayment requirements in accordance with </w:t>
      </w:r>
      <w:r>
        <w:rPr>
          <w:rFonts w:ascii="Times New Roman" w:cs="Times New Roman" w:eastAsia="Times New Roman" w:hAnsi="Times New Roman"/>
          <w:sz w:val="18"/>
          <w:szCs w:val="18"/>
          <w:u w:val="single" w:color="auto"/>
          <w:color w:val="auto"/>
        </w:rPr>
        <w:t>Section 2.11(b)(vii)</w:t>
      </w:r>
      <w:r>
        <w:rPr>
          <w:rFonts w:ascii="Times New Roman" w:cs="Times New Roman" w:eastAsia="Times New Roman" w:hAnsi="Times New Roman"/>
          <w:sz w:val="18"/>
          <w:szCs w:val="18"/>
          <w:color w:val="auto"/>
        </w:rPr>
        <w:t xml:space="preserve"> on such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has the meaning assigned to such term in the definition of “Consolidated Net Income”.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00"/>
          </w:cols>
          <w:pgMar w:left="440" w:top="266" w:right="559" w:bottom="1440" w:gutter="0" w:footer="0" w:header="0"/>
        </w:sectPr>
      </w:pPr>
    </w:p>
    <w:bookmarkStart w:id="140" w:name="page141"/>
    <w:bookmarkEnd w:id="14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34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Subject Transaction</w:t>
      </w:r>
      <w:r>
        <w:rPr>
          <w:rFonts w:ascii="Times New Roman" w:cs="Times New Roman" w:eastAsia="Times New Roman" w:hAnsi="Times New Roman"/>
          <w:sz w:val="17"/>
          <w:szCs w:val="17"/>
          <w:color w:val="auto"/>
        </w:rPr>
        <w:t>” means, with respect to any Test Period, (a) the Transactions, (b) any Permitted Acquisition or any other acquisition or similar Investment, whether by purchase, merger, amalgamation or otherwise, of all or substantially all of the assets of, or any business line, unit or division of, any Person or any facility, or of a majority of the outstanding Capital Stock of any Person (and in any event including any Investment in</w:t>
      </w:r>
    </w:p>
    <w:p>
      <w:pPr>
        <w:spacing w:after="0" w:line="1" w:lineRule="exact"/>
        <w:rPr>
          <w:sz w:val="20"/>
          <w:szCs w:val="20"/>
          <w:color w:val="auto"/>
        </w:rPr>
      </w:pPr>
    </w:p>
    <w:p>
      <w:pPr>
        <w:ind w:left="4" w:right="140" w:hanging="4"/>
        <w:spacing w:after="0" w:line="251" w:lineRule="auto"/>
        <w:tabs>
          <w:tab w:leader="none" w:pos="259"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 (c) any Disposition of all or substantially all of the assets or Capital Stock of a subsidiary (or any business unit, line of business or division of the Borrower or a Restricted Subsidiary) not prohibited by this Agreement, (d) the designation of a Restricted Subsidiary as an Unrestricted Subsidiary or an Unrestricted Subsidiary as a Restricted Subsidiary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 (e) any incurrence or repayment of Indebtedness (other than revolving Indebtedness), (f) any Cost Saving Initiative and/or (g) any other event that by the terms of the Loan Documents requires pro forma compliance with a test or covenant hereunder or requires such test or covenant to be calculated on a pro forma basis.</w:t>
      </w:r>
    </w:p>
    <w:p>
      <w:pPr>
        <w:spacing w:after="0" w:line="19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8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means (x) on the Closing Date, each subsidiary of the Borrower (other than any subsidiary that is an Excluded Subsidiary on the Closing Date) listed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(as such Schedule may be updated by the Borrower after the Signing Date and on or prior to the Closing Date) as of the Closing Date and (y) thereafter, each subsidiary of the Borrower that becomes a guarantor of the Obligations pursuant to the terms of this Agreement, in each case, until such time as the relevant subsidiary is released from its obligations under the Loan Guarantee in accordance with the terms and provisions hereof. Notwithstanding the foregoing, the Borrower may from time to time, upon notice to the Administrative Agent, elect to cause any subsidiary that would otherwise be an Excluded Subsidiary to become a Subsidiary Guarantor hereunder (but shall have no obligation to do so), subject to the satisfaction of guarantee and collateral requirements consistent with the Collateral and Guarantee Requirements or otherwise reasonably acceptable to the Borrower and the Administrative Agent (which shall include, in the case of a Foreign Subsidiary, guarantee and collateral requirements customary under local law, including customary local limitations). For the avoidance of doubt, in no event shall an Excluded Subsidiary be a Subsidiary Guarantor unless the Borrower makes such an election with respect to the Excluded Subsidiary.</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Affiliate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Facility Office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66" w:right="459" w:bottom="1440" w:gutter="0" w:footer="0" w:header="0"/>
        </w:sectPr>
      </w:pPr>
    </w:p>
    <w:bookmarkStart w:id="141" w:name="page142"/>
    <w:bookmarkEnd w:id="14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080" w:hanging="221"/>
        <w:spacing w:after="0"/>
        <w:tabs>
          <w:tab w:leader="none" w:pos="1080"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Borrower” as referenced in </w:t>
      </w:r>
      <w:r>
        <w:rPr>
          <w:rFonts w:ascii="Times New Roman" w:cs="Times New Roman" w:eastAsia="Times New Roman" w:hAnsi="Times New Roman"/>
          <w:sz w:val="18"/>
          <w:szCs w:val="18"/>
          <w:u w:val="single" w:color="auto"/>
          <w:color w:val="auto"/>
        </w:rPr>
        <w:t>Section 6.07(a)(i)(B)</w:t>
      </w:r>
      <w:r>
        <w:rPr>
          <w:rFonts w:ascii="Times New Roman" w:cs="Times New Roman" w:eastAsia="Times New Roman" w:hAnsi="Times New Roman"/>
          <w:sz w:val="18"/>
          <w:szCs w:val="18"/>
          <w:color w:val="auto"/>
        </w:rPr>
        <w:t>; and/or</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appointed by the Borrower as a “Successor Borrower” pursuant to a Permitted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Borrower” shall (x) expressly assume the applicable Loan Document Obligations of the applicable Borrower, in a manner reasonably satisfactory to the Administrative Agent, and (y) be an entity organized or existing under the laws of the U.S., any state thereof or the District of Columbia, and subject to the following conditions:</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7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customary “know your customer” information reasonably requested by the Administrative Agent (including, if such Person qualifies as a “legal entity customer” under the Beneficial Ownership Regulation, a Beneficial Ownership Certificate as to such Successor Borrower);</w:t>
      </w:r>
    </w:p>
    <w:p>
      <w:pPr>
        <w:spacing w:after="0" w:line="67"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the Administrative Agent may otherwise agree, each Guarantor (unless it is the Person appointed as such Successor Borrower) shall have executed and delivered a reaffirmation agreement with respect to its obligations under the Loan Guarantee and the other applicable Loan Documents; and</w:t>
      </w:r>
    </w:p>
    <w:p>
      <w:pPr>
        <w:spacing w:after="0" w:line="67"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66"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a certificate to the Administrative Agent stating that at the time of (and immediately after) giving effect to the appointment of such Successor Borrower, no Event of Default shall have occurred that is continuing.</w:t>
      </w:r>
    </w:p>
    <w:p>
      <w:pPr>
        <w:spacing w:after="0" w:line="158"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Obligations</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Exposure</w:t>
      </w:r>
      <w:r>
        <w:rPr>
          <w:rFonts w:ascii="Times New Roman" w:cs="Times New Roman" w:eastAsia="Times New Roman" w:hAnsi="Times New Roman"/>
          <w:sz w:val="18"/>
          <w:szCs w:val="18"/>
          <w:color w:val="auto"/>
        </w:rPr>
        <w:t>” means, at any time, the aggregate principal amount of Swingline Loans outstanding at such time. The Swingline Exposure of any Revolving Lender at any time shall be equal to its Applicable Percentage of the aggregate Swingline Exposure at such time.</w:t>
      </w:r>
    </w:p>
    <w:p>
      <w:pPr>
        <w:spacing w:after="0" w:line="15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Lender</w:t>
      </w:r>
      <w:r>
        <w:rPr>
          <w:rFonts w:ascii="Times New Roman" w:cs="Times New Roman" w:eastAsia="Times New Roman" w:hAnsi="Times New Roman"/>
          <w:sz w:val="18"/>
          <w:szCs w:val="18"/>
          <w:color w:val="auto"/>
        </w:rPr>
        <w:t>” means JPMorgan Chase Bank, N.A., in its capacity as lender of Swingline Loans hereunder, or any successor lender of Swingline Loans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xml:space="preserve">” means any Loan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any and all present and future taxes, levies, imposts, duties, deductions, withholdings (including backup withholding), assessments, fees or other charges imposed by any Governmental Authority, including any interest, additions to tax and penalties applicable thereto.</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w:t>
      </w:r>
      <w:r>
        <w:rPr>
          <w:rFonts w:ascii="Times New Roman" w:cs="Times New Roman" w:eastAsia="Times New Roman" w:hAnsi="Times New Roman"/>
          <w:sz w:val="18"/>
          <w:szCs w:val="18"/>
          <w:color w:val="auto"/>
        </w:rPr>
        <w:t>” means any Initial Term Loan Commitment and, if applicable, any Additional Term Loan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66" w:right="459" w:bottom="1440" w:gutter="0" w:footer="0" w:header="0"/>
        </w:sectPr>
      </w:pPr>
    </w:p>
    <w:bookmarkStart w:id="142" w:name="page143"/>
    <w:bookmarkEnd w:id="14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CORRA</w:t>
      </w:r>
      <w:r>
        <w:rPr>
          <w:rFonts w:ascii="Times New Roman" w:cs="Times New Roman" w:eastAsia="Times New Roman" w:hAnsi="Times New Roman"/>
          <w:sz w:val="18"/>
          <w:szCs w:val="18"/>
          <w:color w:val="auto"/>
        </w:rPr>
        <w:t>” means,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CORRA 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CORRA shall ever be less than zero, then Term CORRA shall be deemed to be zero.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Borrowing</w:t>
      </w:r>
      <w:r>
        <w:rPr>
          <w:rFonts w:ascii="Times New Roman" w:cs="Times New Roman" w:eastAsia="Times New Roman" w:hAnsi="Times New Roman"/>
          <w:sz w:val="18"/>
          <w:szCs w:val="18"/>
          <w:color w:val="auto"/>
        </w:rPr>
        <w:t>” means a Borrowing comprised of Term CORRA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bears interest at a rate based on Term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means the Term Loans provided to or for the benefit of the Borrower pursuant to the terms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Initial Term Loans and, if applicable, any Additional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20" w:firstLine="987"/>
        <w:spacing w:after="0" w:line="254" w:lineRule="auto"/>
        <w:tabs>
          <w:tab w:leader="none" w:pos="123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Eurocurrency Rate Loan denominated in Dollars,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denominated in Dollars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ABR Term SOFR Determination Day.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66" w:right="479" w:bottom="1440" w:gutter="0" w:footer="0" w:header="0"/>
        </w:sectPr>
      </w:pPr>
    </w:p>
    <w:bookmarkStart w:id="143" w:name="page144"/>
    <w:bookmarkEnd w:id="143"/>
    <w:p>
      <w:pPr>
        <w:ind w:left="4" w:right="4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the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rate per annum determined by the Administrative Agent as the forward-looking term rate based on SOFR.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has the meaning assigned to such term in the lead-in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means, as of any date, (a) for purposes of determining actual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the period of four consecutive Fiscal Quarters then most recently ended for which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applicable, have been delivered (or are required to have been delivered) and (b) for any other purpose, the period of four consecutive Fiscal Quarters then most recently ended for which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applicable, have been delivered (or are required to have been delivered) or, at the Borrower’s election, are internally available; it being understood and agreed that prior to the first delivery (or required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“Test Period” means the period of four consecutive Fiscal Quarters most recently ended for which financial statements of the Borrower and its consolidated (or, to the extent provided in </w:t>
      </w:r>
      <w:r>
        <w:rPr>
          <w:rFonts w:ascii="Times New Roman" w:cs="Times New Roman" w:eastAsia="Times New Roman" w:hAnsi="Times New Roman"/>
          <w:sz w:val="18"/>
          <w:szCs w:val="18"/>
          <w:u w:val="single" w:color="auto"/>
          <w:color w:val="auto"/>
        </w:rPr>
        <w:t>Section 1.04(l)</w:t>
      </w:r>
      <w:r>
        <w:rPr>
          <w:rFonts w:ascii="Times New Roman" w:cs="Times New Roman" w:eastAsia="Times New Roman" w:hAnsi="Times New Roman"/>
          <w:sz w:val="18"/>
          <w:szCs w:val="18"/>
          <w:color w:val="auto"/>
        </w:rPr>
        <w:t>, combined) subsidiaries are available.</w:t>
      </w:r>
    </w:p>
    <w:p>
      <w:pPr>
        <w:spacing w:after="0" w:line="183" w:lineRule="exact"/>
        <w:rPr>
          <w:sz w:val="20"/>
          <w:szCs w:val="20"/>
          <w:color w:val="auto"/>
        </w:rPr>
      </w:pPr>
    </w:p>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the greater of $562,500,000 and 25% of Consolidated Adjusted EBITDA as of the last day of the most recently ended Test Period.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means the ratio, as of any date of determination, of (a) Consolidated Total Debt outstanding as of such date to</w:t>
      </w:r>
    </w:p>
    <w:p>
      <w:pPr>
        <w:spacing w:after="0" w:line="31" w:lineRule="exact"/>
        <w:rPr>
          <w:sz w:val="20"/>
          <w:szCs w:val="20"/>
          <w:color w:val="auto"/>
        </w:rPr>
      </w:pPr>
    </w:p>
    <w:p>
      <w:pPr>
        <w:ind w:left="4" w:right="80" w:hanging="4"/>
        <w:spacing w:after="0" w:line="260" w:lineRule="auto"/>
        <w:tabs>
          <w:tab w:leader="none" w:pos="259"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Test Period then most recently ended or the Test Period otherwise specified where the term “Total Leverage Ratio” is used in this Agreement, in each case of the Borrower and its Restricted Subsidiaries on a consolidated basis.</w:t>
      </w:r>
    </w:p>
    <w:p>
      <w:pPr>
        <w:spacing w:after="0" w:line="177"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Credit Commitment</w:t>
      </w:r>
      <w:r>
        <w:rPr>
          <w:rFonts w:ascii="Times New Roman" w:cs="Times New Roman" w:eastAsia="Times New Roman" w:hAnsi="Times New Roman"/>
          <w:sz w:val="18"/>
          <w:szCs w:val="18"/>
          <w:color w:val="auto"/>
        </w:rPr>
        <w:t>” means, at any time, the aggregate amount of the Revolving Credit Commitments as in effect at such time. The Total Revolving Credit Commitment as of the Signing Date is $750,000,000.</w:t>
      </w:r>
    </w:p>
    <w:p>
      <w:pPr>
        <w:spacing w:after="0" w:line="15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 means the date on which the applicable Lender entered into a binding agreement to sell and assign or participate all or 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rights and/or obligations under this Agreement.</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all trademarks, trade names, trade dress and logos, registrations and applications for registration thereof and the goodwill of the business symbolized by the foregoing, and all renewals of the foregoing.</w:t>
      </w:r>
    </w:p>
    <w:p>
      <w:pPr>
        <w:spacing w:after="0" w:line="155" w:lineRule="exact"/>
        <w:rPr>
          <w:sz w:val="20"/>
          <w:szCs w:val="20"/>
          <w:color w:val="auto"/>
        </w:rPr>
      </w:pPr>
    </w:p>
    <w:p>
      <w:pPr>
        <w:ind w:left="4"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means fees, premiums, expenses and other transaction costs (including original issue discount or upfront fees) payable or otherwise borne by the Borrower and/or its subsidiaries in connection with the Transactions and the transactions contemplated thereby.</w:t>
      </w:r>
    </w:p>
    <w:p>
      <w:pPr>
        <w:spacing w:after="0" w:line="15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(a) the execution, delivery and performance by the Loan Parties of the Loan Documents to which they are a party and the Borrowing of Loans hereunder, (b) the execution, delivery and performance by the Borrower and its respective subsidiaries (and/or any escrow subsidiaries of the Borrower or the Parent) of documents in connection with, and incurrence of, Other Secured Debt, (c) the entry into Separation Agreements and the consummation of the Separation, including the Restructuring, the Borrower Distribution and the Distribution, and other transactions contemplated by Separation Agreements or otherwise in connection therewith, (d) the payment of the Special Cash Payment and (e) the payment of the Transaction Costs.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66" w:right="459" w:bottom="1440" w:gutter="0" w:footer="0" w:header="0"/>
        </w:sectPr>
      </w:pPr>
    </w:p>
    <w:bookmarkStart w:id="144" w:name="page145"/>
    <w:bookmarkEnd w:id="1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federal income tax regulations promulgated under the Code.</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Eurocurrency Rate, the Alternate Base Rate, the Alternative Currency Daily Rate, the Canadian Prime Rate, Term CORRA or Daily Simple CORRA.</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55" w:lineRule="exact"/>
        <w:rPr>
          <w:sz w:val="20"/>
          <w:szCs w:val="20"/>
          <w:color w:val="auto"/>
        </w:rPr>
      </w:pPr>
    </w:p>
    <w:p>
      <w:pPr>
        <w:jc w:val="both"/>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Amount</w:t>
      </w:r>
      <w:r>
        <w:rPr>
          <w:rFonts w:ascii="Times New Roman" w:cs="Times New Roman" w:eastAsia="Times New Roman" w:hAnsi="Times New Roman"/>
          <w:sz w:val="18"/>
          <w:szCs w:val="18"/>
          <w:color w:val="auto"/>
        </w:rPr>
        <w:t>” means, as to any Person on any date of determination, the amount of (a) unrestricted Cash and Cash Equivalents of such Person and its Restricted Subsidiaries and (b) Cash and Cash Equivalents of such Person and its Restricted Subsidiaries that are restricted in favor of the Credit Facilities and/or other permitted pari passu, senior or junior secured Indebtedness (which may also include Cash and Cash Equivalents securing other Indebtedness that is secured by a Lien on Collateral along with the Credit Facilities and/or any other permitted pari passu, senior or junior secured Indebtedness), in each case as determined in accordance with GAAP. Notwithstanding anything herein to the contrary, for purposes of determining compliance with the Financial Covenant, the Unrestricted Cash Amount shall not exceed the greater of (i) $750,000,000 and 33% of Consolidated Adjusted EBITDA.</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means any subsidiary of the Borrower designated by the Borrower as an Unrestricted Subsidiary as of the Closing Date (and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hereto (as such Schedule may be updated by the Borrower after the Signing Date and on or prior to the Closing Date)) or after the Closing Date pursuant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and any subsidiary of an Unrestricted Subsidiary.</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Unused Revolving Credit Commitment</w:t>
      </w:r>
      <w:r>
        <w:rPr>
          <w:rFonts w:ascii="Times New Roman" w:cs="Times New Roman" w:eastAsia="Times New Roman" w:hAnsi="Times New Roman"/>
          <w:sz w:val="18"/>
          <w:szCs w:val="18"/>
          <w:color w:val="auto"/>
        </w:rPr>
        <w:t xml:space="preserve">” of any Lender, at any time, means the remainder of the Revolving Credit Commitment of such Lender at such time, if any, less the sum of (a) the aggregate Outstanding Amount of Revolving Loans made by such Lender, (b) such Lender’s LC Exposure at such time and (c) except for purposes of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such Lender’s Applicable Percentage of the aggregate Outstanding Amount of Swingline Loans.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66" w:right="479" w:bottom="1440" w:gutter="0" w:footer="0" w:header="0"/>
        </w:sectPr>
      </w:pPr>
    </w:p>
    <w:bookmarkStart w:id="145" w:name="page146"/>
    <w:bookmarkEnd w:id="14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Restricted Subsidiary incorporated or organized under the laws of the U.S., any state thereof or the District of Columbia.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 of (x) any prepayment made in respect of such Indebtedness shall be disregarded in making such calculation and (y) any “AHYDO catch-up” payment that may be required to be made in respect of such Indebtedness shall be disregarded in making such calculation.</w:t>
      </w:r>
    </w:p>
    <w:p>
      <w:pPr>
        <w:spacing w:after="0" w:line="18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71" w:lineRule="exact"/>
        <w:rPr>
          <w:sz w:val="20"/>
          <w:szCs w:val="20"/>
          <w:color w:val="auto"/>
        </w:rPr>
      </w:pPr>
    </w:p>
    <w:p>
      <w:pPr>
        <w:ind w:right="2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jc w:val="both"/>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 “Term Loan”) or by Type (e.g., a “Eurocurrency Rate Loan”) or by Class and Type (e.g., a “Eurocurrency Rate Term Loan”). Borrowings also may be classified and referred to by Class (e.g., a “Term Loan Borrowing”) or by Type (e.g., a “Eurocurrency Rate Borrowing”) or by Class and Type (e.g., a “Eurocurrency Rate Term Loan Borrowing”).</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40"/>
          </w:cols>
          <w:pgMar w:left="440" w:top="266" w:right="519" w:bottom="1440" w:gutter="0" w:footer="0" w:header="0"/>
        </w:sectPr>
      </w:pPr>
    </w:p>
    <w:bookmarkStart w:id="146" w:name="page147"/>
    <w:bookmarkEnd w:id="146"/>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51" w:lineRule="auto"/>
        <w:tabs>
          <w:tab w:leader="none" w:pos="665"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(it being understood that the sale of accounts receivable (and related assets) pursuant to supply-chain, factoring or reverse factoring arrangements entered into by the Borrower and its Restricted Subsidiaries shall be deemed to be in the ordinary course of business so long as such accounts receivable (and related assets) are sold for Cash in an amount not less than 95% of the face amount thereof (but, for the avoidance of doubt, this shall not preclude any sale for less than a price to be determined to be in the ordinary course so long as it is in the ordinary course of business)) (in each case, as determined by the Borrower in good faith). Unless the context requires otherwise (i)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(ii) any reference to any Requirement of Law in any Loan Document shall include all statutory and regulatory provisions consolidating, amending, replacing, supplementing, superseding or interpreting such Requirement of Law, (iii) 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such Loan Document,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(viii) the words “permitted” shall be construed to also refer to actions or undertakings that are “not prohibited”, (ix) any references to “open market purchases” (or words of similar effect) shall include privately negotiated transactions at, below or above par, for cash, securities and/or any other consideration, with one (or more) Lender(s) that may or may not be made available for participation of all Lenders or all Lenders of any particular Class or tranche, and, in each case shall not require any quote or open process or activity on any market or exchange, (x) any reference to the end date for any fiscal quarter, Fiscal Quarter, fiscal year or Fiscal Year shall mean the date on or around such specified date on which the applicable period actually ends (as determined by the Borrower in good faith), (xi) the fair market value of any asset or property shall be determined by the Borrower in good faith, (xii) any time period in this Agreement to cure any actual or alleged Default or Event of Default may be extended or stayed by a court of competent jurisdiction to the extent such actual or alleged Default or Event of Default is the subject of litigation, (xiii) the Administrative Agent may grant extensions of time (including after the expiration of any relevant period, which apply retroactively) in its reasonable discretion with respect to any obligations of the Borrower or its Subsidiaries under any Loan Document, (xiv) the word “knowledge”, and words of similar import, when used in any Loan Document, shall be construed to mean actual knowledge of the underlying facts and circumstances and, to the extent applicable, actual knowledge of the continuance of a Default or Event of Default resulting from such facts and circumstances. The foregoing shall apply to this Agreement and all other Loan Documents.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60"/>
          </w:cols>
          <w:pgMar w:left="460" w:top="270" w:right="479" w:bottom="1440" w:gutter="0" w:footer="0" w:header="0"/>
        </w:sectPr>
      </w:pPr>
    </w:p>
    <w:bookmarkStart w:id="147" w:name="page148"/>
    <w:bookmarkEnd w:id="147"/>
    <w:p>
      <w:pPr>
        <w:ind w:left="4" w:right="40" w:firstLine="436"/>
        <w:spacing w:after="0" w:line="252" w:lineRule="auto"/>
        <w:tabs>
          <w:tab w:leader="none" w:pos="69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determining compliance at any time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in the event that any Indebtedness, Lien, Restricted Payment, Restricted Debt Payment, Investment or Disposition or portion thereof, as applicable, at any time meets the criteria of more than one of the categories of transactions or items permitted pursuant to any clause of such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 the case of Indebtedness incurred on the Closing Date)),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(other than Sections </w:t>
      </w:r>
      <w:r>
        <w:rPr>
          <w:rFonts w:ascii="Times New Roman" w:cs="Times New Roman" w:eastAsia="Times New Roman" w:hAnsi="Times New Roman"/>
          <w:sz w:val="18"/>
          <w:szCs w:val="18"/>
          <w:u w:val="single" w:color="auto"/>
          <w:color w:val="auto"/>
        </w:rPr>
        <w:t>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(each of the foregoing, a “</w:t>
      </w:r>
      <w:r>
        <w:rPr>
          <w:rFonts w:ascii="Times New Roman" w:cs="Times New Roman" w:eastAsia="Times New Roman" w:hAnsi="Times New Roman"/>
          <w:sz w:val="18"/>
          <w:szCs w:val="18"/>
          <w:b w:val="1"/>
          <w:bCs w:val="1"/>
          <w:color w:val="auto"/>
        </w:rPr>
        <w:t>Reclassifiable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the Borrower, in its sole discretion, may, from time to time, divide, classify or reclassify such Reclassifiable Item (or portion thereof) under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more clauses of each such Section and will only be required to include such Reclassifiable Item (or portion thereof) in any one category;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delivery of any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following the initial incurrence or making of any such Reclassifiable Item, if such Reclassifiable Item could, based on such financial statements, have been incurred or made in reliance on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(in the case of Indebtedness and Liens) or any “ratio-based” basket or exception (in the case of all other Reclassifiable Items), such Reclassifiable Item shall automatically be reclassified as having been incurred or made under the applicable provisions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such “ratio-based” basket or exception, as applicable (in each case, subject to any other applicable provision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6.09</w:t>
      </w:r>
      <w:r>
        <w:rPr>
          <w:rFonts w:ascii="Times New Roman" w:cs="Times New Roman" w:eastAsia="Times New Roman" w:hAnsi="Times New Roman"/>
          <w:sz w:val="18"/>
          <w:szCs w:val="18"/>
          <w:color w:val="auto"/>
        </w:rPr>
        <w:t>, respectively, but may instead be permitted in part under any combination thereof or under any other available exception.</w:t>
      </w:r>
    </w:p>
    <w:p>
      <w:pPr>
        <w:spacing w:after="0" w:line="19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8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for the avoidance of doubt that the carve-outs from the provisions of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may include items or activities that are not restricted by the relevant provision and the inclusion of such item or activity shall not be construed to expand the scope of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436"/>
        <w:spacing w:after="0" w:line="268" w:lineRule="auto"/>
        <w:tabs>
          <w:tab w:leader="none" w:pos="689"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All financial statements to be delivered pursuant to this Agreement shall be prepared in accordance with GAAP as in effect from time to time and, except as otherwise expressly provided herein, all terms of an accounting or financial nature that are used in calculating the Total Leverage Ratio, the First Lien Leverage Ratio, the Secured Leverage Ratio, the Interest Coverage Ratio, Consolidated Adjusted EBITDA, Consolidated Net Income or Consolidated Total Assets shall be construed and interpreted in accordance with GAAP, as in effect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if any change to GAAP or in the application thereof or any change as a result of the adoption or modification of accounting policies (including (x) the conversion to IFRS as described below and (y) the impact of Accounting Standards Update 2016-12, Revenue from Contracts with Customers (Topic</w:t>
      </w:r>
    </w:p>
    <w:p>
      <w:pPr>
        <w:spacing w:after="0" w:line="4" w:lineRule="exact"/>
        <w:rPr>
          <w:rFonts w:ascii="Times New Roman" w:cs="Times New Roman" w:eastAsia="Times New Roman" w:hAnsi="Times New Roman"/>
          <w:sz w:val="17"/>
          <w:szCs w:val="17"/>
          <w:color w:val="auto"/>
        </w:rPr>
      </w:pPr>
    </w:p>
    <w:p>
      <w:pPr>
        <w:ind w:left="384" w:hanging="384"/>
        <w:spacing w:after="0"/>
        <w:tabs>
          <w:tab w:leader="none" w:pos="384"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similar revenue recognition policies or any change in the methodology of calculating reserves for returns, rebates and other chargebacks) is</w:t>
      </w:r>
    </w:p>
    <w:p>
      <w:pPr>
        <w:spacing w:after="0" w:line="9" w:lineRule="exact"/>
        <w:rPr>
          <w:rFonts w:ascii="Times New Roman" w:cs="Times New Roman" w:eastAsia="Times New Roman" w:hAnsi="Times New Roman"/>
          <w:sz w:val="18"/>
          <w:szCs w:val="18"/>
          <w:color w:val="auto"/>
        </w:rPr>
      </w:pPr>
    </w:p>
    <w:p>
      <w:pPr>
        <w:ind w:left="4"/>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implemented or takes effect after the date of delivery of the financial statements described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and/or there is any change in the functional currency reflected in the financial statements or (B) if the Borrower elects or is required to report under IFRS, the Borrower or the Required Lenders may request to amend the relevant affected provisions hereof (whether or not the request for such amendment is delivered before or after the relevant change or election) to eliminate the effect of such change or election, as the case may be, on the operation of such provisions and (x) the Borrower and the Administrative Agent shall negotiate in good faith to enter into an amendment of the relevant affected provisions (it being understood that no amendment or similar fee shall be payable to the Administrative Agent or any Lender in connection therewith) to preserve the original</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64"/>
          </w:cols>
          <w:pgMar w:left="436" w:top="270" w:right="499" w:bottom="1440" w:gutter="0" w:footer="0" w:header="0"/>
        </w:sectPr>
      </w:pPr>
    </w:p>
    <w:bookmarkStart w:id="148" w:name="page149"/>
    <w:bookmarkEnd w:id="148"/>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intent thereof in light of the applicable change or election, as the case may be and (y) the relevant affected provisions shall be interpreted on the basis of GAAP and the currency, in each case, as in effect and applied immediately prior to the applicable change or election, as the case may be, until the request for amendment has been withdrawn by the Borrower or the Required Lenders, as applicable, or this Agreement has been amended as contemplated hereby. Any consent required from the Administrative Agent or any Required Lender with respect to the foregoing shall not be unreasonably withheld, conditioned or delayed.</w:t>
      </w:r>
    </w:p>
    <w:p>
      <w:pPr>
        <w:spacing w:after="0" w:line="183" w:lineRule="exact"/>
        <w:rPr>
          <w:sz w:val="20"/>
          <w:szCs w:val="20"/>
          <w:color w:val="auto"/>
        </w:rPr>
      </w:pPr>
    </w:p>
    <w:p>
      <w:pPr>
        <w:ind w:right="100" w:firstLine="987"/>
        <w:spacing w:after="0" w:line="252" w:lineRule="auto"/>
        <w:tabs>
          <w:tab w:leader="none" w:pos="1256" w:val="left"/>
        </w:tabs>
        <w:numPr>
          <w:ilvl w:val="1"/>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(ii) 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Borrower and its Restricted Subsidiaries in the circumstance where, but for the application of the pronouncements, such award would have been classified as equity). If the Borrower notifies the Administrative Agent that the Borrower is required to report under IFRS or has elected to do so through an early adoption policy, “GAAP” shall mean international financial reporting standards pursuant to IFRS (provided thereafter, the Borrower cannot elect to report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calculation or determination in this Agreement that requires the application of GAAP for periods that include fiscal quarters ended prior to the application of IFRS will remain as previously calculated or determined in accordance with GAAP.</w:t>
      </w:r>
    </w:p>
    <w:p>
      <w:pPr>
        <w:spacing w:after="0" w:line="197"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but subject to </w:t>
      </w:r>
      <w:r>
        <w:rPr>
          <w:rFonts w:ascii="Times New Roman" w:cs="Times New Roman" w:eastAsia="Times New Roman" w:hAnsi="Times New Roman"/>
          <w:sz w:val="18"/>
          <w:szCs w:val="18"/>
          <w:u w:val="single" w:color="auto"/>
          <w:color w:val="auto"/>
        </w:rPr>
        <w:t>Sections 1.04(d)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all financial ratios and tests (including the Total Leverage Ratio, the First Lien Leverage Ratio, the Secured Leverage Ratio, the Interest Coverage Ratio and the amount of Consolidated Total Assets, Consolidated Net Income and Consolidated Adjusted EBITDA)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test or amount (x) any Subject Transaction has occurred or (y) any Person that subsequently became a Restricted Subsidiary or was merged, amalgamated or consolidated with or into the Borrower or any of its Restricted Subsidiaries since the beginning of such Test Period has consummated any Subject Transaction, then, in each case, any applicable financial ratio, test or amount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 Cash Equivalents), as of the last day of such Test Period), it being understood, for the avoidance of doubt, that solely for purposes of calculating (x) quarterly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(y) the First Lien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149" w:name="page150"/>
    <w:bookmarkEnd w:id="149"/>
    <w:p>
      <w:pPr>
        <w:ind w:left="4" w:right="100" w:firstLine="436"/>
        <w:spacing w:after="0" w:line="254" w:lineRule="auto"/>
        <w:tabs>
          <w:tab w:leader="none" w:pos="68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contained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or in the definition of “Finance Lease”, unless the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Adjusted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91" w:lineRule="exact"/>
        <w:rPr>
          <w:rFonts w:ascii="Times New Roman" w:cs="Times New Roman" w:eastAsia="Times New Roman" w:hAnsi="Times New Roman"/>
          <w:sz w:val="18"/>
          <w:szCs w:val="18"/>
          <w:color w:val="auto"/>
        </w:rPr>
      </w:pPr>
    </w:p>
    <w:p>
      <w:pPr>
        <w:ind w:left="4" w:right="120" w:firstLine="436"/>
        <w:spacing w:after="0" w:line="255" w:lineRule="auto"/>
        <w:tabs>
          <w:tab w:leader="none" w:pos="69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the permissibility of any action, change, transaction or event that requires a calculation of any financial ratio or financial test (including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any First Lien Leverage Ratio test, any Secured Leverage Ratio test, any Total Leverage Ratio test and/or any Interest Coverage Ratio test) and/or the amount of Consolidated Adjusted EBITDA, Consolidated Net Income or Consolidated Total Assets, such financial ratio, financial test or amount shall, subject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188" w:lineRule="exact"/>
        <w:rPr>
          <w:rFonts w:ascii="Times New Roman" w:cs="Times New Roman" w:eastAsia="Times New Roman" w:hAnsi="Times New Roman"/>
          <w:sz w:val="18"/>
          <w:szCs w:val="18"/>
          <w:color w:val="auto"/>
        </w:rPr>
      </w:pPr>
    </w:p>
    <w:p>
      <w:pPr>
        <w:ind w:left="4" w:right="60" w:firstLine="436"/>
        <w:spacing w:after="0" w:line="253" w:lineRule="auto"/>
        <w:tabs>
          <w:tab w:leader="none" w:pos="689" w:val="left"/>
        </w:tabs>
        <w:numPr>
          <w:ilvl w:val="1"/>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(including in connection with any calculation made on a Pro Forma Basis), to the extent that the terms of this Agreement require (i) compliance with any financial ratio or financial test (including, without limitation,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any First Lien Leverage Ratio test, any Secured Leverage Ratio test, any Total Leverage Ratio test and/or any Interest Coverage Ratio test) and/or any cap expressed as a percentage of Consolidated Total Assets, Consolidated Net Income or Consolidated Adjusted EBITDA, (ii) accuracy of any representation or warranty and/or the absence of a Default or Event of Default (or any type of default or event of default) or (iii) compliance with any basket or other condition, as a condition to (A) the consummation of any transaction (including in connection with any acquisition, consolidation, business combination or similar Investment or the assumption or incurrence of Indebtedness), (B) the making of any Restricted Payment and/or (C) the making of any Restricted Debt Payment, the determination of whether the relevant condition is satisfied may be made, at the election of the Borrower,</w:t>
      </w:r>
    </w:p>
    <w:p>
      <w:pPr>
        <w:ind w:left="4" w:hanging="4"/>
        <w:spacing w:after="0" w:line="251"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acquisition, consolidation, business combination or similar Investment, any Disposition, any incurrence of Indebtedness or any transaction relating thereto, at the time of (or on the basis of the financial statements for the most recently ended Test Period at the time of) either (x) the execution of a letter of intent or the definitive agreement with respect to such acquisition, consolidation, business combination, similar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consolidation, business combination, Investment or Disposition or the incurrence of such Indebtedness, (2) in the case of any Restricted Payment, at the time of (or on the basis of the financial statements for the most recently ended Test Period at the time of) (x) the declaration of such Restricted Payment or (y) the making of such Restricted Payment and (3) in the case of any Restricted Debt Payment, at the time of (or on the basis of the financial statements for the most recently ended Test Period at the time of) (x) delivery of notice with respect to such Restricted Debt Payment or (y) the making of such Restricted Debt Payment, in each case, after giving effect on a Pro Forma Basis to the relevant acquisition, consolidation,</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4"/>
          </w:cols>
          <w:pgMar w:left="436" w:top="270" w:right="479" w:bottom="1440" w:gutter="0" w:footer="0" w:header="0"/>
        </w:sectPr>
      </w:pPr>
    </w:p>
    <w:bookmarkStart w:id="150" w:name="page151"/>
    <w:bookmarkEnd w:id="150"/>
    <w:p>
      <w:pPr>
        <w:ind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business combination or similar Investment, Restricted Payment and/or Restricted Debt Payment, incurrence of Indebtedness or other transaction (including the intended use of proceeds of any Indebtedness to be incurred in connection therewith) and, at the election of the Borrower, any other acquisition, consolidation, business combination or similar Investment, Restricted Payment, Restricted Debt Payment, incurrence of Indebtedness or other transaction that has not been consummated but with respect to which the Borrower has elected to test any applicable condition prior to the date of consummation in accordance with this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and no Default or Event of Default shall be deemed to have occurred solely as a result of an adverse change in such ratio, test or condition occurring after the time such election is made (but any subsequent improvement in the applicable ratio, test or amount may be utilized by the Borrower or any Restricted Subsidiary). For the avoidance of doubt, if the Borrower shall have elected the option set forth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any of the preceding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in respect of any transaction, then the Borrower or its applicable Restricted Subsidiary shall be permitted to consummate such transaction even if any applicable test or condition shall cease to be satisfied subsequent to the Borrower’s election of such option. The provisions of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shall also apply in respect of the incurrence of any Incremental Facility, in which case the representations and warranties that are required to be true and correct as a condition thereto may also be limited to the Specified Representations.</w:t>
      </w:r>
    </w:p>
    <w:p>
      <w:pPr>
        <w:spacing w:after="0" w:line="190" w:lineRule="exact"/>
        <w:rPr>
          <w:sz w:val="20"/>
          <w:szCs w:val="20"/>
          <w:color w:val="auto"/>
        </w:rPr>
      </w:pPr>
    </w:p>
    <w:p>
      <w:pPr>
        <w:ind w:left="660" w:hanging="224"/>
        <w:spacing w:after="0"/>
        <w:tabs>
          <w:tab w:leader="none" w:pos="660"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unless the Borrower otherwise elects in its sole discretion, with respect to any amount incurred or transaction entered into (or consummated) in reliance on a provision of this Agreement (other than a non-concurrent borrowing under the Revolving Facility) that does not require compliance with a financial ratio or financial test (including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any First Lien Leverage Ratio test, any Secured Leverage Ratio test, any Total Leverage Ratio test and/or any Interest Coverage Ratio test) (any such amount, including any concurrent drawing under the Revolving Facility or any other permitted revolving facility, and any cap expressed as a percentage of Consolidated Total Assets, Consolidated Net Income or Consolidated Adjusted EBITDA, a “</w:t>
      </w:r>
      <w:r>
        <w:rPr>
          <w:rFonts w:ascii="Times New Roman" w:cs="Times New Roman" w:eastAsia="Times New Roman" w:hAnsi="Times New Roman"/>
          <w:sz w:val="18"/>
          <w:szCs w:val="18"/>
          <w:u w:val="single" w:color="auto"/>
          <w:color w:val="auto"/>
        </w:rPr>
        <w:t>Fixed Amount</w:t>
      </w:r>
      <w:r>
        <w:rPr>
          <w:rFonts w:ascii="Times New Roman" w:cs="Times New Roman" w:eastAsia="Times New Roman" w:hAnsi="Times New Roman"/>
          <w:sz w:val="18"/>
          <w:szCs w:val="18"/>
          <w:color w:val="auto"/>
        </w:rPr>
        <w:t xml:space="preserve">”) substantially concurrently with any amount incurred or transaction entered into (or consummated) in reliance on a provision of this Agreement that requires compliance with a financial ratio or financial test (including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hereof, any First Lien Leverage Ratio test, any Secured Leverage Ratio test, any Total Leverage Ratio test and/or any Interest Coverage Ratio test) (any such amount, an “</w:t>
      </w:r>
      <w:r>
        <w:rPr>
          <w:rFonts w:ascii="Times New Roman" w:cs="Times New Roman" w:eastAsia="Times New Roman" w:hAnsi="Times New Roman"/>
          <w:sz w:val="18"/>
          <w:szCs w:val="18"/>
          <w:u w:val="single" w:color="auto"/>
          <w:color w:val="auto"/>
        </w:rPr>
        <w:t>Incurrence-Based Amount</w:t>
      </w:r>
      <w:r>
        <w:rPr>
          <w:rFonts w:ascii="Times New Roman" w:cs="Times New Roman" w:eastAsia="Times New Roman" w:hAnsi="Times New Roman"/>
          <w:sz w:val="18"/>
          <w:szCs w:val="18"/>
          <w:color w:val="auto"/>
        </w:rPr>
        <w:t>”), it is understood and agreed that (i) the incurrence or other utilization of the Incurrence-Based Amount shall be calculated first without giving effect to any Fixed Amount but giving full pro forma effect to the use of proceeds of such Fixed Amount and the related transactions and (ii) the incurrence or other utilization of the Fixed Amount shall be calculated thereafter. Unless it elects otherwise, the Borrower shall be deemed to have used amounts under an Incurrence-Based Amount then available to the Borrower prior to utilization of any amount under a Fixed Amount then available to the Borrower. In calculating any Incurrence-Based Amount, any amounts concurrently-incurred under the Revolving Facility or any other permitted revolving facility shall not be given effect.</w:t>
      </w:r>
    </w:p>
    <w:p>
      <w:pPr>
        <w:spacing w:after="0" w:line="197"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61" w:lineRule="exact"/>
        <w:rPr>
          <w:rFonts w:ascii="Times New Roman" w:cs="Times New Roman" w:eastAsia="Times New Roman" w:hAnsi="Times New Roman"/>
          <w:sz w:val="18"/>
          <w:szCs w:val="18"/>
          <w:color w:val="auto"/>
        </w:rPr>
      </w:pPr>
    </w:p>
    <w:p>
      <w:pPr>
        <w:ind w:right="180" w:firstLine="436"/>
        <w:spacing w:after="0" w:line="281" w:lineRule="auto"/>
        <w:tabs>
          <w:tab w:leader="none" w:pos="655" w:val="left"/>
        </w:tabs>
        <w:numPr>
          <w:ilvl w:val="0"/>
          <w:numId w:val="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 will be deemed not to be the granting of a Lien for purposes of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151" w:name="page152"/>
    <w:bookmarkEnd w:id="151"/>
    <w:p>
      <w:pPr>
        <w:ind w:firstLine="436"/>
        <w:spacing w:after="0" w:line="254" w:lineRule="auto"/>
        <w:tabs>
          <w:tab w:leader="none" w:pos="6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For purposes of determining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if any Indebtedness or Lien is incurred in reliance on a basket measured by reference to a percentage of Consolidated Adjusted EBITDA, and any refinancing or replacement thereof would cause the percentage of Consolidated Adjusted EBITDA to be exceeded if calculated based on the Consolidated Adjusted EBITDA on the date of such refinancing or replacement, such percentage of Consolidated Adjusted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dividends,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9" w:lineRule="exact"/>
        <w:rPr>
          <w:rFonts w:ascii="Times New Roman" w:cs="Times New Roman" w:eastAsia="Times New Roman" w:hAnsi="Times New Roman"/>
          <w:sz w:val="18"/>
          <w:szCs w:val="18"/>
          <w:color w:val="auto"/>
        </w:rPr>
      </w:pPr>
    </w:p>
    <w:p>
      <w:pPr>
        <w:ind w:right="60" w:firstLine="436"/>
        <w:spacing w:after="0" w:line="258" w:lineRule="auto"/>
        <w:tabs>
          <w:tab w:leader="none" w:pos="65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this Agreement or any other Loan Document requires any determination to be made with respect to the Borrower and any of its subsidiaries on a consolidated basis, with respect to any accounting period prior to the first delivery of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determination may be made with respect to the Borrower and its subsidiaries on a combined basis based on the combined financial statements of the Versant businesses of Comcast Corporation filed with the Form 10 for such accounting period.</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contained in this Agreement (and all corresponding definitions) is made after giving effect to the Transactions, unless the context otherwise requires. Notwithstanding anything herein or in any other Loan Document to the contrary, no officer, director or other representative of the Borrower or any Subsidiary shall have any personal liability in connection with any representation, warranty or other certification in, or made pursuant to, this Agreement or any other Loan Document.</w:t>
      </w:r>
    </w:p>
    <w:p>
      <w:pPr>
        <w:spacing w:after="0" w:line="180"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Timing of Payment and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61" w:lineRule="auto"/>
        <w:tabs>
          <w:tab w:leader="none" w:pos="685"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for purposes of any determination under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the calculation of compliance with any financial ratio for purposes of taking any action hereunder) or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with respect to the amount of any Indebtedness, Lien, Restricted Payment, Restricted Debt Payment, Investment, Disposition, Sale and Lease-Back Transaction, affiliate transaction or other transaction, event or circumstance, or 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0980"/>
          </w:cols>
          <w:pgMar w:left="440" w:top="270" w:right="479" w:bottom="1440" w:gutter="0" w:footer="0" w:header="0"/>
        </w:sectPr>
      </w:pPr>
    </w:p>
    <w:bookmarkStart w:id="152" w:name="page153"/>
    <w:bookmarkEnd w:id="15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determination under any other provision of this Agreement (any of the foregoing, a “</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in a currency other than Dollars, (i) the Dollar equivalent amount of a relevant transaction in a currency other than Dollars shall be 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relevant transaction (which, in the case of any Restricted Payment, Restricted Debt Payment, Investment, Disposition or incurrence of Indebtedness, shall be determined as set forth in</w:t>
      </w:r>
    </w:p>
    <w:p>
      <w:pPr>
        <w:spacing w:after="0" w:line="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applicable, and (ii) for the avoidance of doubt, no Default or Event of Default shall be deemed to have occurred solely as a result of a change in the rate of currency exchange occurring after the time of any relevant transaction so long as such relevant transaction was permitted at the time incurred, made, acquired, committed, entered or declared as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the calculation of compliance with any financial ratio for purposes of taking any action hereunder (including for purposes of calculating availability under the Incremental Cap) on any relevant date of determination, amounts denominated in currencies other than Dollars shall be translated into Dollars at the applicable currency exchange rate used in preparing the financial statements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prior to the first such delivery, the financial statements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as applicable, for the relevant Test Period. Notwithstanding the foregoing or anything to the contrary herein, to the extent that the Borrower would not be in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if any Indebtedness denominated in a currency other than Dollars were to be translated into Dollars on the basis of the applicable currency exchange rate used in preparing the financial statements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for the relevant Test Period, but would be in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if such Indebtedness that is denominated in a currency other than in Dollars were instead translated into Dollars on the basis of the average relevant currency exchange rates over such Test Period (taking into account the currency translation effects, determined in accordance with GAAP, of any Hedge Agreement permitted hereunder in respect of currency exchange risks with respect to the applicable currency in effect on the date of determination for the Dollar equivalent amount of such Indebtedness), then, solely for purposes of compliance with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the First Lien Leverage Ratio as of the last day of such Test Period shall be calculated on the basis of such average relevant currency exchange rates.</w:t>
      </w:r>
    </w:p>
    <w:p>
      <w:pPr>
        <w:spacing w:after="0" w:line="207" w:lineRule="exact"/>
        <w:rPr>
          <w:sz w:val="20"/>
          <w:szCs w:val="20"/>
          <w:color w:val="auto"/>
        </w:rPr>
      </w:pPr>
    </w:p>
    <w:p>
      <w:pPr>
        <w:jc w:val="both"/>
        <w:ind w:right="220" w:firstLine="436"/>
        <w:spacing w:after="0" w:line="266"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75"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66" w:right="479" w:bottom="1440" w:gutter="0" w:footer="0" w:header="0"/>
        </w:sectPr>
      </w:pPr>
    </w:p>
    <w:bookmarkStart w:id="153" w:name="page154"/>
    <w:bookmarkEnd w:id="153"/>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1.09. </w:t>
      </w:r>
      <w:r>
        <w:rPr>
          <w:rFonts w:ascii="Times New Roman" w:cs="Times New Roman" w:eastAsia="Times New Roman" w:hAnsi="Times New Roman"/>
          <w:sz w:val="18"/>
          <w:szCs w:val="18"/>
          <w:u w:val="single" w:color="auto"/>
          <w:color w:val="auto"/>
        </w:rPr>
        <w:t>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Replacement Revolving Facility, Extended Term Loans, Extended Revolving Loans or loans incurred under a new credit facility, in each case, to the extent such extension, replacement, renewal or refinancing is effected by means of a “cashless roll” by such Lender (or other cashless settlement mechanism approved by the Borrower and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Additional Alternate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55" w:lineRule="auto"/>
        <w:tabs>
          <w:tab w:leader="none" w:pos="68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Alternative Currency Loans be made to the Borrower and/or Letters of Credit be issued to the Borrower in a currency other than Dollars and those specifically listed in the definition of “Alternate Currencies”;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the Revolving Lenders of the applicable Class that will provide such Loans, and in the case of any such request with respect to the issuance of Letters of Credit, such request shall be subject to the approval of the Administrative Agent and the applicable Issuing Banks, in each case as set forth in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100" w:firstLine="436"/>
        <w:spacing w:after="0" w:line="254"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ten Business Days prior to the requested date of the making of such Revolving Loan or issuance of such Letter of Credit (or such other time or date as may be agreed by the Administrative Agent and, in the case of any such request pertaining to Letters of Credit, the applicable Issuing Banks, in its or their sole discretion). In the case of any such request pertaining to Alternative Currency Loans, the Administrative Agent shall promptly notify each Revolving Lender thereof; and in the case of any such request pertaining to Letters of Credit, the Administrative Agent shall promptly notify the applicable Issuing Bank thereof. Each applicable Revolving Lender (in the case of any such request pertaining to Revolving Loans) or each applicable Issuing Bank (in the case of a request pertaining to Letters of Credit) shall notify the Administrative Agent, not later than 11:00 a.m., five Business Days after receipt of such request whether it consents, in its sole discretion, to the making of Alternative Currency Loans or the issuance of Letters of Credit, as the case may be, in such requested currency.</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a Revolving Lender or Issuing Bank, as the case may be, to respond to such request within the time period specified in the preceding paragraph shall be deemed to be a refusal by such Revolving Lender or Issuing Bank, as the case may be, to permit Alternative Currency Loans to be made or Letters of Credit to be issued in such requested currency. If the Administrative Agent and all the applicable Revolving Lenders consent to making Alternative Currency Loans or issuance of Letters of Credit in such requested currency, the Administrative Agent shall so notify the Borrower, and such currency shall thereupon be deemed for all purposes to be an Alternate Currency hereunder for purposes of any Borrowing of Revolving Loans or issuance of Letters of Credit in such currency, as applicable, in which case the Borrower and the Revolving Lenders shall be permitted (but not required) to amend this Agreement and the other Loan Documents as necessary to accommodate such Borrowings and/or Letters of Credit (as applicable), in accordance with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 xml:space="preserve">.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the Administrative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154" w:name="page155"/>
    <w:bookmarkEnd w:id="154"/>
    <w:p>
      <w:pPr>
        <w:ind w:left="4"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Agent shall promptly so notify the Borrower. Except to the extent otherwise expressly provided, to the extent that the Alternative Currency Daily Rate, the Eurocurrency Rate and/or the Alternate Base Rate is not applicable to or available with respect to any Revolving Loan denominated in any Alternate Currency, the components of the interest rate applicable to such Revolving Loan shall be separately agreed by the Borrower and the Administrative Agent in accordance with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Additional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89"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on or after the Signing Date, and with three Business Days’ notice to the Administrative Agent (or such shorter period as the Administrative Agent may agree), subject to completion of customary “know your customer” procedures and delivery of related information reasonably requested by the Administrative Agent (including, if such Additional Borrower qualifies as a “legal entity customer” under the Beneficial Ownership Regulation, a Beneficial Ownership Certificate as to such Additional Borrower), the Borrower may designate any Restricted Subsidiary as an additional Borrower (each such person, an “</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xml:space="preserve">”) hereunder in respect of any specified Class or Classes of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prior to or contemporaneously with becoming an Additional Borrower (i) is incorporated in an Approved Jurisdiction and (ii) shall have expressly assumed the Obligations of a Borrower in a manner and pursuant to documentation reasonably satisfactory to the Administrative Agent (it being understood that an Additional Borrower may be designated as such pursuant to the terms of any Incremental Facility Amendment, Refinancing Amendment or Extension Amendment) (any such documentation, an “</w:t>
      </w:r>
      <w:r>
        <w:rPr>
          <w:rFonts w:ascii="Times New Roman" w:cs="Times New Roman" w:eastAsia="Times New Roman" w:hAnsi="Times New Roman"/>
          <w:sz w:val="18"/>
          <w:szCs w:val="18"/>
          <w:b w:val="1"/>
          <w:bCs w:val="1"/>
          <w:color w:val="auto"/>
        </w:rPr>
        <w:t>Additional Borrower Agreement</w:t>
      </w:r>
      <w:r>
        <w:rPr>
          <w:rFonts w:ascii="Times New Roman" w:cs="Times New Roman" w:eastAsia="Times New Roman" w:hAnsi="Times New Roman"/>
          <w:sz w:val="18"/>
          <w:szCs w:val="18"/>
          <w:color w:val="auto"/>
        </w:rPr>
        <w:t xml:space="preserve">”). Upon satisfaction of such requirements, the Additional Borrower shall be a “Borrower” hereunder and will have the right to request Term Loans, Revolving Loans or Letters of Credit, as the case may be, in each case of the applicable Class, in accordance with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 until the earlier to occur of the applicable Maturity Date or the date on which such Additional Borrower resigns as an Additional Borrower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8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firstLine="436"/>
        <w:spacing w:after="0" w:line="268" w:lineRule="auto"/>
        <w:tabs>
          <w:tab w:leader="none" w:pos="689" w:val="left"/>
        </w:tabs>
        <w:numPr>
          <w:ilvl w:val="1"/>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Additional Borrower may elect to resign as an Additional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Default or Event of Default is continuing or would result from the resignation of such Additional Borrower, (ii) such resigning Additional Borrower has delivered to the Administrative Agent a written notice of resignation, (iii) all outstanding Loans of the applicable Class or Classes of Obligations, together with all accrued and unpaid interest, unpaid fees and other unpaid amounts with respect to such Loans, extended to it hereunder as a Borrower (in each case, solely if any) shall be deemed to be assigned to another Borrower, and such other Borrower shall be deemed to have assumed such unpaid Loans, and unpaid interest, unpaid fees and other unpaid amounts with respect to such Loans (in each case, if any), as its primary obligations as Borrower, and (iv) either (A) its obligations in its capacity as Subsidiary Guarantor continue to be legal, valid, binding and enforceable and in full force and effect after giving effect to such resignation or</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8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resigning Additional Borrower is released from its obligations as a Subsidiary Guarantor pursuant to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substantially concurrently with such resignation pursuant to the Loan Documents. Upon satisfaction of the requirements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Additional Borrower shall cease to be an Additional Borrower and a Borrower (but in the case of a resignation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continue to be a Subsidiary Guarantor (unless such Person thereafter shall become an Excluded Subsidiary)) and at the request of the Borrower any Promissory Note in respect of such Additional Borrower shall be returned by the holder thereof to such Additional Borrower for cancellation.</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155" w:name="page156"/>
    <w:bookmarkEnd w:id="155"/>
    <w:p>
      <w:pPr>
        <w:ind w:right="80" w:firstLine="436"/>
        <w:spacing w:after="0" w:line="256"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Additional Borrower hereby designates the Borrower as its agent and representative. The Borrower may act as the agent and/or representative of any Additional Borrower for the purposes of (i) delivering Borrowing Requests, continuation or conversion notices and other notices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 (and for the purpose of giving instructions with respect to the disbursement of the proceeds of any Loans or the issuance of any Letters of Credit), (ii) delivering and receiving all other notices, consents, certificates and similar instruments contemplated hereunder or under any of the other Loan Documents and (iii) taking all other actions (including in respect of compliance with covenants and certifications) on behalf of any Additional Borrower under any Loan Document. The Borrower hereby accepts such appointment.</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respect of a Loan or Loans to a particular Additional Borrower (“</w:t>
      </w:r>
      <w:r>
        <w:rPr>
          <w:rFonts w:ascii="Times New Roman" w:cs="Times New Roman" w:eastAsia="Times New Roman" w:hAnsi="Times New Roman"/>
          <w:sz w:val="17"/>
          <w:szCs w:val="17"/>
          <w:b w:val="1"/>
          <w:bCs w:val="1"/>
          <w:color w:val="auto"/>
        </w:rPr>
        <w:t>Designated Loans</w:t>
      </w:r>
      <w:r>
        <w:rPr>
          <w:rFonts w:ascii="Times New Roman" w:cs="Times New Roman" w:eastAsia="Times New Roman" w:hAnsi="Times New Roman"/>
          <w:sz w:val="17"/>
          <w:szCs w:val="17"/>
          <w:color w:val="auto"/>
        </w:rPr>
        <w:t>”), any Lender (a “</w:t>
      </w:r>
      <w:r>
        <w:rPr>
          <w:rFonts w:ascii="Times New Roman" w:cs="Times New Roman" w:eastAsia="Times New Roman" w:hAnsi="Times New Roman"/>
          <w:sz w:val="17"/>
          <w:szCs w:val="17"/>
          <w:b w:val="1"/>
          <w:bCs w:val="1"/>
          <w:color w:val="auto"/>
        </w:rPr>
        <w:t>Designating Lender</w:t>
      </w:r>
      <w:r>
        <w:rPr>
          <w:rFonts w:ascii="Times New Roman" w:cs="Times New Roman" w:eastAsia="Times New Roman" w:hAnsi="Times New Roman"/>
          <w:sz w:val="17"/>
          <w:szCs w:val="17"/>
          <w:color w:val="auto"/>
        </w:rPr>
        <w:t>”) may at any time and from time to time designate (by written notice to the Administrative Agent and the Borrower): (i) a substitute lending office from which it will make Designated Loans (a “</w:t>
      </w:r>
      <w:r>
        <w:rPr>
          <w:rFonts w:ascii="Times New Roman" w:cs="Times New Roman" w:eastAsia="Times New Roman" w:hAnsi="Times New Roman"/>
          <w:sz w:val="17"/>
          <w:szCs w:val="17"/>
          <w:b w:val="1"/>
          <w:bCs w:val="1"/>
          <w:color w:val="auto"/>
        </w:rPr>
        <w:t>Substitute Facility Office</w:t>
      </w:r>
      <w:r>
        <w:rPr>
          <w:rFonts w:ascii="Times New Roman" w:cs="Times New Roman" w:eastAsia="Times New Roman" w:hAnsi="Times New Roman"/>
          <w:sz w:val="17"/>
          <w:szCs w:val="17"/>
          <w:color w:val="auto"/>
        </w:rPr>
        <w:t>”) or (ii) nominate an Affiliate to act as the Lender of Designated Loans (a “</w:t>
      </w:r>
      <w:r>
        <w:rPr>
          <w:rFonts w:ascii="Times New Roman" w:cs="Times New Roman" w:eastAsia="Times New Roman" w:hAnsi="Times New Roman"/>
          <w:sz w:val="17"/>
          <w:szCs w:val="17"/>
          <w:b w:val="1"/>
          <w:bCs w:val="1"/>
          <w:color w:val="auto"/>
        </w:rPr>
        <w:t>Substitute Affiliate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Lender</w:t>
      </w:r>
      <w:r>
        <w:rPr>
          <w:rFonts w:ascii="Times New Roman" w:cs="Times New Roman" w:eastAsia="Times New Roman" w:hAnsi="Times New Roman"/>
          <w:sz w:val="17"/>
          <w:szCs w:val="17"/>
          <w:color w:val="auto"/>
        </w:rPr>
        <w:t>”). A notice to nominate a Substitute Affiliate Lender must be in the form set out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Exhibit 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be countersigned by the relevant Substitute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Affiliate Lender confirming it will be bound as a Lender under this Agreement in respect of the Designated Loans in respect of which it acts as Substitute Affiliate Lender. The Designating Lender will act as the representative of any Substitute Affiliate Lender it nominates for all administrative purposes under this Agreement. The Borrower, the Administrative Agent and the other Loan Parties will be entitled to deal only with the Designating Lender, except that payments will be made in respect of Designated Loans to the lending office of the Substitute Affiliate Lender. In particular the Loans, Commitments, LC Exposure and Swingline Exposure of the Designating Lender will not be treated as reduced by the introduction of the Substitute Affiliate Lender for voting purposes under this Agreement or the other Loan Documents and the Substitute Affiliate Lender will be treated as having no Loans, Commitments, LC Exposure or Swingline Exposure for such voting purposes. Save as mentioned in the immediately preceding sentence, a Substitute Affiliate Lender will be treated as a Lender for all purposes under the Loan Documents and having a Loan, Commitment, LC Exposure or Swingline Exposure equal to the principal amount of all Designated Loans in which it is participating if and for so long as it continues to be a Substitute Affiliate Lender under this Agreement. A Designating Lender may revoke its designation of an Affiliate as a Substitute Affiliate Lender by notice in writing to the Administrative Agent and provided that such notice may only take effect when there are no Designated Loans outstanding to the Substitute Affiliate Lender. Upon such Substitute Affiliate Lender ceasing to be a Substitute Affiliate Lender the Designating Lender will automatically assume (and be deemed to assume without further action by any party) all rights and obligations previously vested in the Substitute Affiliate Lender. If a Designating Lender designates a Substitute Facility Office or Substitute Affiliate Lender in accordance with this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(i) any Substitute Affiliate Lender shall be treated for the purposes of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as having become a Lender on the date of this Agreement and (ii) the provisions of</w:t>
      </w:r>
    </w:p>
    <w:p>
      <w:pPr>
        <w:spacing w:after="0" w:line="9"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or in respect of any Substitute Facility Office or Substitute Affiliate Lender.</w:t>
      </w:r>
    </w:p>
    <w:p>
      <w:pPr>
        <w:spacing w:after="0" w:line="20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Escrow Funding</w:t>
      </w:r>
      <w:r>
        <w:rPr>
          <w:rFonts w:ascii="Times New Roman" w:cs="Times New Roman" w:eastAsia="Times New Roman" w:hAnsi="Times New Roman"/>
          <w:sz w:val="18"/>
          <w:szCs w:val="18"/>
          <w:color w:val="auto"/>
        </w:rPr>
        <w:t>. Any Indebtedness permitted to be incurred under this Agreement (including any Incremental Facilities) may be incurred, at the option of the Borrower, by a newly created and newly designated Unrestricted Subsidiary (an “</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(i) with no assets other than the cash proceeds of such incurred Indebtedness, any Cash and Cash Equivalents contributed to such Unrestricted Escrow Subsidiary as deposit of interest expenses, premium and fees, customary cash collateral or similar items in respect of such Indebtedness and (ii) which is formed, established and/or designated for the purpose of incurring Indebtedness and/or receiving committed financing, the proceeds of which will be subject to an escrow or other similar arrangement, and such Unrestricted Escrow Subsidiary shall, in each case, be subject to passivity restrictions reasonably satisfactory to the Administrative Agent. Such Unrestricted Escrow Subsidiary shall be permitted to merge with and into any Borrower or any of the Restricted Subsidiaries with such Borrower or such</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980"/>
          </w:cols>
          <w:pgMar w:left="440" w:top="270" w:right="479" w:bottom="1440" w:gutter="0" w:footer="0" w:header="0"/>
        </w:sectPr>
      </w:pPr>
    </w:p>
    <w:bookmarkStart w:id="156" w:name="page157"/>
    <w:bookmarkEnd w:id="156"/>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Subsidiary surviving the merger, amalgamation or other consolidation or combination and assuming all obligations of the Unrestricted Escrow Subsidiary. So long as such Indebtedness would have been permitted to be incurred directly by any Borrower or any Restricted Subsidiary upon the incurrence of such Indebtedness or upon the receipt of the applicable committed financing by the Unrestricted Escrow Subsidiary or, at the option of the Borrower, upon the merger, amalgamation or other consolidation or combination of such Unrestricted Escrow Subsidiary with any Borrower or any Restricted Subsidiary, the assumption of such Indebtedness by the applicable Borrower and the applicable Restricted Subsidiary shall be deemed to be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at such time and such merger, amalgamation or other consolidation or combination shall be deemed to be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regardless of whether or not any Default or Event of Default shall have occurred and be continuing at such time.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CREDITS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(i) each Initial Term Lender severally, and not jointly, agrees to make Initial Term Loans to the Borrower on the Closing Date in Dollars in a principal amount not to exceed its Initial Term Loan Commitment, (ii) each Revolving Lender severally, and not jointly, agrees to make Initial Revolving Loans to the Borrower in Dollars or any Alternate Currency at any time and from time to time on and after the Closing Date, and until the earlier of the Initial Revolving Credit Maturity Date and the termination of the Initial Revolving Credit Commitment of such Initial Revolving Lender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Borrowing of Initial Revolving Loans, (x) the Outstanding Amount of such Initial Revolving Lender’s Initial Revolving Credit Exposure shall not exceed such Initial Revolving Lender’s Initial Revolving Credit Commitment. Within the foregoing limits and subject to the terms, conditions and limitations set forth herein, the Borrower may borrow, pay or prepay and re-borrow Revolving Loans. Amounts paid or prepaid in respect of the Initial Term Loans may not be re-borrowed.</w:t>
      </w:r>
    </w:p>
    <w:p>
      <w:pPr>
        <w:spacing w:after="0" w:line="188"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any applicable Refinancing Amendment, Extension Amendment or Incremental Facility Amendment,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or Incremental Facility Amendment.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436"/>
        <w:spacing w:after="0" w:line="266" w:lineRule="auto"/>
        <w:tabs>
          <w:tab w:leader="none" w:pos="68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procedures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60" w:firstLine="436"/>
        <w:spacing w:after="0" w:line="256" w:lineRule="auto"/>
        <w:tabs>
          <w:tab w:leader="none" w:pos="695"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 each Borrowing denominated in Dollars shall be comprised entirely of ABR Loans or Eurocurrency Rate Loans as the Borrower may request in accordance herewith, (ii) each Borrowing denominated in Canadian Dollars shall be comprised entirely of Canadian Prime Rate Loans or CORRA Loans as the Borrower may request in accordance herewith, (iii) each Borrowing denominated in Sterling shall be comprised of Alternative Currency Daily Rate Loans and (iv) each Borrowing denominated in Euros shall be comprised of Eurocurrency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Swingline Loan shall be an ABR Loan denominated in Dollars. Each Lender at its option may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0"/>
          </w:cols>
          <w:pgMar w:left="440" w:top="270" w:right="479" w:bottom="1440" w:gutter="0" w:footer="0" w:header="0"/>
        </w:sectPr>
      </w:pPr>
    </w:p>
    <w:bookmarkStart w:id="157" w:name="page158"/>
    <w:bookmarkEnd w:id="157"/>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make any Eurocurrency Rate Loan or Alternative Currency Daily Rate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exercise of such option shall not affect the obligation of the Borrower to repay such Loan in accordance with the terms of this Agreement, (ii) such Eurocurrency Rate Loan or Alternative Currency Daily Rate Loan shall be deemed to have been made and held by such Lender, and the obligation of the Borrower to repay such Eurocurrency Rate Loan or Alternative Currency Daily Rate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domestic or foreign branch or Affiliate of such Lender shall not be entitled to any greater indemnification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such Eurocurrency Rate Loan or Alternative Currency Daily Rate Loan than that to which the applicable Lender was entitled on the date on which such Loan was made (except in connection with any indemnification entitlement arising as a result of a Change in Law after the date on which such Loan was made).</w:t>
      </w:r>
    </w:p>
    <w:p>
      <w:pPr>
        <w:spacing w:after="0" w:line="190" w:lineRule="exact"/>
        <w:rPr>
          <w:sz w:val="20"/>
          <w:szCs w:val="20"/>
          <w:color w:val="auto"/>
        </w:rPr>
      </w:pPr>
    </w:p>
    <w:p>
      <w:pPr>
        <w:ind w:left="4" w:right="40" w:firstLine="436"/>
        <w:spacing w:after="0" w:line="257" w:lineRule="auto"/>
        <w:tabs>
          <w:tab w:leader="none" w:pos="689"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Eurocurrency Rate Borrowing, such Borrowing shall comprise an aggregate principal amount that is an integral multiple of $100,000 and not less than $500,000 (or the Dollar Equivalent thereof). Each ABR Borrowing when made shall be in a minimum principal amount of $100,000;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Loan Borrowing may be made in a lesser aggregate amount that is</w:t>
      </w:r>
    </w:p>
    <w:p>
      <w:pPr>
        <w:spacing w:after="0" w:line="1" w:lineRule="exact"/>
        <w:rPr>
          <w:rFonts w:ascii="Times New Roman" w:cs="Times New Roman" w:eastAsia="Times New Roman" w:hAnsi="Times New Roman"/>
          <w:sz w:val="18"/>
          <w:szCs w:val="18"/>
          <w:color w:val="auto"/>
        </w:rPr>
      </w:pPr>
    </w:p>
    <w:p>
      <w:pPr>
        <w:ind w:left="4" w:right="100" w:hanging="4"/>
        <w:spacing w:after="0" w:line="250" w:lineRule="auto"/>
        <w:tabs>
          <w:tab w:leader="none" w:pos="25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equal to the entire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Each Alternative Currency Daily Rate Loan Borrowing when made shall comprise an aggregate principal amount that is an integral multiple of the Dollar Equivalent of $100,000 (or in the case of any Daily Simple CORRA Borrowing C$100,000) and not less than the Dollar Equivalent of $500,000 (or in the case of any Daily Simple CORRA Borrowing C$500,000);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Alternative Currency Daily Rate Loan Borrowing may be made in a lesser aggregate amount that is (x) equal to the entire aggregate Unused Revolving Credit Commitments or</w:t>
      </w:r>
    </w:p>
    <w:p>
      <w:pPr>
        <w:spacing w:after="0" w:line="1" w:lineRule="exact"/>
        <w:rPr>
          <w:rFonts w:ascii="Times New Roman" w:cs="Times New Roman" w:eastAsia="Times New Roman" w:hAnsi="Times New Roman"/>
          <w:sz w:val="18"/>
          <w:szCs w:val="18"/>
          <w:color w:val="auto"/>
        </w:rPr>
      </w:pPr>
    </w:p>
    <w:p>
      <w:pPr>
        <w:ind w:left="4" w:right="20" w:hanging="4"/>
        <w:spacing w:after="0" w:line="265" w:lineRule="auto"/>
        <w:tabs>
          <w:tab w:leader="none" w:pos="259" w:val="left"/>
        </w:tabs>
        <w:numPr>
          <w:ilvl w:val="0"/>
          <w:numId w:val="1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required to finance the reimbursement of an LC Disbursement as contemplated by </w:t>
      </w:r>
      <w:r>
        <w:rPr>
          <w:rFonts w:ascii="Times New Roman" w:cs="Times New Roman" w:eastAsia="Times New Roman" w:hAnsi="Times New Roman"/>
          <w:sz w:val="17"/>
          <w:szCs w:val="17"/>
          <w:u w:val="single" w:color="auto"/>
          <w:color w:val="auto"/>
        </w:rPr>
        <w:t>Section 2.05(e)</w:t>
      </w:r>
      <w:r>
        <w:rPr>
          <w:rFonts w:ascii="Times New Roman" w:cs="Times New Roman" w:eastAsia="Times New Roman" w:hAnsi="Times New Roman"/>
          <w:sz w:val="17"/>
          <w:szCs w:val="17"/>
          <w:color w:val="auto"/>
        </w:rPr>
        <w:t xml:space="preserve">. At the commencement of each Interest Period for any Term CORRA Borrowing, such Borrowing shall comprise an aggregate principal amount that is an integral multiple of C$100,000 and not less than C$500,000. Each Canadian Prime Rate Borrowing when made shall be in a minimum principal amount of C$100,000;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Canadian Prime Rate Revolving Borrowing may be made in a lesser aggregate amount that is (x) equal to the entire aggregate Unused Revolving Credit Commitments or</w:t>
      </w:r>
    </w:p>
    <w:p>
      <w:pPr>
        <w:ind w:left="4" w:hanging="4"/>
        <w:spacing w:after="0" w:line="253" w:lineRule="auto"/>
        <w:tabs>
          <w:tab w:leader="none" w:pos="259"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fifteen (15) different Interest Periods in effect for Eurocurrency Rate Borrowings and Term CORRA Borrowings at any time outstanding (or such greater number of different Interest Periods as the Administrative Agent may agree from time to time).</w:t>
      </w:r>
    </w:p>
    <w:p>
      <w:pPr>
        <w:spacing w:after="0" w:line="188" w:lineRule="exact"/>
        <w:rPr>
          <w:rFonts w:ascii="Times New Roman" w:cs="Times New Roman" w:eastAsia="Times New Roman" w:hAnsi="Times New Roman"/>
          <w:sz w:val="18"/>
          <w:szCs w:val="18"/>
          <w:color w:val="auto"/>
        </w:rPr>
      </w:pPr>
    </w:p>
    <w:p>
      <w:pPr>
        <w:jc w:val="both"/>
        <w:ind w:left="4" w:right="340" w:firstLine="436"/>
        <w:spacing w:after="0" w:line="312" w:lineRule="auto"/>
        <w:tabs>
          <w:tab w:leader="none" w:pos="699" w:val="left"/>
        </w:tabs>
        <w:numPr>
          <w:ilvl w:val="1"/>
          <w:numId w:val="1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other provision of this Agreement, the Borrower shall not, nor shall the Borrower be entitled to, request, or to elect to convert or continue, any Borrowing if the Interest Period requested with respect thereto would end after the Maturity Date applicable to such Loans.</w:t>
      </w:r>
    </w:p>
    <w:p>
      <w:pPr>
        <w:spacing w:after="0" w:line="140"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Each Borrowing, each conversion of Loans from one Type to the other, and each continuation of Eurocurrency Rate Loans, Alternative Currency Daily Rate Loans or Term CORRA Loans shall be made upon notice by the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in respect of any Borrowings (x) to be made on the Closing Date may be conditioned on the closing of the Transactions and (y) to be made in connection with any acquisition,</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24"/>
          </w:cols>
          <w:pgMar w:left="436" w:top="270" w:right="439" w:bottom="1440" w:gutter="0" w:footer="0" w:header="0"/>
        </w:sectPr>
      </w:pPr>
    </w:p>
    <w:bookmarkStart w:id="158" w:name="page159"/>
    <w:bookmarkEnd w:id="15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 or repayment, redemption or refinancing of Indebtedness may be conditioned on the closing of such acquisition, Investment or repayment, redemption or refinancing of such Indebtedness). Each such notice must be in writing and must be received by the Administrative Agent (by hand delivery, fax or other electronic transmission (including “.pdf” or “.tif”)) not later than 1:00 p.m. (i) three Business Days prior to the requested day of any Borrowing of, conversion to or continuation of Eurocurrency Rate Loans or Term CORRA Loans (or one Business Day in the case of any Borrowing of Eurocurrency Rate Loans or Term CORRA Loans to be made on the Closing Date), (ii) five Business Days prior to the requested date of any Borrowing of Alternative Currency Daily Rate Loans, (iii) one Business Day prior to the requested date of any Borrowing of or conversion to Canadian Prime Rate Loans and (iv) on the requested date of any Borrowing of or conversion to ABR Loans (other than Swingline Loans) (or, in each case, such later time as shall be reasonably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Borrower wishes to request Eurocurrency Rate Loans or Term CORRA Loans having an Interest Period of other than one, three or (other than with respect to Term CORRA Loans) six months in duration as provided in the definition of “Interest Period,” (A) the applicable notice from the Borrower must be received by the Administrative Agent not later than 1:00 p.m. four Business Days prior to the requested date of such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10:00 a.m. three Business Days before the requested date of such Borrowing, conversion or continuation, the Administrative Agent shall notify the Borrower whether or not the requested Interest Period is available to the appropriate Lenders. Each written notice with respect to a Borrowing by the Borrower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delivered to the Administrative Agent in the form of a written Borrowing Request, appropriately completed and signed by a Responsible Officer of the Borrower.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5" w:lineRule="exact"/>
        <w:rPr>
          <w:sz w:val="20"/>
          <w:szCs w:val="20"/>
          <w:color w:val="auto"/>
        </w:rPr>
      </w:pPr>
    </w:p>
    <w:p>
      <w:pPr>
        <w:ind w:left="680" w:hanging="244"/>
        <w:spacing w:after="0"/>
        <w:tabs>
          <w:tab w:leader="none" w:pos="6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requesting such Borrowing;</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such Borrowing;</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Eurocurrency Rate Borrowing, an Alternative Currency Daily Rate Borrowing, a Canadian Prime Rate Borrowing, a Term CORRA Borrowing or a Daily Simple CORRA Borrowing;</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6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Eurocurrency Rate Borrowing or a Term CORRA Borrowing, the initial Interest Period to be applicable thereto, which shall be a period contemplated by the definition of the term “Interest Period”; and</w:t>
      </w:r>
    </w:p>
    <w:p>
      <w:pPr>
        <w:spacing w:after="0" w:line="157" w:lineRule="exact"/>
        <w:rPr>
          <w:rFonts w:ascii="Times New Roman" w:cs="Times New Roman" w:eastAsia="Times New Roman" w:hAnsi="Times New Roman"/>
          <w:sz w:val="18"/>
          <w:szCs w:val="18"/>
          <w:color w:val="auto"/>
        </w:rPr>
      </w:pPr>
    </w:p>
    <w:p>
      <w:pPr>
        <w:ind w:right="420" w:firstLine="436"/>
        <w:spacing w:after="0" w:line="286" w:lineRule="auto"/>
        <w:tabs>
          <w:tab w:leader="none" w:pos="69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any other designated account(s) to which funds are to be disbursed (the “</w:t>
      </w:r>
      <w:r>
        <w:rPr>
          <w:rFonts w:ascii="Times New Roman" w:cs="Times New Roman" w:eastAsia="Times New Roman" w:hAnsi="Times New Roman"/>
          <w:sz w:val="18"/>
          <w:szCs w:val="18"/>
          <w:b w:val="1"/>
          <w:bCs w:val="1"/>
          <w:color w:val="auto"/>
        </w:rPr>
        <w:t>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If, with respect to a Borrowing denominated in Dollars, no election as to the Type of Borrowing is specified, then the requested Borrowing shall be an ABR Borrowing. If, with respect to a Borrowing denominated in Canadian Dollars, no election as to the Type of Borrowing is specified, then the requested Borrowing shall be a Canadian Prime Rate Borrowing. If no Interest Period is specified with respect to any requested Eurocurrency Rate Borrowing or Term CORRA Borrowing, then the Borrower shall be deemed to have selected an Interest Period of one month’s duration. Promptly following receipt of a Borrowing Request in accordance with this Section, the Administrative Agent shall advise each Lender of the details thereof and of the amount (and currency) of such Lender’s Loan to be made as part of the requested Borrowing.</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20"/>
          </w:cols>
          <w:pgMar w:left="440" w:top="270" w:right="539" w:bottom="1440" w:gutter="0" w:footer="0" w:header="0"/>
        </w:sectPr>
      </w:pPr>
    </w:p>
    <w:bookmarkStart w:id="159" w:name="page160"/>
    <w:bookmarkEnd w:id="159"/>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2.04. Swingline Loans.</w:t>
      </w:r>
    </w:p>
    <w:p>
      <w:pPr>
        <w:spacing w:after="0" w:line="225" w:lineRule="exact"/>
        <w:rPr>
          <w:sz w:val="20"/>
          <w:szCs w:val="20"/>
          <w:color w:val="auto"/>
        </w:rPr>
      </w:pPr>
    </w:p>
    <w:p>
      <w:pPr>
        <w:ind w:left="-20" w:right="140" w:firstLine="436"/>
        <w:spacing w:after="0" w:line="252" w:lineRule="auto"/>
        <w:tabs>
          <w:tab w:leader="none" w:pos="66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Swingline Lender agrees to make Swingline Loans in Dollars to the Borrower from time to time during the Availability Period, in an aggregate principal amount at any time outstanding not to exceed $75,000,000;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Swingline Lender shall not be required to make any Swingline Loan to refinance an outstanding Swingline Loan and (y) after giving effect to any Swingline Loan, the aggregate Outstanding Amount of all Revolving Loans, Swingline Loans and LC Exposure shall not exceed the Total Revolving Credit Commitments. Each Swingline Loan shall be in a minimum principal amount of not less than $100,000 or such lesser amount as may be agreed by the Swingline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Swingline Loan may be in an aggregate amount that is (x) equal to the entire unused balance of the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in writing, not later than 2:00 p.m. on the day of a proposed Swingline Loan. Each such notice shall be irrevocable and shall specify the requested date (which shall be a Business Day) and amount of the requested Swingline Loan. The Swingline Lender shall make each Swingline Loan available to the Borrower on the same Business Day by means of a credit to the Funding Account or otherwise in accordance with the instructions of the Borrower (including,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by remittance to the applicable Issuing Bank).</w:t>
      </w:r>
    </w:p>
    <w:p>
      <w:pPr>
        <w:spacing w:after="0" w:line="197"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Swingline Lender may by written notice given to the Administrative Agent not later than 12:00 p.m. on any Business Day require the Revolving Lenders to acquire participations on the second Business Day following receipt of such notice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Revolving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and thereafter payments in respect of such Swingline Loan shall be made to the Administrative Agent and not to the Swingline Lender. Any amounts received by the Swingline Lender from the Borrower (or other Person on behalf of the Borrower) in respect of any Swingline Loan after receipt by the Swingline Lender of the proceeds of any sale of participations therein shall be promptly remitted by</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0"/>
          </w:cols>
          <w:pgMar w:left="460" w:top="270" w:right="479" w:bottom="1440" w:gutter="0" w:footer="0" w:header="0"/>
        </w:sectPr>
      </w:pPr>
    </w:p>
    <w:bookmarkStart w:id="160" w:name="page161"/>
    <w:bookmarkEnd w:id="16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Swingline Lender to the Administrative Agent and any such amounts received by the Administrative Agent shall be promptly remitted by the Administrative Agent to the Revolving Lenders that have made their payments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any Swingline Loan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shall not relieve the Borrower of any default in the payment thereof.</w:t>
      </w:r>
    </w:p>
    <w:p>
      <w:pPr>
        <w:spacing w:after="0" w:line="183" w:lineRule="exact"/>
        <w:rPr>
          <w:sz w:val="20"/>
          <w:szCs w:val="20"/>
          <w:color w:val="auto"/>
        </w:rPr>
      </w:pPr>
    </w:p>
    <w:p>
      <w:pPr>
        <w:ind w:right="60" w:firstLine="436"/>
        <w:spacing w:after="0" w:line="255"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conclusive absent manifest error.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(i) each Issuing Bank agrees, in each case in reliance upon the agreements of the other Revolving Lenders set forth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 from time to time on any Business Day during the period from the Closing Date to the fifth Business Day prior to the Latest Revolving Loan Maturity Date, upon the request of the Borrower, to issue Letters of Credit denominated in Dollars or any Alternate Currency issued on sight basis only for the account of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will be the applicant) and to amend or renew Letters of Credit previously issued by it, in accordance with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and (B) to honor drafts under the Letters of Credit and (ii) the Revolving Lenders severally agree to participate in the Letters of Credit issued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after giving effect to the issuance, amendment, renewal or extension of any Letter of Credit, (w) the aggregate LC Exposure shall not exceed the Total Revolving Credit Commitments, (x) the LC Exposure of each Revolving Lender shall not exceed such Revolving Lender’s Revolving Credit Commitment, (y) the Outstanding Amount of the LC Exposure shall not exceed the Letter of Credit Sublimit and (z) the Outstanding Amount of the Letters of Credit issued by any Issuing Bank shall not exceed such Issuing Bank’s Letter of Credit Commitment. Notwithstanding anything to the contrary contained in this Agreement, no Issuing Bank shall be required to issue (x) Commercial Letters of Credit, bank guarantees, bankers’ acceptances or similar documents or instruments (in each case, other than Standby Letters of Credit) or (y) other Letter of Credit with an expiry date that is more than one year after the date on which such Letter of Credit is issued, in each case, without its consent.</w:t>
      </w:r>
    </w:p>
    <w:p>
      <w:pPr>
        <w:spacing w:after="0" w:line="79"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have an obligation to issue any Letter of Credit if (w) any order, judgment or decree of any Governmental Authority or arbitrator shall by its terms purport to enjoin or restrain such Issuing Bank from issuing such Letter of Credit, (x) customary “know your customer” requirements of such Issuing Bank with respect to the beneficiary of such Letter of Credit would be violated, (y)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(z) the issuance, amendment or extension of such Letter of Credit would violate one or more policies of such Issuing Bank applicable to letters of credit generally.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0980"/>
          </w:cols>
          <w:pgMar w:left="440" w:top="270" w:right="479" w:bottom="1440" w:gutter="0" w:footer="0" w:header="0"/>
        </w:sectPr>
      </w:pPr>
    </w:p>
    <w:bookmarkStart w:id="161" w:name="page162"/>
    <w:bookmarkEnd w:id="161"/>
    <w:p>
      <w:pPr>
        <w:ind w:left="440" w:right="420" w:firstLine="419"/>
        <w:spacing w:after="0" w:line="258" w:lineRule="auto"/>
        <w:tabs>
          <w:tab w:leader="none" w:pos="1128"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otherwise agreed by the Issuing Bank thereof, each Letter of Credit shall be subject to, in the case of Commercial Letters of Credit, the Uniform Customs and Practice for Documentary Credits, International Chamber of Commerce Publication No. 600 (or such later version thereof as may be in effect at the applicable time), in the case of Standby Letters of Credit, the International Standby Practices, International Chamber of Commerce Publication No. 590 (or such later version thereof as may be in effect at the applicable time) and, for all Letters of Credit, to the extent not consistent or inconsistent with the aforementioned rules, the laws of the State of New York.</w:t>
      </w:r>
    </w:p>
    <w:p>
      <w:pPr>
        <w:spacing w:after="0" w:line="183" w:lineRule="exact"/>
        <w:rPr>
          <w:rFonts w:ascii="Times New Roman" w:cs="Times New Roman" w:eastAsia="Times New Roman" w:hAnsi="Times New Roman"/>
          <w:sz w:val="18"/>
          <w:szCs w:val="18"/>
          <w:color w:val="auto"/>
        </w:rPr>
      </w:pPr>
    </w:p>
    <w:p>
      <w:pPr>
        <w:ind w:firstLine="436"/>
        <w:spacing w:after="0" w:line="251" w:lineRule="auto"/>
        <w:tabs>
          <w:tab w:leader="none" w:pos="69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request to issue a Letter of Credit, which shall specify that it is being issued under this Agreement,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attached hereto or any other form approved by the applicable Issuing Bank and the Borrower. To request an amendment, extension or renewal of a Letter of Credit (other than any automatic extension of a Letter of Credit permitted under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the Borrower shall submit such a request to the applicable Issuing Bank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Requests for the issuance, amendment, extension or renewal of any Letter of Credit must be accompanied by such other information required by the applicable Issuing Bank as shall be necessary to issue, amend, extend or renew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representations or warranties, covenants or events of default not set forth in this Agreement (and to the extent inconsistent herewith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 with those set forth in this Agreement (and, to the extent inconsistent herewith, shall be deemed to automatically incorporate the applicable standards, qualifications, thresholds and exceptions set forth herein without action by any Person). A Letter of Credit may be issued, amended, extended or renewed only if (and on the issuance, amendment, extension or renewal of each Letter of Credit the Borrower shall be deemed to represent and warrant that), after giving effect to such issuance, amendment, extension or renewal, (w) the aggregate Revolving Credit Exposure shall not exceed the Total Revolving Credit Commitments, (x) the LC Exposure of each Revolving Lender shall not exceed such Revolving Lender’s Revolving Credit Commitment, (y) the aggregate amount of the LC Exposure shall not exceed the Letter of Credit Sublimit and (z) the Outstanding Amount of the Letters of Credit issued by any Issuing Bank shall not exceed such Issuing Bank’s Letter of Credit Commitment. In addition, no Issuing Bank shall be required to issue, amend, extend or renew any Letter of Credit if the expiration date of such Letter of Credit extends beyond the Maturity Date applicable to the Revolving Credit Commitments of any Class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70" w:right="459" w:bottom="1440" w:gutter="0" w:footer="0" w:header="0"/>
        </w:sectPr>
      </w:pPr>
    </w:p>
    <w:bookmarkStart w:id="162" w:name="page163"/>
    <w:bookmarkEnd w:id="16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(1) the aggregate amount of the LC Exposure attributable to Letters of Credit expiring after such Maturity Date does not exceed the aggregate amount of the Revolving Credit Commitments then in effect that are scheduled to remain in effect after such Maturity Date, (2) all Revolving Lenders and such Issuing Bank shall have consented to such expiry date, (3) the Borrower shall have caused such Letter of Credit to be backstopped by a “back to back” letter of credit reasonably satisfactory to such Issuing Bank or (4) the Borrower shall have caused such Letter of Credit to be Cash collateralized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on or before the date that such Letter of Credit is issued, amended, extended or renewed beyond such date. Promptly after the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 Upon receipt of such Letter of Credit or amendment, the Administrative Agent shall notify the Revolving Lenders, in writing, of such Letter of Credit or amendment, and if so requested by a Revolving Lender, the Administrative Agent will provide such Revolving Lender with copies of such Letter of Credit or amendment.</w:t>
      </w:r>
    </w:p>
    <w:p>
      <w:pPr>
        <w:spacing w:after="0" w:line="194" w:lineRule="exact"/>
        <w:rPr>
          <w:sz w:val="20"/>
          <w:szCs w:val="20"/>
          <w:color w:val="auto"/>
        </w:rPr>
      </w:pPr>
    </w:p>
    <w:p>
      <w:pPr>
        <w:ind w:left="680" w:hanging="244"/>
        <w:spacing w:after="0"/>
        <w:tabs>
          <w:tab w:leader="none" w:pos="680"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07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no Standby Letter of Credit shall expire later than the earlier of (A) the date that is two years after the date of the issuance of such Standby Letter of Credit (or such later date to which the relevant Issuing Bank may agree) and (B) five (5) Business Days prior to the Latest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Standby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80"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no Commercial Letter of Credit shall expire later than the earlier to occur of (A) two years after the issuance thereof (or such later date to which the relevant Issuing Bank may agree) and (B) five (5) Business Days prior to the Latest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Commercial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18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respect of any Letter of Credit issued in any Alternate Currency, expressed in the Dollar 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or of any reimbursement payment required to be refunded to the Borrower for any reason. Each Revolving Lender acknowledges and agrees that its obligation to acquire participations pursuant 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163" w:name="page164"/>
    <w:bookmarkEnd w:id="163"/>
    <w:p>
      <w:pPr>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58" w:lineRule="exact"/>
        <w:rPr>
          <w:sz w:val="20"/>
          <w:szCs w:val="20"/>
          <w:color w:val="auto"/>
        </w:rPr>
      </w:pPr>
    </w:p>
    <w:p>
      <w:pPr>
        <w:ind w:left="680" w:hanging="244"/>
        <w:spacing w:after="0"/>
        <w:tabs>
          <w:tab w:leader="none" w:pos="6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Issuing Bank makes any LC Disbursement in respect of a Letter of Credit, the Borrower shall reimburse such LC Disbursement by paying to the Administrative Agent (or, in the case of Commercial Letters of Credit, the applicable Issuing Bank) an amount equal to such LC Disbursement not later than 1:00 p.m. on the Business Day immediately following the date on which the Borrower receives notice under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of this Section of such LC Disbursement (or, if such notice is received less than two hours prior to the deadline for requesting ABR Borrowings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 the second Business Day immediately following the date on which the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that such payment be financed with an ABR Revolving Loan or a Swingline Loan and, to the extent so financed, the Borrower’s obligation to make such payment shall be discharged and replaced by the resulting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85"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28" w:val="left"/>
        </w:tabs>
        <w:numPr>
          <w:ilvl w:val="1"/>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by the time specified therein, such Issuing Bank shall be entitled to recover from such Revolving Lender (acting through the Administrative Agent), on demand, such amount with interest thereon for the period from the date such payment is required to the date on which such payment is immediately available to such Issuing Bank at a rate per annum equal to the greater of the Federal Funds Effective Rate (or, in the case of any Letter of Credit denominated in any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conclusive absent manifest error.</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40"/>
          </w:cols>
          <w:pgMar w:left="440" w:top="270" w:right="519" w:bottom="1440" w:gutter="0" w:footer="0" w:header="0"/>
        </w:sectPr>
      </w:pPr>
    </w:p>
    <w:bookmarkStart w:id="164" w:name="page165"/>
    <w:bookmarkEnd w:id="164"/>
    <w:p>
      <w:pPr>
        <w:ind w:left="-20" w:firstLine="436"/>
        <w:spacing w:after="0" w:line="251" w:lineRule="auto"/>
        <w:tabs>
          <w:tab w:leader="none" w:pos="64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such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in writing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to give or delay in giving such notice shall relieve the Borrower of its obligation to reimburse such Issuing Bank and the Revolving Lenders with respect to any such LC Disbursement within the time period prescribed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7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Interim Interest</w:t>
      </w:r>
      <w:r>
        <w:rPr>
          <w:rFonts w:ascii="Times New Roman" w:cs="Times New Roman" w:eastAsia="Times New Roman" w:hAnsi="Times New Roman"/>
          <w:sz w:val="18"/>
          <w:szCs w:val="18"/>
          <w:color w:val="auto"/>
        </w:rPr>
        <w:t xml:space="preserve">. If any Issuing Bank makes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(x) in the case of any Letter of Credit denominated in Dollars, Revolving Loans that are ABR Loans, (y) in the case of any Letter of Credit denominated in Canadian Dollars, Revolving Loans that are Canadian Prime Rate Loans and (z) in the case of any Letter of Credit denominated in any other Alternate Currency, Revolving Loans that are Eurocurrency Rate Loans with an Interest Period of one month commencing on the date of such LC Disbursement or Alternative Currency Daily Rate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then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to reimburse such Issuing Bank shall be for the account of such Revolving Lender to the extent of such payment.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60"/>
          </w:cols>
          <w:pgMar w:left="460" w:top="270" w:right="479" w:bottom="1440" w:gutter="0" w:footer="0" w:header="0"/>
        </w:sectPr>
      </w:pPr>
    </w:p>
    <w:bookmarkStart w:id="165" w:name="page166"/>
    <w:bookmarkEnd w:id="165"/>
    <w:p>
      <w:pPr>
        <w:ind w:left="4" w:right="40" w:firstLine="436"/>
        <w:spacing w:after="0" w:line="253" w:lineRule="auto"/>
        <w:tabs>
          <w:tab w:leader="none" w:pos="65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Replacement of an Issuing Bank or Addition of New Issuing Banks</w:t>
      </w:r>
      <w:r>
        <w:rPr>
          <w:rFonts w:ascii="Times New Roman" w:cs="Times New Roman" w:eastAsia="Times New Roman" w:hAnsi="Times New Roman"/>
          <w:sz w:val="18"/>
          <w:szCs w:val="18"/>
          <w:color w:val="auto"/>
        </w:rPr>
        <w:t xml:space="preserve">. Any Issuing Bank may be replaced with the consent of the Administrative Agent (not to be unreasonably withheld or delayed), the Borrower and the successor Issuing Bank at any time by written agreement among the Borrower, the Administrative Agent and the successor Issuing Bank. The Administrative Agent shall notify the Revolving Lenders of any such replacement of an Issuing Bank. At the time any such replacement becomes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replaced Issuing Bank under this Agreement with respect to Letters of Credit to be issued thereafter and</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after such replacement. 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shall be deemed to be an “Issuing Bank” (in addition to being a Revolving Lender) in respect of Letters of Credit issued or to be issued by such Revolving Lender, and, with respect to such Letters of Credit, such term shall thereafter apply to the other Issuing Bank and such Revolving Lender.</w:t>
      </w:r>
    </w:p>
    <w:p>
      <w:pPr>
        <w:spacing w:after="0" w:line="193" w:lineRule="exact"/>
        <w:rPr>
          <w:sz w:val="20"/>
          <w:szCs w:val="20"/>
          <w:color w:val="auto"/>
        </w:rPr>
      </w:pPr>
    </w:p>
    <w:p>
      <w:pPr>
        <w:ind w:left="664" w:hanging="224"/>
        <w:spacing w:after="0"/>
        <w:tabs>
          <w:tab w:leader="none" w:pos="664"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54" w:lineRule="auto"/>
        <w:tabs>
          <w:tab w:leader="none" w:pos="108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exists and the Revolving Loans have been declared due and payable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then on the Business Day that the Borrower receives notice from the Administrative Agent at the direction of the Required Lenders demanding the deposit of Cash collateral pursuant to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color w:val="auto"/>
        </w:rPr>
        <w:t>, upon such demand, the Borrower shall deposit, in an interest-bearing account with the Administrative Agent, in the name of the Administrative Agent and for the benefit of the Revolving Lenders (the “</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an amount in Cash equal to 100% of the LC Exposure as of such date (minus the amount then on deposit in the LC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44" w:right="120" w:firstLine="419"/>
        <w:spacing w:after="0" w:line="253" w:lineRule="auto"/>
        <w:tabs>
          <w:tab w:leader="none" w:pos="1132"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deposit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shall be held by the Administrative Agent as collateral for the payment and performance of the Obligations in accordance with the provisions of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004"/>
          </w:cols>
          <w:pgMar w:left="436" w:top="270" w:right="459" w:bottom="1440" w:gutter="0" w:footer="0" w:header="0"/>
        </w:sectPr>
      </w:pPr>
    </w:p>
    <w:bookmarkStart w:id="166" w:name="page167"/>
    <w:bookmarkEnd w:id="166"/>
    <w:p>
      <w:pPr>
        <w:ind w:left="-60" w:right="20" w:firstLine="436"/>
        <w:spacing w:after="0" w:line="254" w:lineRule="auto"/>
        <w:tabs>
          <w:tab w:leader="none" w:pos="63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terms and conditions hereof, any Standby Letter of Credit, Commercial Letter of Credit, bank guarantee, bankers’ acceptance or similar document or instrument issued for the account of a Person that becomes a Restricted Subsidiary after the Signing Date pursuant to a Permitted Acquisition or other Investment, in each case that is (x) outstanding on the date of such Permitted Acquisition or other Investment and (y) issued by an entity that is, or is an Affiliate of, an Issuing Bank under this Agreement shall, at the request of the Borrower and with the consent of such Issuing Bank in its sole discretion, be deemed to be a “Letter of Credit” for all purposes of this Agreement as of the date of such Permitted Acquisition or other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Letter of Credit would otherwise be permitted to be issued under this Agreement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Letter of Credit may be in another currency agreed by the Administrative Agent and such Issuing Bank) and (ii) the Borrower, the Administrative Agent and such Issuing Bank shall have entered into an acknowledgment reasonably acceptable to each party thereto confirming the foregoing.</w:t>
      </w:r>
    </w:p>
    <w:p>
      <w:pPr>
        <w:spacing w:after="0" w:line="188" w:lineRule="exact"/>
        <w:rPr>
          <w:rFonts w:ascii="Times New Roman" w:cs="Times New Roman" w:eastAsia="Times New Roman" w:hAnsi="Times New Roman"/>
          <w:sz w:val="18"/>
          <w:szCs w:val="18"/>
          <w:color w:val="auto"/>
        </w:rPr>
      </w:pPr>
    </w:p>
    <w:p>
      <w:pPr>
        <w:ind w:left="-60" w:right="100" w:firstLine="436"/>
        <w:spacing w:after="0" w:line="282" w:lineRule="auto"/>
        <w:tabs>
          <w:tab w:leader="none" w:pos="5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Effective as of the Closing Date, each Existing Letter of Credit shall be deemed a Letter of Credit issued hereunder for all purposes under this Agreement without need for any further action by the Borrower or any other Person.</w:t>
      </w:r>
    </w:p>
    <w:p>
      <w:pPr>
        <w:spacing w:after="0" w:line="161" w:lineRule="exact"/>
        <w:rPr>
          <w:rFonts w:ascii="Times New Roman" w:cs="Times New Roman" w:eastAsia="Times New Roman" w:hAnsi="Times New Roman"/>
          <w:sz w:val="18"/>
          <w:szCs w:val="18"/>
          <w:color w:val="auto"/>
        </w:rPr>
      </w:pPr>
    </w:p>
    <w:p>
      <w:pPr>
        <w:ind w:left="-60" w:right="60" w:firstLine="436"/>
        <w:spacing w:after="0" w:line="256" w:lineRule="auto"/>
        <w:tabs>
          <w:tab w:leader="none" w:pos="68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Not later than the third Business Day following the last day of each month and on the date of any issuance of any Letter of Credit (or at such other intervals as the Administrative Agent and the applicable Issuing Bank shall agree), each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436"/>
        <w:spacing w:after="0" w:line="256" w:lineRule="auto"/>
        <w:tabs>
          <w:tab w:leader="none" w:pos="62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1:00 p.m. to the account of the Administrative Agent most recently designated by it for such purpose by notice to the Lenders in an amount equal to such Lender’s respective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Administrative Agent will make such Loans available to the Borrower by promptly crediting the amounts so received on the same Business Day, in like funds, to the Funding Account or as otherwise directed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any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87" w:lineRule="exact"/>
        <w:rPr>
          <w:rFonts w:ascii="Times New Roman" w:cs="Times New Roman" w:eastAsia="Times New Roman" w:hAnsi="Times New Roman"/>
          <w:sz w:val="18"/>
          <w:szCs w:val="18"/>
          <w:color w:val="auto"/>
        </w:rPr>
      </w:pPr>
    </w:p>
    <w:p>
      <w:pPr>
        <w:ind w:left="-60" w:right="140" w:firstLine="436"/>
        <w:spacing w:after="0" w:line="258" w:lineRule="auto"/>
        <w:tabs>
          <w:tab w:leader="none" w:pos="63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the Administrative Agent has received notice from any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and may, in reliance upon such assumption, make available to the Borrower a corresponding amount. In such event, if any Lender has not in fact made its share of the applicable Borrowing available to the Administrative Agent,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00"/>
          </w:cols>
          <w:pgMar w:left="500" w:top="270" w:right="499" w:bottom="1440" w:gutter="0" w:footer="0" w:header="0"/>
        </w:sectPr>
      </w:pPr>
    </w:p>
    <w:bookmarkStart w:id="167" w:name="page168"/>
    <w:bookmarkEnd w:id="16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(or, with respect to any amount denominated in any Alternate Currency, the rate of interest per annum at which overnight deposits in the applicable Alternate Currency, in an amount that is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the Loans comprising such Borrowing at such time. If such Lender pays such amount to the Administrative Agent, then such amount shall constitute such Lender’s Loan included in such Borrowing and the Borrower’s obligation to repay the Administrative Agent such corresponding amount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Type; 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specified in the applicable Borrowing Request and, in the case of a Eurocurrency Rate Borrowing or Term CORRA Borrowing, shall have an initial Interest Period as specified in such Borrowing Request. Thereafter, the Borrower may elect to convert any Borrowing to a Borrowing of a different Type available in such currency or to continue any Borrowing and, in the case of a Eurocurrency Rate Borrowing or Term CORRA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converted or continued.</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the Borrower shall deliver an Interest Election Request (by hand delivery, fax or other electronic transmission (including “.pdf” or “.tif”)), appropriately completed and signed by a Responsible Officer of the Borrower, of the applicable election to the Administrative Agent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If any such Interest Election Request requests a Eurocurrency Rate Borrowing or a Term CORRA Borrowing but does not specify an Interest Period, then the Borrower shall be deemed to have selected an Interest Period of one month’s duration.</w:t>
      </w:r>
    </w:p>
    <w:p>
      <w:pPr>
        <w:spacing w:after="0" w:line="187"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receipt of an Interest Election Request, the Administrative Agent shall advise each applicable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272" w:lineRule="auto"/>
        <w:tabs>
          <w:tab w:leader="none" w:pos="695" w:val="left"/>
        </w:tabs>
        <w:numPr>
          <w:ilvl w:val="0"/>
          <w:numId w:val="2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Borrower fails to deliver a timely Interest Election Request with respect to a Eurocurrency Rate Borrowing or Term CORRA Borrowing prior to the end of the Interest Period applicable thereto, then, unless such Borrowing is repaid as provided herein, such Borrowing shall be converted at the end of such Interest Period to a Eurocurrency Rate Borrowing or Term CORRA Borrowing, as applicable, with an Interest Period of one month.</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 contrary provision hereof, if an Event of Default exists and the Administrative Agent, at the request of the Required Lenders,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0"/>
          </w:cols>
          <w:pgMar w:left="440" w:top="270" w:right="459" w:bottom="1440" w:gutter="0" w:footer="0" w:header="0"/>
        </w:sectPr>
      </w:pPr>
    </w:p>
    <w:bookmarkStart w:id="168" w:name="page169"/>
    <w:bookmarkEnd w:id="168"/>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notifies the Borrower, then, so long as such Event of Default exists (i) no outstanding Borrowing denominated in Dollars may be converted to or continued as a Eurocurrency Rate Borrowing and (ii) unless repaid, each Eurocurrency Rate Borrowing denominated in Dollars shall be converted to an ABR Borrowing at the end of the then-current Interest Period applicable thereto.</w:t>
      </w:r>
    </w:p>
    <w:p>
      <w:pPr>
        <w:spacing w:after="0" w:line="176" w:lineRule="exact"/>
        <w:rPr>
          <w:sz w:val="20"/>
          <w:szCs w:val="20"/>
          <w:color w:val="auto"/>
        </w:rPr>
      </w:pPr>
    </w:p>
    <w:p>
      <w:pPr>
        <w:ind w:right="160" w:firstLine="436"/>
        <w:spacing w:after="0" w:line="256" w:lineRule="auto"/>
        <w:tabs>
          <w:tab w:leader="none" w:pos="685"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(i) only a Borrowing denominated in Dollars may be made as, or converted to, an ABR Loan, (ii) only a Borrowing denominated in Canadian Dollars may be made as, or converted to, a Canadian Prime Rate Loan or a CORRA Loan, (iii) a Borrowing denominated in Sterling may only be made as, or converted to, or continued as, an Alternative Currency Daily Rate Loan (or such other type of Revolving Loan as may be agreed by the Administrative Agent and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(iv) a Borrowing in Euros may only be made as, or converted to, or continued as, a Eurocurrency Rate Loan (or such other type of Revolving Loan as may be agreed by the Administrative Agent and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Initial Term Loan Commitments shall automatically terminate upon the earlier of (x) the Commitment Termination Date and (y) the making of the Initial Term Loans on the Closing Date, (ii) the Initial Revolving Credit Commitments shall automatically terminate upon the earlier of (x) the Commitment Termination Date and (y) the Initial Revolving Credit Maturity Date,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or Incremental Facility Amendment, the undrawn amount thereof shall terminate unless otherwise provided in the applicable Refinancing Amendment, Extension Amendment or Incremental Facility Amendment and (iv) the Additional Revolving Credit Commitments of any Class shall automatically terminate on the Maturity Date specified therefor in the applicable Refinancing Amendment, Extension Amendment or Incremental Facility Amendment.</w:t>
      </w:r>
    </w:p>
    <w:p>
      <w:pPr>
        <w:spacing w:after="0" w:line="188"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delivering the notice required by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the Borrower may at any time terminate or from time to time terminate or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such termination or reduction, as applicable, and any concurrent prepayment of Revolving Loans and Swingline Loans, the aggregate amount of the Revolving Credit Exposure attributable to the Revolving Credit Commitments of such Class would exceed the aggregate amount of the Revolving Credit Commitments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establishment of any Additional Revolving Credit Commitment, any such termination or reduction of the Revolving Credit Commitments of any Class shall be subject to the provisions set forth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as applicable.</w:t>
      </w:r>
    </w:p>
    <w:p>
      <w:pPr>
        <w:spacing w:after="0" w:line="191"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of any election to terminate or reduce any Class or Classes of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(as selected by the Borrower) not later than 1:00 p.m. on or prior to the effective date of such termination or reduction (or not later than 1:00 p.m., three Business Days prior to the effective date of such termination or reduction, in the case of a termination or reduction involving a prepayment of Eurocurrency Rate Borrowings, Alternative Currency Daily Rate Borrowings or CORRA Borrowings (or such later date to which the Administrative Agent may agree)), specifying such election and the effective date thereof. Promptly following receipt of any such notice, the Administrative Agent shall advise the Lenders of each applicable Class or Classes of the contents thereof. Each notice delivered by the Borrower pursuant to this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169" w:name="page170"/>
    <w:bookmarkEnd w:id="16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such notice is conditioned upon the effectiveness of other transactions, in which case such notice may be revoked or its effectiveness deferred by the Borrower (by notice to the Administrative Agent on or prior to the specified effective date) if such condition is not satisfied. Any termination or reduction of any Commitment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permanent. Upon any reduction of any Revolving Credit Commitment, the Revolving Credit Commitment of each Revolving Lender of the relevant Class shall be reduced by such Revolving Lender’s Applicable Percentage of such reduction amount.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of Initial Term Loans hereby unconditionally promises to repay (i) the outstanding principal amount of the Initial Term Loans to the Administrative Agent for the account of each applicable Initial Term Lender (A) commencing on the last Business Day of the second full Fiscal Quarter ending after the Closing Date, on the last Business Day of each March, June, September and December prior to the Initial Term Loan Maturity Date (each such date being referred to as a “ </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xml:space="preserve">”), in each case in an amount equal to 1.25% of the original principal amount of the Initial Term Loans previously advanced (as such payments may be reduced from time to time as a result of the application of prepayments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purchases or assignments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or increased as a result of any increase in the amount of such Initial Term Loans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and (B)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 The Borrower shall repay any Additional Term Loans of any Class in such scheduled amortization installments and on such date or dates as shall be specified therefor in the applicable Refinancing Amendment, Extension Amendment or Incremental Facility Amendment (as such payments may be reduced from time to time as a result of the application of prepayments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purchases or assignments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or increased as a result of any increase in the amount of such Additional Term Loans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of Initial Revolving Loans, Additional Revolving Loans or Swingline Loans, as the case may be, hereby unconditionally promises to pay (i) to the Administrative Agent for the account of each Initial Revolving Lender, the then-unpaid principal amount of the Initial Revolving Loans of such Lender made to such Borrower on the Initial Revolving Credit Maturity Date, (ii) to the Administrative Agent for the account of each Additional Revolving Lender, the then-unpaid principal amount of each Additional Revolving Loan of such Additional Revolving Lender made to such Borrower on the Maturity Date applicable thereto and (iii) to the Swingline Lender the then unpaid principal amount of each Swingline Loan made to such Borrower on the earlier of (x) the 10th Business Day following the incurrence of such Swingline Loan and (y) the Latest Revolving Loan Maturity Date. On the Initial Revolving Credit Maturity Date, the Borrower shall make payment in full in Cash of all accrued and unpaid fees and all reimbursable expenses and other Loan Document Obligations with respect to the Initial Revolving Facility then due, together with accrued and unpaid interest (if any) thereon attributable to such Borrower.</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Maturity Date in respect of any Class of Revolving Credit Commitments occurs prior to the expiry date of any Letter of Credit, then (i) if one or more other Classes of Revolving Credit Commitments in respect of which the Maturity Date shall not have so occurred are then in effect (or will automatically be in effect upon the occurrence of such Maturity Date), such Letters of Credit shall automatically be deemed to have been issued (including for purposes of the obligations of the Revolving Lenders to purchase participations therein and to make Revolving Loans and payments in respect thereof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under (and ratably participated in by Revolving Lenders pursuant to) the non-terminating or new Classes of Revolving Credit Commitments up to an aggregate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980"/>
          </w:cols>
          <w:pgMar w:left="440" w:top="270" w:right="479" w:bottom="1440" w:gutter="0" w:footer="0" w:header="0"/>
        </w:sectPr>
      </w:pPr>
    </w:p>
    <w:bookmarkStart w:id="170" w:name="page171"/>
    <w:bookmarkEnd w:id="170"/>
    <w:p>
      <w:pPr>
        <w:ind w:left="4" w:right="6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not to exceed the aggregate principal amount of the unutilized Revolving Credit Commitments continuing at such time (it being understood that no partial face amount of any Letter of Credit may be so reallocated) (in each case, after giving effect to any repayments of Revolving Loans) and (ii) to the extent not reallocated pursuant to immediately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and unless provisions reasonably satisfactory to the applicable Issuing Bank for the treatment of such Letter of Credit as a letter of credit under a successor credit facility have been agreed upon, the Borrower shall, on or prior to the applicable Maturity Date, (x) cause such Letter of Credit to be replaced and returned to the applicable Issuing Bank undrawn and marked “cancelled”,</w:t>
      </w:r>
    </w:p>
    <w:p>
      <w:pPr>
        <w:spacing w:after="0" w:line="3" w:lineRule="exact"/>
        <w:rPr>
          <w:sz w:val="20"/>
          <w:szCs w:val="20"/>
          <w:color w:val="auto"/>
        </w:rPr>
      </w:pPr>
    </w:p>
    <w:p>
      <w:pPr>
        <w:ind w:left="4" w:right="140" w:hanging="4"/>
        <w:spacing w:after="0" w:line="252" w:lineRule="auto"/>
        <w:tabs>
          <w:tab w:leader="none" w:pos="25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such Letter of Credit to be backstopped by a “back to back” letter of credit reasonably satisfactory to the applicable Issuing Bank or (z) Cash collateralize such Letter of Credit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Commencing with the Maturity Date of any Class of Revolving Credit Commitments, the Letter of Credit Sublimit shall be in an amount agreed solely with the applicable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request of the Borrower, the Letter of Credit Sublimit immediately following such Maturity Date shall be no less than the Letter of Credit Sublimit immediately prior to such Maturity Date multiplied by a fraction, the numerator of which is the aggregate amount of the Revolving Credit Commitments immediately following such Maturity Date and the denominator of which is the aggregate amount of the Revolving Credit Commitments immediately prior to such Maturity Date.</w:t>
      </w:r>
    </w:p>
    <w:p>
      <w:pPr>
        <w:spacing w:after="0" w:line="188"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the Issuing Bank’s share thereof.</w:t>
      </w:r>
    </w:p>
    <w:p>
      <w:pPr>
        <w:spacing w:after="0" w:line="179" w:lineRule="exact"/>
        <w:rPr>
          <w:rFonts w:ascii="Times New Roman" w:cs="Times New Roman" w:eastAsia="Times New Roman" w:hAnsi="Times New Roman"/>
          <w:sz w:val="18"/>
          <w:szCs w:val="18"/>
          <w:color w:val="auto"/>
        </w:rPr>
      </w:pPr>
    </w:p>
    <w:p>
      <w:pPr>
        <w:ind w:left="4" w:firstLine="436"/>
        <w:spacing w:after="0" w:line="258" w:lineRule="auto"/>
        <w:tabs>
          <w:tab w:leader="none" w:pos="66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manifest error therein shall not in any manner affect the obligation of the Borrower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any inconsistency between the accounts maintained by the Administrative Agent pursuant to </w:t>
      </w:r>
      <w:r>
        <w:rPr>
          <w:rFonts w:ascii="Times New Roman" w:cs="Times New Roman" w:eastAsia="Times New Roman" w:hAnsi="Times New Roman"/>
          <w:sz w:val="18"/>
          <w:szCs w:val="18"/>
          <w:u w:val="single" w:color="auto"/>
          <w:color w:val="auto"/>
        </w:rPr>
        <w:t>paragraph</w:t>
      </w:r>
      <w:r>
        <w:rPr>
          <w:rFonts w:ascii="Times New Roman" w:cs="Times New Roman" w:eastAsia="Times New Roman" w:hAnsi="Times New Roman"/>
          <w:sz w:val="18"/>
          <w:szCs w:val="18"/>
          <w:color w:val="auto"/>
        </w:rPr>
        <w:t xml:space="preserve"> (e) of this Section and any Lender’s records, the accounts of such Administrative Agent shall govern.</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689"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 shall prepare, execute and deliver to such Lender a Promissory Note payable to such Lender and its registered permitted assigns; it being understood and agreed that such Lender (and/or its applicable permitted assign) shall be required to return such Promissory Note to the Borrower in accordance with </w:t>
      </w:r>
      <w:r>
        <w:rPr>
          <w:rFonts w:ascii="Times New Roman" w:cs="Times New Roman" w:eastAsia="Times New Roman" w:hAnsi="Times New Roman"/>
          <w:sz w:val="18"/>
          <w:szCs w:val="18"/>
          <w:u w:val="single" w:color="auto"/>
          <w:color w:val="auto"/>
        </w:rPr>
        <w:t>Section 10.05(b)(iii)</w:t>
      </w:r>
      <w:r>
        <w:rPr>
          <w:rFonts w:ascii="Times New Roman" w:cs="Times New Roman" w:eastAsia="Times New Roman" w:hAnsi="Times New Roman"/>
          <w:sz w:val="18"/>
          <w:szCs w:val="18"/>
          <w:color w:val="auto"/>
        </w:rPr>
        <w:t xml:space="preserve"> and upon the occurrence of the Termination Date (or as promptly thereafter as practicable). If any Lender loses the original copy of its Promissory Note, it shall execute an affidavit of loss containing a customary indemnification provision that is reasonably satisfactory to the Borrower. The obligation of each Lender to execute an affidavit of loss containing a customary indemnification provision that is reasonably satisfactory to the Borrower shall survive the Termination Date.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4"/>
          </w:cols>
          <w:pgMar w:left="436" w:top="270" w:right="459" w:bottom="1440" w:gutter="0" w:footer="0" w:header="0"/>
        </w:sectPr>
      </w:pPr>
    </w:p>
    <w:bookmarkStart w:id="171" w:name="page172"/>
    <w:bookmarkEnd w:id="171"/>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140" w:firstLine="419"/>
        <w:spacing w:after="0" w:line="261" w:lineRule="auto"/>
        <w:tabs>
          <w:tab w:leader="none" w:pos="641"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prior notice in accordance with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to, if applicable,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Each such prepayment shall be paid to the Lenders in accordance with their respective Applicable Percentages of the relevant Class.</w:t>
      </w:r>
    </w:p>
    <w:p>
      <w:pPr>
        <w:spacing w:after="0" w:line="71" w:lineRule="exact"/>
        <w:rPr>
          <w:rFonts w:ascii="Times New Roman" w:cs="Times New Roman" w:eastAsia="Times New Roman" w:hAnsi="Times New Roman"/>
          <w:sz w:val="18"/>
          <w:szCs w:val="18"/>
          <w:color w:val="auto"/>
        </w:rPr>
      </w:pPr>
    </w:p>
    <w:p>
      <w:pPr>
        <w:ind w:left="4" w:firstLine="419"/>
        <w:spacing w:after="0" w:line="258" w:lineRule="auto"/>
        <w:tabs>
          <w:tab w:leader="none" w:pos="691"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prior notice in accordance with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Section, the Borrower shall have the right at any time and from time to time to prepay any Borrowing of Revolving Loans of any Class or any Borrowing of Swingline Loans, including any Additional Revolving Loans, in whole or in part without premium or penalty (but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Prepayments made pursuant to this </w:t>
      </w:r>
      <w:r>
        <w:rPr>
          <w:rFonts w:ascii="Times New Roman" w:cs="Times New Roman" w:eastAsia="Times New Roman" w:hAnsi="Times New Roman"/>
          <w:sz w:val="18"/>
          <w:szCs w:val="18"/>
          <w:u w:val="single" w:color="auto"/>
          <w:color w:val="auto"/>
        </w:rPr>
        <w:t>Section 2.11(a)(ii)</w:t>
      </w:r>
      <w:r>
        <w:rPr>
          <w:rFonts w:ascii="Times New Roman" w:cs="Times New Roman" w:eastAsia="Times New Roman" w:hAnsi="Times New Roman"/>
          <w:sz w:val="18"/>
          <w:szCs w:val="18"/>
          <w:color w:val="auto"/>
        </w:rPr>
        <w:t>, first, shall be applied ratably to the Swingline Loans and to outstanding LC Disbursements and second, shall be applied ratably to the outstanding Revolving Loans, including any Additional Revolving Loans of the relevant Class.</w:t>
      </w:r>
    </w:p>
    <w:p>
      <w:pPr>
        <w:spacing w:after="0" w:line="75" w:lineRule="exact"/>
        <w:rPr>
          <w:rFonts w:ascii="Times New Roman" w:cs="Times New Roman" w:eastAsia="Times New Roman" w:hAnsi="Times New Roman"/>
          <w:sz w:val="18"/>
          <w:szCs w:val="18"/>
          <w:color w:val="auto"/>
        </w:rPr>
      </w:pPr>
    </w:p>
    <w:p>
      <w:pPr>
        <w:ind w:left="4" w:right="40" w:firstLine="419"/>
        <w:spacing w:after="0" w:line="252" w:lineRule="auto"/>
        <w:tabs>
          <w:tab w:leader="none" w:pos="741"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(and, in the case of a prepayment of a Swingline Loan, the Swingline Lender) in writing of any prepayment under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 in the case of a prepayment of a Eurocurrency Rate Borrowing or a Term CORRA Borrowing, not later than 1:00 p.m. three Business Days before the date of prepayment, (B) in the case of an Alternative Currency Daily Rate Borrowing, not later than 1:00 p.m. five Business Days before the date of prepayment, (C) in the case of a prepayment of an ABR Borrowing or a Canadian Prime Rate Borrowing, not later than 1:00 p.m. on the date of prepayment or (D) in the case of a prepayment of a Swingline Loan, not later than 1:00 p.m. on the date of prepayment (or, in each case, such later date or time to which the Administrative Agent may reasonably agree). Each such notice shall be irrevocable (except as set forth in the proviso to this sentence)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the Borrower may state that such notice is conditioned upon the effectiveness of other transactions or other conditional events, in which case such notice may be revoked or its effectiveness deferred by the Borrower (by notice to the Administrative Agent on or prior to the specified effective date) if such condition is not satisfied and/or the Borrower may delay or rescind such notice until such condition is satisfied. Promptly following receipt of any such notice relating to any Borrowing, the Administrative Agent shall advise the relevant Lenders of the contents thereof. Each partial prepayment of any Borrowing shall be in an amount at least equal to the amount that would be permitted in the case of a Borrowing of the same Type and Class as provided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or such lesser amount that is then outstanding with respect to such Borrowing being repaid. Each prepayment of Term Loans shall be applied to the Class or Classes of Term Loans specified by the Borrower in the applicable prepayment notice, and each prepayment of Term Loans of such Class or Classes made pursuant to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be applied against the remaining scheduled installments of principal due in respect of the Term Loans of such Class or Classes in the manner specified by the Borrower or, if not so specified on or prior to the date of such optional prepayment, in direct order of maturity.</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 Prepayments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564"/>
          </w:cols>
          <w:pgMar w:left="876" w:top="270" w:right="459" w:bottom="1440" w:gutter="0" w:footer="0" w:header="0"/>
        </w:sectPr>
      </w:pPr>
    </w:p>
    <w:bookmarkStart w:id="172" w:name="page173"/>
    <w:bookmarkEnd w:id="172"/>
    <w:p>
      <w:pPr>
        <w:ind w:firstLine="419"/>
        <w:spacing w:after="0" w:line="251" w:lineRule="auto"/>
        <w:tabs>
          <w:tab w:leader="none" w:pos="688"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later than the tenth Business Day following the receipt of Net Proceeds in respect of any Prepayment Asset Sale or Net Insurance/Condemnation Proceeds that are Material Insurance/Condemnation Proceeds, in each case, in excess of (x) the greater of $337,500,000 and 15% of Consolidated Adjusted EBITDA as of the most recently ended Test Period in any single transaction or series of related transactions and (y) for all such Net Proceeds not excluded from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by the preceding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the greater of $675,000,000 and 30% of Consolidated Adjusted EBITDA as of the most recently ended Test Period in any Fiscal Year, the Borrower shall apply an amount equal to the Required Net Proceeds Percentage of such Net Proceeds or Net Insurance/Condemnation Proceeds received with respect thereto in excess of such thresholds (collectively, the “</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and any Net Proceeds in respect of any Prepayment Asset Sale or Net Insurance/Condemnation Proceeds that do not constitute Subject Proceeds, the “</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to prepay the outstanding principal amount of Subject Loans in accordance with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application of such thresholds shall be at the option of the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the Borrower shall not be required to make a mandatory prepayment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respect of the Subject Proceeds to the extent (x) the Subject Proceeds are reinvested in the business of the Borrower or any of its subsidiaries (including pursuant to any Permitted Acquisition, other permitted investments, Capital Expenditures, capitalized software expenditures and/or acquisition of IP Rights) within 18 months following receipt thereof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xml:space="preserve">”), (y) the Borrower or any of its subsidiaries has contractually committed to so reinvest the Subject Proceeds during such Reinvestment Period and the Subject Proceeds are so reinvested within six months after the expiration of such Reinvestment Period or (z) to the extent the commitment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is cancelled or terminated for any reason before the Subject Proceeds are applied in connection therewith, contractually committed and so utilized within six months of such cancellation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Subject Proceeds have not been so reinvested prior to the expiration of the applicable period, the Borrower shall promptly prepay the outstanding principal amount of Subject Loans with the Subject Proceeds not so reinvested as set forth above (without regard to the immediately preceding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elect to deem certain expenditures (including Investments) that would otherwise be permissible reinvestments but that occurred prior to the receipt of the applicable Net Proceeds or Net Insurance/Condemnation Proceeds (as applicable) as having been reinvested in accordance with the provisions of this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but only to the extent such deemed expenditure (or Investment) shall have been made no earlier than (x) in the case of Net Proceeds, the earliest of the execution of a definitive agreement with respect to such Prepayment Asset Sale, the provision of notice with respect to such Prepayment Asset Sale or the consummation of the applicable Disposition and (y) in the case of Net Insurance/Condemnation Proceeds, the occurrence of the event in respect of which such Net Insurance/Condemnation Proceeds were received) and (B) if, at the time that any such prepayment would be required hereunder, the Borrower or any of its Restricted Subsidiaries is required to prepay, repay or repurchase (or offer to prepay, repay or repurchase) any Other Applicable Indebtedness, then the relevant Person may apply the Subject Proceeds on a pro rata basis to the prepayment of the Subject Loans and to the prepayment,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w:t>
      </w:r>
    </w:p>
    <w:p>
      <w:pPr>
        <w:spacing w:after="0" w:line="2" w:lineRule="exact"/>
        <w:rPr>
          <w:rFonts w:ascii="Times New Roman" w:cs="Times New Roman" w:eastAsia="Times New Roman" w:hAnsi="Times New Roman"/>
          <w:sz w:val="18"/>
          <w:szCs w:val="18"/>
          <w:color w:val="auto"/>
        </w:rPr>
      </w:pPr>
    </w:p>
    <w:p>
      <w:pPr>
        <w:jc w:val="both"/>
        <w:ind w:right="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40"/>
          </w:cols>
          <w:pgMar w:left="880" w:top="270" w:right="479" w:bottom="1440" w:gutter="0" w:footer="0" w:header="0"/>
        </w:sectPr>
      </w:pPr>
    </w:p>
    <w:bookmarkStart w:id="173" w:name="page174"/>
    <w:bookmarkEnd w:id="173"/>
    <w:p>
      <w:pPr>
        <w:ind w:left="744" w:hanging="321"/>
        <w:spacing w:after="0"/>
        <w:tabs>
          <w:tab w:leader="none" w:pos="744"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67" w:lineRule="auto"/>
        <w:tabs>
          <w:tab w:leader="none" w:pos="731" w:val="left"/>
        </w:tabs>
        <w:numPr>
          <w:ilvl w:val="1"/>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Borrower or any of its Restricted Subsidiaries receives Net Proceeds from the issuance or incurrence of Indebtedness by the Borrower or any of its Restricted Subsidiaries (other than with respect to Indebtedness permitted under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except to the extent the relevant Indebtedness constitutes Refinancing Indebtedness incurred to refinance all or a portion of the Initial Term Loans pursuant to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 xml:space="preserve"> or Replacement Term Loans incurred to refinance Initial Term Loans in accordance with the requirements of </w:t>
      </w:r>
      <w:r>
        <w:rPr>
          <w:rFonts w:ascii="Times New Roman" w:cs="Times New Roman" w:eastAsia="Times New Roman" w:hAnsi="Times New Roman"/>
          <w:sz w:val="17"/>
          <w:szCs w:val="17"/>
          <w:u w:val="single" w:color="auto"/>
          <w:color w:val="auto"/>
        </w:rPr>
        <w:t>Section 10.02(c)</w:t>
      </w:r>
      <w:r>
        <w:rPr>
          <w:rFonts w:ascii="Times New Roman" w:cs="Times New Roman" w:eastAsia="Times New Roman" w:hAnsi="Times New Roman"/>
          <w:sz w:val="17"/>
          <w:szCs w:val="17"/>
          <w:color w:val="auto"/>
        </w:rPr>
        <w:t xml:space="preserve">), the Borrower shall, substantially simultaneously with (and in any event not later than five Business Days thereafter) the receipt of such Net Proceeds by the Borrower or its applicable Restricted Subsidiary, apply an amount equal to 100% of such Net Proceeds to prepay the outstanding principal amount of the relevant Subject Loans in accordance with </w:t>
      </w:r>
      <w:r>
        <w:rPr>
          <w:rFonts w:ascii="Times New Roman" w:cs="Times New Roman" w:eastAsia="Times New Roman" w:hAnsi="Times New Roman"/>
          <w:sz w:val="17"/>
          <w:szCs w:val="17"/>
          <w:u w:val="single" w:color="auto"/>
          <w:color w:val="auto"/>
        </w:rPr>
        <w:t>clause (vii)</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the time that any such prepayment would be required, the Borrower or a Restricted Subsidiary is required to offer to repurchase any Other Applicable Indebtedness with the Net Proceeds of such Indebtedness, then the Borrower or such Restricted Subsidiary may apply such Net Proceeds on a pro rata basis (determined on the basis of the aggregate outstanding principal amount of the relevant Subject Loans and Other Applicable Indebtedness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w:t>
      </w:r>
    </w:p>
    <w:p>
      <w:pPr>
        <w:spacing w:after="0" w:line="3" w:lineRule="exact"/>
        <w:rPr>
          <w:rFonts w:ascii="Times New Roman" w:cs="Times New Roman" w:eastAsia="Times New Roman" w:hAnsi="Times New Roman"/>
          <w:sz w:val="17"/>
          <w:szCs w:val="17"/>
          <w:color w:val="auto"/>
        </w:rPr>
      </w:pPr>
    </w:p>
    <w:p>
      <w:pPr>
        <w:ind w:left="4" w:hanging="4"/>
        <w:spacing w:after="0" w:line="252" w:lineRule="auto"/>
        <w:tabs>
          <w:tab w:leader="none" w:pos="298"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relevant Subject Loans in accordance with the terms hereof to the prepayment of the relevant Subject Loans and to the repurchase or prepayment of Other Applicable Indebtedness, and the amount of prepayment of the relevant Subject Loans that would have otherwise been required pursuant to this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shall be reduced accordingly and (B) to the extent the holders of Other Applicable Indebtedness decline to have such indebtedness repurchased or prepaid, the declined amount shall promptly (and in any event within ten Business Days after the date of such rejection) be applied to prepay the relevant Subject Loans in accordance with the terms hereof.</w:t>
      </w:r>
    </w:p>
    <w:p>
      <w:pPr>
        <w:spacing w:after="0" w:line="80"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81"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contrary, (A) the Borrower shall not be required to prepay any amount that would otherwise be required to be paid pursuant to </w:t>
      </w:r>
      <w:r>
        <w:rPr>
          <w:rFonts w:ascii="Times New Roman" w:cs="Times New Roman" w:eastAsia="Times New Roman" w:hAnsi="Times New Roman"/>
          <w:sz w:val="18"/>
          <w:szCs w:val="18"/>
          <w:u w:val="single" w:color="auto"/>
          <w:color w:val="auto"/>
        </w:rPr>
        <w:t>Sections 2.11(b)(ii)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to the extent that the relevant Prepayment Asset Sale is consummated by any Foreign Subsidiary or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 all or a portion of the Initial Term Loans or Additional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or Replacement Term Loans incurred to refinance Initial Term Loans or Additional Term Loans in accordance with the requirements of</w:t>
      </w:r>
    </w:p>
    <w:p>
      <w:pPr>
        <w:spacing w:after="0" w:line="5" w:lineRule="exact"/>
        <w:rPr>
          <w:rFonts w:ascii="Times New Roman" w:cs="Times New Roman" w:eastAsia="Times New Roman" w:hAnsi="Times New Roman"/>
          <w:sz w:val="18"/>
          <w:szCs w:val="18"/>
          <w:color w:val="auto"/>
        </w:rPr>
      </w:pPr>
    </w:p>
    <w:p>
      <w:pPr>
        <w:ind w:left="4" w:right="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as the case may be, for so long as the Borrower determines in good faith that the repatriation to the Borrower of any such amount would be prohibited or delayed (beyond the time period during which such prepayment is otherwise required to be made pursuant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under any Requirement of Law or conflict with the fiduciary duties of such Foreign Subsidiary’s directors, or result in, or could reasonably be expected to result in, a risk of personal or criminal liability for any officer, director, employee, manager, member of management or consultant of such Foreign Subsidiary (including on account of financial assistance, corporate benefit, thin capitalization, capital maintenance or similar considerations); it being understood and agreed that (i) solely within 365 days following the event giving rise to the relevant Subject Proceeds or the receipt of proceeds from the respective incurrence of</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64"/>
          </w:cols>
          <w:pgMar w:left="876" w:top="270" w:right="459" w:bottom="1440" w:gutter="0" w:footer="0" w:header="0"/>
        </w:sectPr>
      </w:pPr>
    </w:p>
    <w:bookmarkStart w:id="174" w:name="page175"/>
    <w:bookmarkEnd w:id="17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the Borrower shall take all commercially reasonable actions required by applicable Requirements of Law to permit such repatriation and (ii) if the repatriation of the relevant affected Subject Proceeds or Indebtedness proceeds, as the case may be, is permitted under the applicable Requirement of Law and, to the extent applicable, would no longer conflict with the fiduciary duties of such director, or result in, or be reasonably expected to result in, a risk of personal or criminal liability for the Persons described above, in either case, within 365 days following the event giving rise to the relevant Subject Proceeds or the receipt of Net Proceeds in respect of any such Indebtedness, the relevant Foreign Subsidiary will promptly repatriate the relevant Subject Proceeds or Net Proceeds in respect of Indebtedness, as the case may be, and the repatriated Subject Proceeds or Net Proceeds in respect of Indebtedness, as the case may be, will be promptly (and in any event not later than five Business Days after such repatriation) applied (net of additional Taxes payable or reserved against such Subject Proceeds or such Net Proceeds in respect of Indebtedness, as a result thereof, in each case by any Loan Party, such Loan Party’s subsidiaries, and any Affiliates or indirect or direct equity owners of the foregoing) to the repayment of Subject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herein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 the Borrower shall not be required to prepay any amount that would otherwise be required to be paid pursuant to </w:t>
      </w:r>
      <w:r>
        <w:rPr>
          <w:rFonts w:ascii="Times New Roman" w:cs="Times New Roman" w:eastAsia="Times New Roman" w:hAnsi="Times New Roman"/>
          <w:sz w:val="18"/>
          <w:szCs w:val="18"/>
          <w:u w:val="single" w:color="auto"/>
          <w:color w:val="auto"/>
        </w:rPr>
        <w:t>Sections 2.11(b)</w:t>
      </w:r>
    </w:p>
    <w:p>
      <w:pPr>
        <w:spacing w:after="0" w:line="4" w:lineRule="exact"/>
        <w:rPr>
          <w:sz w:val="20"/>
          <w:szCs w:val="20"/>
          <w:color w:val="auto"/>
        </w:rPr>
      </w:pPr>
    </w:p>
    <w:p>
      <w:pPr>
        <w:ind w:left="4" w:hanging="4"/>
        <w:spacing w:after="0" w:line="250" w:lineRule="auto"/>
        <w:tabs>
          <w:tab w:leader="none" w:pos="268" w:val="left"/>
        </w:tabs>
        <w:numPr>
          <w:ilvl w:val="0"/>
          <w:numId w:val="21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to the extent that the relevant Subject Proceeds are received by any Joint Venture (including any Subsidiary that is not a Wholly-Owned Subsidiary) or the relevant Indebtedness is incurred by any Joint Venture (including any Subsidiary that is not a Wholly-Owned Subsidiary) for so long as the Borrower determines in good faith that the distribution to the Borrower of such Subject Proceeds or Net Proceeds in respect of Indebtedness would be prohibited under any applicable (I) Organizational Documents (or any relevant shareholders’ or similar agreement) governing such Joint Venture, (II) agreement or instrument (including a financing arrangement) entered into with a Person other than the Borrower or a Restricted Subsidiary not prohibited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(III) judgment, decree, order, statute or governmental rule or regulation; it being understood that if the relevant prohibition ceases to exist within the 365-day period following the event giving rise to the relevant Subject Proceeds or the receipt of Net Proceeds in respect of any such Indebtedness, the relevant Joint Venture will promptly distribute the relevant Subject Proceeds or the relevant Net Proceeds in respect of Indebtedness, as the case may be, and the or Subject Proceeds or Net Proceeds in respect of Indebtedness, as the case may be, will be promptly (and in any event not later than ten Business Days after such distribution) applied (net of additional Taxes payable or reserved against as a result thereof) to the repayment of Subject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herein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and (C) if the Borrower determines in good faith that the repatriation (or other intercompany distribution) to the Borrower of any amounts required to mandatorily prepay the Subject Loans pursuant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or</w:t>
      </w:r>
    </w:p>
    <w:p>
      <w:pPr>
        <w:spacing w:after="0" w:line="5" w:lineRule="exact"/>
        <w:rPr>
          <w:rFonts w:ascii="Times New Roman" w:cs="Times New Roman" w:eastAsia="Times New Roman" w:hAnsi="Times New Roman"/>
          <w:sz w:val="18"/>
          <w:szCs w:val="18"/>
          <w:u w:val="single" w:color="auto"/>
          <w:color w:val="auto"/>
        </w:rPr>
      </w:pPr>
    </w:p>
    <w:p>
      <w:pPr>
        <w:ind w:left="4" w:hanging="4"/>
        <w:spacing w:after="0" w:line="265" w:lineRule="auto"/>
        <w:tabs>
          <w:tab w:leader="none" w:pos="308"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would result in material and adverse tax consequences for any Loan Party or any of such Loan Party’s subsidiaries, Affiliates or indirect or direct equity owners, taking into account any foreign tax credit or benefit actually realized in connection with such repatriation (such amount, a “</w:t>
      </w:r>
      <w:r>
        <w:rPr>
          <w:rFonts w:ascii="Times New Roman" w:cs="Times New Roman" w:eastAsia="Times New Roman" w:hAnsi="Times New Roman"/>
          <w:sz w:val="17"/>
          <w:szCs w:val="17"/>
          <w:b w:val="1"/>
          <w:bCs w:val="1"/>
          <w:color w:val="auto"/>
        </w:rPr>
        <w:t>Restricted Amount</w:t>
      </w:r>
      <w:r>
        <w:rPr>
          <w:rFonts w:ascii="Times New Roman" w:cs="Times New Roman" w:eastAsia="Times New Roman" w:hAnsi="Times New Roman"/>
          <w:sz w:val="17"/>
          <w:szCs w:val="17"/>
          <w:color w:val="auto"/>
        </w:rPr>
        <w:t xml:space="preserve">”), as determined by the Borrower in good faith, the amount the Borrower shall be required to mandatorily prepay pursuant to </w:t>
      </w:r>
      <w:r>
        <w:rPr>
          <w:rFonts w:ascii="Times New Roman" w:cs="Times New Roman" w:eastAsia="Times New Roman" w:hAnsi="Times New Roman"/>
          <w:sz w:val="17"/>
          <w:szCs w:val="17"/>
          <w:u w:val="single" w:color="auto"/>
          <w:color w:val="auto"/>
        </w:rPr>
        <w:t>Section 2.11(b)(ii)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above, as applicable, shall be reduced by the Restricted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to the extent that the repatriation (or other intercompany distribution) of any Subject Proceeds or the Net Proceeds in respect of any such Indebtedness from the relevant Foreign Subsidiary would no longer have a material and adverse tax consequence within the 365-day period following the event giving rise to the relevant Subject Proceeds or the receipt of Net Proceeds in respect of any such Indebtedness, as the case may be, an amount equal to the Subject Proceeds or the Net Proceeds in respect of any such Indebtedness, as applicable, to the extent available and not previously applied pursuant to this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left="4"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shall be promptly applied to the repayment of Subject Loans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as otherwise required above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564"/>
          </w:cols>
          <w:pgMar w:left="876" w:top="270" w:right="459" w:bottom="1440" w:gutter="0" w:footer="0" w:header="0"/>
        </w:sectPr>
      </w:pPr>
    </w:p>
    <w:bookmarkStart w:id="175" w:name="page176"/>
    <w:bookmarkEnd w:id="175"/>
    <w:p>
      <w:pPr>
        <w:ind w:left="4" w:firstLine="436"/>
        <w:spacing w:after="0" w:line="253" w:lineRule="auto"/>
        <w:tabs>
          <w:tab w:leader="none" w:pos="749"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Borrower determines to give the applicable Lenders such an election, each Lender may elect, by notice to the Administrative Agent at or prior to the time and in the manner specified by the Administrative Agent, prior to any prepayment of Term Loans required to be made by the Borrower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to decline all (but not a portion) of its Applicable Percentage of such prepayment (such declined amounts, the “</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xml:space="preserve">”), which Declined Proceeds may be retained by the Borrower and used for any legal purpose permitted (or not prohibited) hereunder, including to increase the Available Amount;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no Lender may reject any prepayment made under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above or to the extent that such prepayment is made with the Net Proceeds of (w) Refinancing Indebtedness (including Replacement Debt) incurred to refinance all or a portion of the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(x) Incremental Term Loans incurred to refinance all or a portion of the Term Loans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189" w:lineRule="exact"/>
        <w:rPr>
          <w:rFonts w:ascii="Times New Roman" w:cs="Times New Roman" w:eastAsia="Times New Roman" w:hAnsi="Times New Roman"/>
          <w:sz w:val="18"/>
          <w:szCs w:val="18"/>
          <w:color w:val="auto"/>
        </w:rPr>
      </w:pPr>
    </w:p>
    <w:p>
      <w:pPr>
        <w:ind w:left="4" w:firstLine="436"/>
        <w:spacing w:after="0" w:line="268" w:lineRule="auto"/>
        <w:tabs>
          <w:tab w:leader="none" w:pos="799"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may otherwise be set forth in any amendment to this Agreement in connection with any Additional Term Loan, (A) each prepayment of Term Loans pursuant to this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shall be applied ratably to each Class of Term Loans (based upon the then outstanding principal amounts of the respective Classes of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prepayment constituting (w) Refinancing Indebtedness (including Replacement Debt) incurred to refinance all or a portion of the Term Loans pursuant to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 xml:space="preserve">, (x) Incremental Loans incurred to refinance all or a portion of the Term Loans pursuant to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7"/>
          <w:szCs w:val="17"/>
          <w:u w:val="single" w:color="auto"/>
          <w:color w:val="auto"/>
        </w:rPr>
        <w:t>Section 10.02(c)</w:t>
      </w:r>
      <w:r>
        <w:rPr>
          <w:rFonts w:ascii="Times New Roman" w:cs="Times New Roman" w:eastAsia="Times New Roman" w:hAnsi="Times New Roman"/>
          <w:sz w:val="17"/>
          <w:szCs w:val="17"/>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7"/>
          <w:szCs w:val="17"/>
          <w:u w:val="single" w:color="auto"/>
          <w:color w:val="auto"/>
        </w:rPr>
        <w:t>Section 6.01(z)</w:t>
      </w:r>
      <w:r>
        <w:rPr>
          <w:rFonts w:ascii="Times New Roman" w:cs="Times New Roman" w:eastAsia="Times New Roman" w:hAnsi="Times New Roman"/>
          <w:sz w:val="17"/>
          <w:szCs w:val="17"/>
          <w:color w:val="auto"/>
        </w:rPr>
        <w:t xml:space="preserve"> shall, in each case be applied solely to each applicable Class of refinanced or replaced Term Loans),</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89"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Class of Term Loans, all accepted prepayments under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be applied against the remaining scheduled installments of principal due in respect of the Term Loans as directed by the Borrower (or, in the absence of direction from the Borrower, to the remaining scheduled amortization payments in respect of the Term Loans in direct order of maturity) and (C) each such prepayment shall be paid to the Term Lenders in accordance with their respective Applicable Percentages. The amount of such mandatory prepayments shall be applied on a pro rata basis to the then outstanding Term Loans being prepaid (as applicable) irrespective of whether such outstanding Loans are ABR Loans, Eurocurrency Rate Loans, Alternative Currency Daily Rate Loans or Loans of any other Type.</w:t>
      </w:r>
    </w:p>
    <w:p>
      <w:pPr>
        <w:spacing w:after="0" w:line="189" w:lineRule="exact"/>
        <w:rPr>
          <w:rFonts w:ascii="Times New Roman" w:cs="Times New Roman" w:eastAsia="Times New Roman" w:hAnsi="Times New Roman"/>
          <w:sz w:val="18"/>
          <w:szCs w:val="18"/>
          <w:color w:val="auto"/>
        </w:rPr>
      </w:pPr>
    </w:p>
    <w:p>
      <w:pPr>
        <w:ind w:left="4" w:right="140" w:firstLine="436"/>
        <w:spacing w:after="0" w:line="254" w:lineRule="auto"/>
        <w:tabs>
          <w:tab w:leader="none" w:pos="849"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on any Revaluation Date (after giving effect to the determination of the Outstanding Amount of each Revolving Loan, Letter of Credit and LC Disbursement) the Revolving Credit Exposure of any Class exceeds the amount of the Revolving Credit Commitment of such Class then in effect, the Borrower shall, within five Business Days of receipt of notice from the Administrative Agent, prepay the Revolving Loans or Swingline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(A) prepaying Revolving Loans or Swingline Loans or (B) with respect to any excess LC Exposure, depositing Cash in the LC Collateral Account or “backstopping” or replacing the relevant Letters of Credit, in each case, in an amount equal to 100% of such excess LC Exposure (minus any amount then on deposit in the LC Collateral Account).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4"/>
          </w:cols>
          <w:pgMar w:left="436" w:top="270" w:right="459" w:bottom="1440" w:gutter="0" w:footer="0" w:header="0"/>
        </w:sectPr>
      </w:pPr>
    </w:p>
    <w:bookmarkStart w:id="176" w:name="page177"/>
    <w:bookmarkEnd w:id="176"/>
    <w:p>
      <w:pPr>
        <w:ind w:left="420" w:right="220" w:firstLine="419"/>
        <w:spacing w:after="0" w:line="258" w:lineRule="auto"/>
        <w:tabs>
          <w:tab w:leader="none" w:pos="114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time of each prepayment required under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the Borrower shall deliver to the Administrative Agent a certificate signed by a Responsible Officer of the Borrower setting forth in reasonable detail the calculation of the amount of such prepayment. Each such certificate shall specify the Borrowings being prepaid and the principal amount of each Borrowing (or portion thereof) to be prepaid. Prepayments shall be accompanied by accrued interest as required by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All prepayments of Borrowings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shall otherwise be without premium or penalty.</w:t>
      </w:r>
    </w:p>
    <w:p>
      <w:pPr>
        <w:spacing w:after="0" w:line="75" w:lineRule="exact"/>
        <w:rPr>
          <w:rFonts w:ascii="Times New Roman" w:cs="Times New Roman" w:eastAsia="Times New Roman" w:hAnsi="Times New Roman"/>
          <w:sz w:val="18"/>
          <w:szCs w:val="18"/>
          <w:color w:val="auto"/>
        </w:rPr>
      </w:pPr>
    </w:p>
    <w:p>
      <w:pPr>
        <w:ind w:left="420" w:firstLine="419"/>
        <w:spacing w:after="0" w:line="254" w:lineRule="auto"/>
        <w:tabs>
          <w:tab w:leader="none" w:pos="1098"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of the other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so long as no Event of Default shall have occurred and be continuing, if any prepayment of Eurocurrency Rate Loans is required to be made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prior to the last day of the Interest Period therefor, the Borrower may, in its sole discretion, deposit the amount of any such prepayment otherwise required to be made hereunder with the Administrative Agent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3" w:lineRule="auto"/>
        <w:tabs>
          <w:tab w:leader="none" w:pos="66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Revolving Lender of any Class (other than any Defaulting Lender)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which shall accrue at a rate equal to the Commitment Fee Rate per annum applicable to the Revolving Credit Commitment of such Class on the average daily amount of the Unused Revolving Credit Commitment of such Class of such Revolving Lender during the period from and including the Closing Date to but excluding the date on which such Lender’s Revolving Credit Commitment of such Class terminates. Accrued Commitment Fees shall be payable in arrears fifteen days after the last day of each March, June, September and December for the quarterly period then ended (commencing with the quarterly period ending on the last day of the first full Fiscal Quarter ending after the Closing Date, but in the case of the payment made immediately following such first full Fiscal Quarter ending after the Closing Date, for the period from the Closing Date to such date) and on the date on which the Revolving Credit Commitments of the applicable Class terminate. For purposes of calculating the Commitment Fees only, no portion of the Revolving Credit Commitments shall be deemed utilized as a result of outstanding Swingline Loans.</w:t>
      </w:r>
    </w:p>
    <w:p>
      <w:pPr>
        <w:spacing w:after="0" w:line="194" w:lineRule="exact"/>
        <w:rPr>
          <w:rFonts w:ascii="Times New Roman" w:cs="Times New Roman" w:eastAsia="Times New Roman" w:hAnsi="Times New Roman"/>
          <w:sz w:val="18"/>
          <w:szCs w:val="18"/>
          <w:color w:val="auto"/>
        </w:rPr>
      </w:pPr>
    </w:p>
    <w:p>
      <w:pPr>
        <w:ind w:left="-20" w:right="40" w:firstLine="436"/>
        <w:spacing w:after="0" w:line="255" w:lineRule="auto"/>
        <w:tabs>
          <w:tab w:leader="none" w:pos="675"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(i) to the Administrative Agent for the account of each Revolving Lender of any Class (other than any Defaulting Lender) a participation fee with respect to its participation in each Letter of Credit, which shall accrue at the Applicable Rate used to determine the interest rate applicable to Eurocurrency Rate Revolving Loans on the daily face amount of such Lender’s LC Exposure attributable to its Revolving Credit Commitment of such Class in respect of such Letter of Credit (excluding any portion thereof attributable to unreimbursed LC Disbursements), during the period from and including the Closing Date to the later of the date on which such Revolving Lender’s Revolving Credit Commitment of such Class terminates and the date on which such Revolving Lender ceases to have any LC Exposure related to its Revolving Credit Commitment of such Class in respect of such Letter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60"/>
          </w:cols>
          <w:pgMar w:left="460" w:top="270" w:right="479" w:bottom="1440" w:gutter="0" w:footer="0" w:header="0"/>
        </w:sectPr>
      </w:pPr>
    </w:p>
    <w:bookmarkStart w:id="177" w:name="page178"/>
    <w:bookmarkEnd w:id="177"/>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Credit (including any such LC Exposure that may exist following the termination of such Revolving Credit Commitments) and (ii) to each Issuing Bank, for its own account, a fronting fee, in respect of each Letter of Credit issued by such Issuing Bank for the period from the date of issuance of such Letter of Credit to the expiration date of such Letter of Credit (or if terminated on an earlier date, to the termination date of such Letter of Credit), computed at a rate equal to the rate agreed by such Issuing Bank and the Borrower (but in any event not to exceed 0.125% per annum) of the daily face amount of such Letter of Credit, as well as such Issuing Bank’s reasonable and customary fees with respect to the issuance, amendment, renewal or extension of any Letter of Credit or processing of drawings thereunder. Participation fees and fronting fees accrued to but excluding the last Business Day of each March, June, September and December shall be payable in arrears fifteen days after the last day of each March, June, September and December for the quarterly period then ended (commencing with the quarterly period ending on the last day of the first full Fiscal Quarter ending after the Closing Date, but in the case of the payment made immediately following such first full Fiscal Quarter ending after the Closing Date, for the period from the Closing Date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87" w:lineRule="exact"/>
        <w:rPr>
          <w:sz w:val="20"/>
          <w:szCs w:val="20"/>
          <w:color w:val="auto"/>
        </w:rPr>
      </w:pPr>
    </w:p>
    <w:p>
      <w:pPr>
        <w:ind w:left="684" w:hanging="244"/>
        <w:spacing w:after="0"/>
        <w:tabs>
          <w:tab w:leader="none" w:pos="68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and the Collateral Agent, for its own account, the fees in the amounts and at the times separately agreed upon by the Borrower and such Administrative Agent or the Collateral Agent, as applicable, in writing.</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in immediately available funds, to the Administrative Agent (or to the applicable Issuing Bank, in the case of fees payable to it) for distribution to the appropriate Lenders as their interests shall appear. Fees paid shall not be refundable under any circumstances except as otherwise provided in any Fee Letter. Fees payable hereunder shall accrue through and including the last day of the month immediately preceding the applicable fee payment date.</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 w:right="240" w:firstLine="436"/>
        <w:spacing w:after="0" w:line="266" w:lineRule="auto"/>
        <w:tabs>
          <w:tab w:leader="none" w:pos="699"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Loans comprising each ABR Borrowing (including Swingline Loans) shall bear interest at the Alternate Base Rate plus the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4" w:right="20" w:firstLine="436"/>
        <w:spacing w:after="0" w:line="282" w:lineRule="auto"/>
        <w:tabs>
          <w:tab w:leader="none" w:pos="699"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Eurocurrency Rate Borrowing shall bear interest at the Eurocurrency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(i) each Canadian Prime Rate Borrowing shall bear interest at the Canadian Prime Rate plus the Applicable Rate,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CORRA Borrowing shall bear interest at Term CORRA for the Interest Period in effect for such Borrowing plus the Applicable Rate and</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Daily Simple CORRA Borrowing shall bear interest at Daily Simple CORRA plus the Applicable Rate.</w:t>
      </w:r>
    </w:p>
    <w:p>
      <w:pPr>
        <w:spacing w:after="0" w:line="139"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64"/>
          </w:cols>
          <w:pgMar w:left="436" w:top="270" w:right="499" w:bottom="1440" w:gutter="0" w:footer="0" w:header="0"/>
        </w:sectPr>
      </w:pPr>
    </w:p>
    <w:bookmarkStart w:id="178" w:name="page179"/>
    <w:bookmarkEnd w:id="178"/>
    <w:p>
      <w:pPr>
        <w:ind w:left="-20" w:right="320" w:firstLine="436"/>
        <w:spacing w:after="0" w:line="282" w:lineRule="auto"/>
        <w:tabs>
          <w:tab w:leader="none" w:pos="67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Loans comprising each Alternative Currency Daily Rate Borrowing shall bear interest at the Alternative Currency Daily Rate for such Borrowing plus the Applicable Rate.</w:t>
      </w:r>
    </w:p>
    <w:p>
      <w:pPr>
        <w:spacing w:after="0" w:line="161" w:lineRule="exact"/>
        <w:rPr>
          <w:rFonts w:ascii="Times New Roman" w:cs="Times New Roman" w:eastAsia="Times New Roman" w:hAnsi="Times New Roman"/>
          <w:sz w:val="18"/>
          <w:szCs w:val="18"/>
          <w:color w:val="auto"/>
        </w:rPr>
      </w:pPr>
    </w:p>
    <w:p>
      <w:pPr>
        <w:ind w:left="-20" w:firstLine="436"/>
        <w:spacing w:after="0" w:line="253" w:lineRule="auto"/>
        <w:tabs>
          <w:tab w:leader="none" w:pos="66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the request of the Administrative Agent, during the existence and continuance of any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if any principal of or interest on any Loan or any LC Disbursement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Loan or unreimbursed LC Disbursement, 2.00% plus the rate otherwise applicable to such Loan or LC Disbursement as provided in the preceding paragraphs of this Section or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 xml:space="preserve"> or (ii) in the case of any other amount, 2.00% plus the rate applicable to Revolving Loans that are ABR Loans as provided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to any Defaulting Lender so long as such Lender is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amounts shall accrue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on any overdue amount, reimbursement obligation in respect of any LC Disbursement or other amount payable to a Defaulting Lender so long as such Lender is a Defaulting Lender.</w:t>
      </w:r>
    </w:p>
    <w:p>
      <w:pPr>
        <w:spacing w:after="0" w:line="194" w:lineRule="exact"/>
        <w:rPr>
          <w:rFonts w:ascii="Times New Roman" w:cs="Times New Roman" w:eastAsia="Times New Roman" w:hAnsi="Times New Roman"/>
          <w:sz w:val="18"/>
          <w:szCs w:val="18"/>
          <w:color w:val="auto"/>
        </w:rPr>
      </w:pPr>
    </w:p>
    <w:p>
      <w:pPr>
        <w:ind w:left="-20" w:right="60" w:firstLine="436"/>
        <w:spacing w:after="0" w:line="254" w:lineRule="auto"/>
        <w:tabs>
          <w:tab w:leader="none" w:pos="64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on the Maturity Date applicable to such Loan or, in the case of any Revolving Loan, upon the termination of the Revolving Credit Commitments of the applicable Class,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payable on demand, (ii) in the event of any repayment or prepayment of any Loan (other than a prepayment of an ABR Revolving Loan, Alternative Currency Daily Rate Loan that is a Revolving Loan or Canadian Prime Rate Revolving Loan prior to the termination of the relevant revolving Commitments), accrued interest on the principal amount repaid or prepaid shall be payable on the date of such repayment or prepayment and (iii) in the event of any conversion of any Eurocurrency Rate Loan or Term CORRA Loan prior to the end of the current Interest Period therefor, accrued interest on such Loan shall be payable on the effective date of such conversion. Accrued interest for any Class of Additional Loans shall be payable as set forth in the applicable Refinancing Amendment, Incremental Facility Amendment or Extension Amendment.</w:t>
      </w:r>
    </w:p>
    <w:p>
      <w:pPr>
        <w:spacing w:after="0" w:line="188"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hereunder shall be computed on the basis of a year of 360 days, except that interest (i) computed for ABR Loans based on the Prime Rate shall be computed on the basis of a year of 365 days (or 366 days in a leap year), and in each case shall be payable for the actual number of days elapsed (including the first day but excluding the last day), (ii) interest computed for Canadian Prime Rate Revolving Loans and CORRA Revolving Loans shall be computed on the basis of a year of 365 days, and in each case shall be payable for the actual number of days elapsed (including the first day but excluding the last day), (iii) for Borrowings denominated in Sterling shall be computed on the basis of a year of 365 days, and in each case, shall be payable for the actual number of days elapsed (including the first day but excluding the last day) and (iv) in the case of interest in respect of Loans denominated in Alternate Currencies (other than Canadian Dollars or Sterling) as to which market practice differs from the foregoing, shall be computed in accordance with such market practice. The applicable Alternate Base Rate, Eurocurrency Rate, Alternative Currency Daily Rate, Canadian Prime Rate, Term CORRA or Daily Simple CORRA shall be determined by the Administrative Agent, and such determination shall be conclusive absent manifest error. Interest shall accrue on each Loan from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bear interest for one day.</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960"/>
          </w:cols>
          <w:pgMar w:left="460" w:top="270" w:right="479" w:bottom="1440" w:gutter="0" w:footer="0" w:header="0"/>
        </w:sectPr>
      </w:pPr>
    </w:p>
    <w:bookmarkStart w:id="179" w:name="page180"/>
    <w:bookmarkEnd w:id="179"/>
    <w:p>
      <w:pPr>
        <w:ind w:left="4" w:right="20" w:firstLine="436"/>
        <w:spacing w:after="0" w:line="255" w:lineRule="auto"/>
        <w:tabs>
          <w:tab w:leader="none" w:pos="69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the Interest Act (Canada), whenever any interest or fee under this Agreement or any other Loan Document is calculated using a rate based on a number of days less than a full year, such rate determined pursuant to such calculation, when expressed as an annual rate, is equivalent to (x) the applicable rate based on a year of 360, 365 or 366 days, as the case may be, (y) multiplied by the actual number of days in the calendar year in which the period for which such interest or fee is payable (or compounded) ends, and (z) divided by the number of days based on which such rate is calculated. The principle of deemed reinvestment of interest does not apply to any interest calculation under this Agreement or any other Loan Document. The rates of interest stipulated in this Agreement and the other Loan Documents are intended to be nominal rates and not effective rates or yields.</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if:</w:t>
      </w:r>
    </w:p>
    <w:p>
      <w:pPr>
        <w:spacing w:after="0" w:line="117" w:lineRule="exact"/>
        <w:rPr>
          <w:sz w:val="20"/>
          <w:szCs w:val="20"/>
          <w:color w:val="auto"/>
        </w:rPr>
      </w:pPr>
    </w:p>
    <w:p>
      <w:pPr>
        <w:jc w:val="both"/>
        <w:ind w:left="4" w:right="120" w:firstLine="436"/>
        <w:spacing w:after="0" w:line="261" w:lineRule="auto"/>
        <w:tabs>
          <w:tab w:leader="none" w:pos="68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Eurocurrency Rate, the Alternative Currency Daily Rate, Term CORRA, Daily Simple CORRA or Daily Simple SOFR or that the Eurocurrency Rate, the Alternative Currency Daily Rate, Term CORRA or Daily Simple CORRA cannot be determined pursuant to the definition thereof, as applicable, for any applicable Interest Period;</w:t>
      </w:r>
    </w:p>
    <w:p>
      <w:pPr>
        <w:spacing w:after="0" w:line="179"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99"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Eurocurrency Rate or Term CORRA, as applicable, for such Interest Period will not adequately and fairly reflect the cost to such Lenders of making or maintaining their Loans included in such Borrowing for such Interest Period; or</w:t>
      </w:r>
    </w:p>
    <w:p>
      <w:pPr>
        <w:spacing w:after="0" w:line="17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Benchmark Unavailability Period occurs;</w:t>
      </w:r>
    </w:p>
    <w:p>
      <w:pPr>
        <w:spacing w:after="0" w:line="225" w:lineRule="exact"/>
        <w:rPr>
          <w:sz w:val="20"/>
          <w:szCs w:val="20"/>
          <w:color w:val="auto"/>
        </w:rPr>
      </w:pPr>
    </w:p>
    <w:p>
      <w:pPr>
        <w:ind w:left="4"/>
        <w:spacing w:after="0" w:line="267" w:lineRule="auto"/>
        <w:rPr>
          <w:sz w:val="20"/>
          <w:szCs w:val="20"/>
          <w:color w:val="auto"/>
        </w:rPr>
      </w:pPr>
      <w:r>
        <w:rPr>
          <w:rFonts w:ascii="Times New Roman" w:cs="Times New Roman" w:eastAsia="Times New Roman" w:hAnsi="Times New Roman"/>
          <w:sz w:val="17"/>
          <w:szCs w:val="17"/>
          <w:color w:val="auto"/>
        </w:rPr>
        <w:t xml:space="preserve">then the Administrative Agent shall promptly give notice thereof to the Borrower and the Lenders by telephone or facsimile as promptly as practicable thereafter and, until the Administrative Agent notifies the Borrower and the Lenders that the circumstances giving rise to such notice no longer exist, which the Administrative Agent agrees promptly to do, (i) any Borrowing Request or Interest Election Request that requests the conversion of any Borrowing to, or continuation of any Borrowing as (x) a Eurocurrency Rate Borrowing or Daily Simple SOFR Borrowing denominated in Dollars, shall be ineffective and any such existing Borrowing shall be converted to an ABR Borrowing on the last day of the Interest Period applicable thereto, (y) a Borrowing denominated in an Alternate Currency, shall be ineffective and on the last day of the Interest Period (or with respect to Alternative Currency Daily Rate Borrowings or Daily Simple CORRA Borrowings, immediately) applicable to such Loan bear interest at the Central Bank Rate plus the CBR Spread (or with respect to Loans denominated in Canadian Dollars, the Canadian Prime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determines (which determination shall be conclusive and binding absent manifest error) that the Central Bank Rate (or Canadian Prime Rate) for the applicable Alternate Currency cannot be determined, any outstanding affected Loans denominated in any Alternate Currency shall, at the Borrower’s election,</w:t>
      </w:r>
    </w:p>
    <w:p>
      <w:pPr>
        <w:spacing w:after="0" w:line="4" w:lineRule="exact"/>
        <w:rPr>
          <w:sz w:val="20"/>
          <w:szCs w:val="20"/>
          <w:color w:val="auto"/>
        </w:rPr>
      </w:pPr>
    </w:p>
    <w:p>
      <w:pPr>
        <w:ind w:left="304" w:hanging="304"/>
        <w:spacing w:after="0"/>
        <w:tabs>
          <w:tab w:leader="none" w:pos="304"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prepaid by the Borrower on such day or (B) solely for the purpose of calculating the interest rate applicable to such Loan, such Loan</w:t>
      </w:r>
    </w:p>
    <w:p>
      <w:pPr>
        <w:spacing w:after="0" w:line="9" w:lineRule="exact"/>
        <w:rPr>
          <w:rFonts w:ascii="Times New Roman" w:cs="Times New Roman" w:eastAsia="Times New Roman" w:hAnsi="Times New Roman"/>
          <w:sz w:val="18"/>
          <w:szCs w:val="18"/>
          <w:color w:val="auto"/>
        </w:rPr>
      </w:pPr>
    </w:p>
    <w:p>
      <w:pPr>
        <w:ind w:left="4" w:right="6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any Alternate Currency shall be deemed to be an ABR Loan denominated in Dollars and shall accrue interest at the interest rate applicable to ABR Loans denominated in Dollars at such time.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082" w:val="left"/>
        </w:tabs>
        <w:numPr>
          <w:ilvl w:val="1"/>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modifies or deems applicable any reserve, special deposit, compulsory loan, insurance charge or similar requirement against assets of, deposits with or for the account of, or credit extended by, any Lender or Issuing Bank (except any such reserve requirement reflected in the Eurocurrency Rate, Alternative Currency Daily Rate, Term CORRA or Daily Simple CORRA);</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84"/>
          </w:cols>
          <w:pgMar w:left="436" w:top="270" w:right="479" w:bottom="1440" w:gutter="0" w:footer="0" w:header="0"/>
        </w:sectPr>
      </w:pPr>
    </w:p>
    <w:bookmarkStart w:id="180" w:name="page181"/>
    <w:bookmarkEnd w:id="180"/>
    <w:p>
      <w:pPr>
        <w:ind w:left="444" w:right="20" w:firstLine="419"/>
        <w:spacing w:after="0" w:line="266" w:lineRule="auto"/>
        <w:tabs>
          <w:tab w:leader="none" w:pos="113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subjects any Lender or Issuing Bank or the Administrative Agent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Excluded Taxes and (C) Connection Income Taxes) in respect of its loans,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444" w:right="420" w:firstLine="419"/>
        <w:spacing w:after="0" w:line="266" w:lineRule="auto"/>
        <w:tabs>
          <w:tab w:leader="none" w:pos="1182"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any Lender or Issuing Bank or the London interbank market any other condition, cost or expense (other than Taxes) affecting this Agreement or Eurocurrency Rate Loans, Alternative Currency Daily Rate Loans or CORRA Loans made by any Lender or any Letter of Credit or participation therein;</w:t>
      </w:r>
    </w:p>
    <w:p>
      <w:pPr>
        <w:spacing w:after="0" w:line="176"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the relevant Lender of making, maintaining, converting to or continuing any Eurocurrency Rate Loan, Alternative Currency Daily Rate Loan or CORRA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Eurocurrency Rate Loan, Alternative Currency Daily Rate Loan, CORRA Loan or Letter of Credit in an amount deemed by such Lender or Issuing Bank to be material, then, within 30 days after the Borrower’s receipt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Borrower will pay to such Lender or Issuing Bank, as applicable, such additional amount or amounts as will compensate such Lender or Issuing Bank, as applicable,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liable for such compensation if (x) the relevant Change in Law is publicly announced or occurs on a date prior to the date such Lender becomes a party hereto, (y) such Lender invokes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(z) in the case of requests for reimbursement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resulting from a market disruption, (A) the relevant circumstances do not generally affect the banking market or (B) the applicable request has not been made by Lenders constituting Required Lenders.</w:t>
      </w:r>
    </w:p>
    <w:p>
      <w:pPr>
        <w:spacing w:after="0" w:line="192" w:lineRule="exact"/>
        <w:rPr>
          <w:sz w:val="20"/>
          <w:szCs w:val="20"/>
          <w:color w:val="auto"/>
        </w:rPr>
      </w:pPr>
    </w:p>
    <w:p>
      <w:pPr>
        <w:ind w:left="4" w:right="80" w:firstLine="436"/>
        <w:spacing w:after="0" w:line="254" w:lineRule="auto"/>
        <w:tabs>
          <w:tab w:leader="none" w:pos="699"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materially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capital adequacy), then within 30 days of receipt by the Borrower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or Issuing Bank requesting compensation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required to deliver a certificate to the Borrower that</w:t>
      </w:r>
    </w:p>
    <w:p>
      <w:pPr>
        <w:spacing w:after="0" w:line="27" w:lineRule="exact"/>
        <w:rPr>
          <w:rFonts w:ascii="Times New Roman" w:cs="Times New Roman" w:eastAsia="Times New Roman" w:hAnsi="Times New Roman"/>
          <w:sz w:val="18"/>
          <w:szCs w:val="18"/>
          <w:color w:val="auto"/>
        </w:rPr>
      </w:pPr>
    </w:p>
    <w:p>
      <w:pPr>
        <w:ind w:left="4" w:right="220" w:hanging="4"/>
        <w:spacing w:after="0" w:line="253" w:lineRule="auto"/>
        <w:tabs>
          <w:tab w:leader="none" w:pos="219" w:val="left"/>
        </w:tabs>
        <w:numPr>
          <w:ilvl w:val="0"/>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sets forth the amount or amounts necessary to compensate such Lender or Issuing Bank or its holding company, as applicable,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4"/>
          </w:cols>
          <w:pgMar w:left="436" w:top="270" w:right="459" w:bottom="1440" w:gutter="0" w:footer="0" w:header="0"/>
        </w:sectPr>
      </w:pPr>
    </w:p>
    <w:bookmarkStart w:id="181" w:name="page182"/>
    <w:bookmarkEnd w:id="181"/>
    <w:p>
      <w:pPr>
        <w:ind w:right="200" w:firstLine="436"/>
        <w:spacing w:after="0" w:line="256" w:lineRule="auto"/>
        <w:tabs>
          <w:tab w:leader="none" w:pos="69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no Lender or Issuing Bank shall demand compensation for any increased cost or reduction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Break Funding Payments</w:t>
      </w:r>
      <w:r>
        <w:rPr>
          <w:rFonts w:ascii="Times New Roman" w:cs="Times New Roman" w:eastAsia="Times New Roman" w:hAnsi="Times New Roman"/>
          <w:sz w:val="18"/>
          <w:szCs w:val="18"/>
          <w:color w:val="auto"/>
        </w:rPr>
        <w:t xml:space="preserve">. Solely with respect to Initial Term Loans and Revolving Facility Loans, in the event of (a) the conversion or prepayment of any principal of any Eurocurrency Rate Loan (other than any Eurocurrency Rate Loan denominated in Dollars) or Term CORRA Loan other than on the last day of an Interest Period applicable thereto (whether voluntary, mandatory, automatic, by reason of acceleration or otherwise), (b) the failure to borrow, convert, continue or prepay any Eurocurrency Rate Loan (other than any Eurocurrency Rate Loan denominated in Dollars) or Term CORRA Loan on the date or in the amount specified in any notice delivered pursuant hereto or (c) the assignment of any Eurocurrency Rate Loan (other than any Eurocurrency Rate Loan denominated in Dollars) or Term CORRA Loan of any Lender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incurred by such Lender that is attributable to such event (other than loss of profit). In the case of a Eurocurrency Rate Loan (other than any Eurocurrency Rate Loan denominated in Dollars) or Term CORRA Loan, the loss, cost or expense of any Lender shall be the amount reasonably determined by such Lender to be the excess, if any, of (i) the amount of interest which would have accrued on the principal amount of such Loan had such event not occurred, at the Eurocurrency Rate or Term CORRA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or applicable interbank market; it being understood that such loss, cost or expense shall in any case exclude any interest rate floor and all administrative, processing or similar fees. Any Lender requesting compensation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required to deliver a certificate to the Borrower (i) setting forth any amount or amounts that such Lender is entitled to receive pursuant to this Section, the basis therefor and, in reasonable detail, the manner in which such amount or amounts were determined and (ii) certifying that such Lender is generally charging the relevant amounts to similarly situated borrowers, which certificate shall be conclusive absent manifest error. The Borrower shall pay such Lender the amount shown as due on any such certificate within 30 days after receipt thereof. For the avoidance of doubt,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not apply with respect to any Incremental Term Loan.</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0"/>
          </w:cols>
          <w:pgMar w:left="440" w:top="270" w:right="479" w:bottom="1440" w:gutter="0" w:footer="0" w:header="0"/>
        </w:sectPr>
      </w:pPr>
    </w:p>
    <w:bookmarkStart w:id="182" w:name="page183"/>
    <w:bookmarkEnd w:id="1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4"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hereunder or under any other Loan Document shall be made free and clear of and without deduction or withholding for any Taxes, except as required by applicable Requirements of Law. If any applicable Requirement of Law requires the deduction or withholding of any Tax from any such payment by any applicable withholding agent, then (i) if such Tax is an Indemnified Tax, the amount payable by the applicable Loan Party shall be increased as necessary so that after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having been made by the applicable withholding agent, each Lender and each Issuing Bank (as applicable) (or, where the Administrative Agent receives a payment for its own account, such Administrative Agent), receives an amount equal to the sum it would have received had no such deductions been made, (ii) the applicable withholding agent shall make such deductions and (iii) such withholding agent shall timely pay the full amount deducted to the relevant Governmental Authority in accordance with applicable Requirements of Law.</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Loan Parties shall pay any Other Taxes to the relevant Governmental Authority in accordance with applicable Requirements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6" w:lineRule="exact"/>
        <w:rPr>
          <w:rFonts w:ascii="Times New Roman" w:cs="Times New Roman" w:eastAsia="Times New Roman" w:hAnsi="Times New Roman"/>
          <w:sz w:val="18"/>
          <w:szCs w:val="18"/>
          <w:color w:val="auto"/>
        </w:rPr>
      </w:pPr>
    </w:p>
    <w:p>
      <w:pPr>
        <w:ind w:firstLine="436"/>
        <w:spacing w:after="0" w:line="252"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shall indemnify the Administrative Agent, each Lender and each Issuing Bank within 30 days after receipt of the certificate described in the succeeding sentence, for the full amount of any Indemnified Taxes payable or paid by such Administrative Agent, such Lender or Issuing Bank (including Indemnified Taxes imposed or asserted on or attributable to amounts payable under this Section), as applicable, and any reasonable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Loan Party reasonably believes that such Taxes were not correctly or legally asserted, such Administrative Agent or such Lender or Issuing Bank, as applicable, will use reasonable efforts to cooperate with such Loan Party to obtain a refund of such Taxes (which shall be repaid to such Loan Party in accordance with </w:t>
      </w:r>
      <w:r>
        <w:rPr>
          <w:rFonts w:ascii="Times New Roman" w:cs="Times New Roman" w:eastAsia="Times New Roman" w:hAnsi="Times New Roman"/>
          <w:sz w:val="18"/>
          <w:szCs w:val="18"/>
          <w:u w:val="single" w:color="auto"/>
          <w:color w:val="auto"/>
        </w:rPr>
        <w:t>Section 2.17(g)</w:t>
      </w:r>
      <w:r>
        <w:rPr>
          <w:rFonts w:ascii="Times New Roman" w:cs="Times New Roman" w:eastAsia="Times New Roman" w:hAnsi="Times New Roman"/>
          <w:sz w:val="18"/>
          <w:szCs w:val="18"/>
          <w:color w:val="auto"/>
        </w:rPr>
        <w:t xml:space="preserve">) so long as such efforts would not, in the sole determination of such Administrative Agent or such Lender or Issuing Bank, result in any additional out-of-pocket costs or expenses not reimbursed by such Loan Party or be otherwise materially disadvantageous to such Administrative Agent or such Lender or Issuing Bank, as applicable. In connection with any request for reimbursement under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the relevant Lender, Issuing Bank or Administrative Agent, as applicable, shall deliver a certificate to the Borrower setting forth, in reasonable detail, the basis and calculation of the amount of the relevant payment or liability. Notwithstanding anything to the contrary contained in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the Borrower shall not be required to indemnify the Administrative Agent, any Lender or any Issuing Bank pursuant to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for any incremental interest or penalties resulting from a failure of such Administrative Agent, such Lender or Issuing Bank, as applicable, to notify the Borrower of the relevant possible indemnification claim within 180 days after such Administrative Agent or such Lender or Issuing Bank receives written notice from the applicable taxing authority of the specific tax assessment giving rise to such indemnification claim.</w:t>
      </w:r>
    </w:p>
    <w:p>
      <w:pPr>
        <w:spacing w:after="0" w:line="19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85"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that is reasonably satisfactory to the Administrative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183" w:name="page184"/>
    <w:bookmarkEnd w:id="183"/>
    <w:p>
      <w:pPr>
        <w:ind w:left="224" w:hanging="224"/>
        <w:spacing w:after="0"/>
        <w:tabs>
          <w:tab w:leader="none" w:pos="224"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Status of Lenders and Issuing Banks.</w:t>
      </w:r>
    </w:p>
    <w:p>
      <w:pPr>
        <w:spacing w:after="0" w:line="225"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4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and any Issuing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and any Issuing Bank,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or Issuing Bank is subject to backup withholding or information reporting requirements. Each Lender and each Issuing Bank hereby authorizes the Administrative Agent to deliver to the Borrower and to any successor Administrative Agent any documentation provided to such Administrative Agent pursuant to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 w:firstLine="419"/>
        <w:spacing w:after="0" w:line="266" w:lineRule="auto"/>
        <w:tabs>
          <w:tab w:leader="none" w:pos="691"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agrees that if any documentation it previously delivered expires or becomes obsolete or inaccurate in any respect, it shall update such documentation or promptly notify the Borrower and the Administrative Agent in writing of its legal ineligibility to do so.</w:t>
      </w:r>
    </w:p>
    <w:p>
      <w:pPr>
        <w:spacing w:after="0" w:line="67" w:lineRule="exact"/>
        <w:rPr>
          <w:rFonts w:ascii="Times New Roman" w:cs="Times New Roman" w:eastAsia="Times New Roman" w:hAnsi="Times New Roman"/>
          <w:sz w:val="18"/>
          <w:szCs w:val="18"/>
          <w:color w:val="auto"/>
        </w:rPr>
      </w:pPr>
    </w:p>
    <w:p>
      <w:pPr>
        <w:ind w:left="744" w:hanging="321"/>
        <w:spacing w:after="0"/>
        <w:tabs>
          <w:tab w:leader="none" w:pos="744"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3" w:lineRule="exact"/>
        <w:rPr>
          <w:rFonts w:ascii="Times New Roman" w:cs="Times New Roman" w:eastAsia="Times New Roman" w:hAnsi="Times New Roman"/>
          <w:sz w:val="18"/>
          <w:szCs w:val="18"/>
          <w:color w:val="auto"/>
        </w:rPr>
      </w:pPr>
    </w:p>
    <w:p>
      <w:pPr>
        <w:ind w:left="544" w:right="20" w:firstLine="408"/>
        <w:spacing w:after="0" w:line="262" w:lineRule="auto"/>
        <w:tabs>
          <w:tab w:leader="none" w:pos="1239" w:val="left"/>
        </w:tabs>
        <w:numPr>
          <w:ilvl w:val="2"/>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Issuing Bank that is a U.S. Person (a “</w:t>
      </w:r>
      <w:r>
        <w:rPr>
          <w:rFonts w:ascii="Times New Roman" w:cs="Times New Roman" w:eastAsia="Times New Roman" w:hAnsi="Times New Roman"/>
          <w:sz w:val="18"/>
          <w:szCs w:val="18"/>
          <w:b w:val="1"/>
          <w:bCs w:val="1"/>
          <w:color w:val="auto"/>
        </w:rPr>
        <w:t>U.S. Lender/Issuing Bank</w:t>
      </w:r>
      <w:r>
        <w:rPr>
          <w:rFonts w:ascii="Times New Roman" w:cs="Times New Roman" w:eastAsia="Times New Roman" w:hAnsi="Times New Roman"/>
          <w:sz w:val="18"/>
          <w:szCs w:val="18"/>
          <w:color w:val="auto"/>
        </w:rPr>
        <w:t>”) shall deliver to the Borrower and the Administrative Agent on or about the date on which such U.S. Lender/Issuing Bank becomes a Lender or the Issuing Bank under this Agreement (and from time to time thereafter upon the reasonable request of the Borrower or the Administrative Agent), executed copies of IRS Form W-9 certifying that such Lender is exempt from U.S. federal backup withholding tax;</w:t>
      </w:r>
    </w:p>
    <w:p>
      <w:pPr>
        <w:spacing w:after="0" w:line="68" w:lineRule="exact"/>
        <w:rPr>
          <w:rFonts w:ascii="Times New Roman" w:cs="Times New Roman" w:eastAsia="Times New Roman" w:hAnsi="Times New Roman"/>
          <w:sz w:val="18"/>
          <w:szCs w:val="18"/>
          <w:color w:val="auto"/>
        </w:rPr>
      </w:pPr>
    </w:p>
    <w:p>
      <w:pPr>
        <w:ind w:left="544" w:right="120" w:firstLine="408"/>
        <w:spacing w:after="0" w:line="282" w:lineRule="auto"/>
        <w:tabs>
          <w:tab w:leader="none" w:pos="1229" w:val="left"/>
        </w:tabs>
        <w:numPr>
          <w:ilvl w:val="2"/>
          <w:numId w:val="2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Lender that is not a U.S. Lender/Issuing Bank (a “</w:t>
      </w:r>
      <w:r>
        <w:rPr>
          <w:rFonts w:ascii="Times New Roman" w:cs="Times New Roman" w:eastAsia="Times New Roman" w:hAnsi="Times New Roman"/>
          <w:sz w:val="17"/>
          <w:szCs w:val="17"/>
          <w:b w:val="1"/>
          <w:bCs w:val="1"/>
          <w:color w:val="auto"/>
        </w:rPr>
        <w:t>Non-U.S. Lender/Issuing Bank</w:t>
      </w:r>
      <w:r>
        <w:rPr>
          <w:rFonts w:ascii="Times New Roman" w:cs="Times New Roman" w:eastAsia="Times New Roman" w:hAnsi="Times New Roman"/>
          <w:sz w:val="17"/>
          <w:szCs w:val="17"/>
          <w:color w:val="auto"/>
        </w:rPr>
        <w:t>”) shall, to the extent it is legally eligible to do so, deliver to the Borrower and the Administrative Agent (in such number of copies as shall be requested by the recipient) on or about the date on which such Non-U.S. Lender/Issuing Bank becomes a Lender or Issuing Bank under this Agreement (and from time to time thereafter upon the reasonable request of the Borrower or the Administrative Agent), whichever of the following is applicable:</w:t>
      </w:r>
    </w:p>
    <w:p>
      <w:pPr>
        <w:spacing w:after="0" w:line="57" w:lineRule="exact"/>
        <w:rPr>
          <w:rFonts w:ascii="Times New Roman" w:cs="Times New Roman" w:eastAsia="Times New Roman" w:hAnsi="Times New Roman"/>
          <w:sz w:val="17"/>
          <w:szCs w:val="17"/>
          <w:color w:val="auto"/>
        </w:rPr>
      </w:pPr>
    </w:p>
    <w:p>
      <w:pPr>
        <w:ind w:left="984" w:right="80" w:firstLine="391"/>
        <w:spacing w:after="0" w:line="256" w:lineRule="auto"/>
        <w:tabs>
          <w:tab w:leader="none" w:pos="1622" w:val="left"/>
        </w:tabs>
        <w:numPr>
          <w:ilvl w:val="3"/>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Lender/Issuing Bank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 U.S. federal withholding Tax pursuant to the “business profits” or “other income” article of such tax treaty;</w:t>
      </w:r>
    </w:p>
    <w:p>
      <w:pPr>
        <w:spacing w:after="0" w:line="79" w:lineRule="exact"/>
        <w:rPr>
          <w:rFonts w:ascii="Times New Roman" w:cs="Times New Roman" w:eastAsia="Times New Roman" w:hAnsi="Times New Roman"/>
          <w:sz w:val="18"/>
          <w:szCs w:val="18"/>
          <w:color w:val="auto"/>
        </w:rPr>
      </w:pPr>
    </w:p>
    <w:p>
      <w:pPr>
        <w:ind w:left="1624" w:hanging="249"/>
        <w:spacing w:after="0"/>
        <w:tabs>
          <w:tab w:leader="none" w:pos="1624" w:val="left"/>
        </w:tabs>
        <w:numPr>
          <w:ilvl w:val="3"/>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564"/>
          </w:cols>
          <w:pgMar w:left="876" w:top="270" w:right="459" w:bottom="1440" w:gutter="0" w:footer="0" w:header="0"/>
        </w:sectPr>
      </w:pPr>
    </w:p>
    <w:bookmarkStart w:id="184" w:name="page185"/>
    <w:bookmarkEnd w:id="184"/>
    <w:p>
      <w:pPr>
        <w:ind w:left="420" w:right="60" w:firstLine="391"/>
        <w:spacing w:after="0" w:line="255" w:lineRule="auto"/>
        <w:tabs>
          <w:tab w:leader="none" w:pos="105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 Non-U.S. Lender/Issuing Bank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and no payments in connection with the Agreement are effectively connected with such Non-U.S. Lender/Issuing Bank’s conduct of a U.S. trade or business (a “</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80" w:lineRule="exact"/>
        <w:rPr>
          <w:rFonts w:ascii="Times New Roman" w:cs="Times New Roman" w:eastAsia="Times New Roman" w:hAnsi="Times New Roman"/>
          <w:sz w:val="18"/>
          <w:szCs w:val="18"/>
          <w:color w:val="auto"/>
        </w:rPr>
      </w:pPr>
    </w:p>
    <w:p>
      <w:pPr>
        <w:ind w:left="420" w:right="60" w:firstLine="391"/>
        <w:spacing w:after="0" w:line="255" w:lineRule="auto"/>
        <w:tabs>
          <w:tab w:leader="none" w:pos="1058" w:val="left"/>
        </w:tabs>
        <w:numPr>
          <w:ilvl w:val="1"/>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 Non-U.S. Lender/Issuing Bank is not the beneficial owner, executed copies of IRS 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Lender/Issuing Bank is a partnership (and not a participating Lender) and one or more direct or indirect partners of such Non-U.S. Lender/Issuing Bank are claiming the portfolio interest exemption, such Non-U.S. Lender/Issuing Bank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and indirect partner;</w:t>
      </w:r>
    </w:p>
    <w:p>
      <w:pPr>
        <w:spacing w:after="0" w:line="80" w:lineRule="exact"/>
        <w:rPr>
          <w:rFonts w:ascii="Times New Roman" w:cs="Times New Roman" w:eastAsia="Times New Roman" w:hAnsi="Times New Roman"/>
          <w:sz w:val="18"/>
          <w:szCs w:val="18"/>
          <w:color w:val="auto"/>
        </w:rPr>
      </w:pPr>
    </w:p>
    <w:p>
      <w:pPr>
        <w:ind w:left="-20" w:right="60" w:firstLine="408"/>
        <w:spacing w:after="0" w:line="255" w:lineRule="auto"/>
        <w:tabs>
          <w:tab w:leader="none" w:pos="66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Issuing Bank shall, to the extent it is legally eligible to do so, deliver to the Borrower and the Administrative Agent (in such number of copies as shall be requested by the recipient) on or about the date on which such Lender or Issuing Bank becomes a Lender or Issuing Bank under this Agreement (and from time to time thereafter upon the reasonable request of the Borrower or the Administrative Agent),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80" w:lineRule="exact"/>
        <w:rPr>
          <w:rFonts w:ascii="Times New Roman" w:cs="Times New Roman" w:eastAsia="Times New Roman" w:hAnsi="Times New Roman"/>
          <w:sz w:val="18"/>
          <w:szCs w:val="18"/>
          <w:color w:val="auto"/>
        </w:rPr>
      </w:pPr>
    </w:p>
    <w:p>
      <w:pPr>
        <w:ind w:left="-20" w:firstLine="408"/>
        <w:spacing w:after="0" w:line="253" w:lineRule="auto"/>
        <w:tabs>
          <w:tab w:leader="none" w:pos="67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or Issuing Bank under any Loan Document would be subject to U.S. federal withholding Tax imposed by FATCA if such Lender or Issuing Bank were to fail to comply with the applicable reporting requirements of FATCA (including those contained in Section 1471(b) or 1472(b) of the Code, as applicable), such Lender or Issuing Bank shall deliver to the Borrower and the Administrative Agent at the time or times prescribed by law and at such time or times reasonably requested by the Borrower or the Administrative Agent such documentation prescribed by applicable Requirements of Law (including as prescribed by Section 1471(b)(3) (C)(i) of the Code) and such additional documentation reasonably requested by the Borrower or the Administrative Agent as may be necessary for the Borrower and the Administrative Agent to comply with their obligations under FATCA and to determine whether such Lender or Issuing Bank has complied with such Lender’s or Issuing Bank’s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27"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000"/>
          </w:cols>
          <w:pgMar w:left="1440" w:top="270" w:right="459" w:bottom="1440" w:gutter="0" w:footer="0" w:header="0"/>
        </w:sectPr>
      </w:pPr>
    </w:p>
    <w:bookmarkStart w:id="185" w:name="page186"/>
    <w:bookmarkEnd w:id="185"/>
    <w:p>
      <w:pPr>
        <w:ind w:left="440" w:right="540" w:firstLine="419"/>
        <w:spacing w:after="0" w:line="282" w:lineRule="auto"/>
        <w:tabs>
          <w:tab w:leader="none" w:pos="1168" w:val="left"/>
        </w:tabs>
        <w:numPr>
          <w:ilvl w:val="1"/>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a Lender or Issuing Bank shall not be required to deliver any documentation under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to the extent it is legally ineligible to deliver.</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Indemnified Taxes (whether received in cash or applied by the taxing authority granting the refund to offset other Taxes otherwise owed)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the indemnifying party an amount equal to such refund (but only to the extent of indemnity payments made, or additional amounts paid, by such indemnifying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Indemnified Taxes giving rise to such refund), net of all out-of-pocket expenses (including any Taxes imposed with respect to such refund)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indemnifying party, upon the request of the indemnified party, agrees to repay to such indemnified party the amount paid over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the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in no event will the indemnified party be required to pay any amount to any indemnifying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to the extent that the payment thereof would place the indemnified party in a less favorable net after-Tax position than the position that the indemnified party would have been in if the Tax subject to indemnification had not been deducted, withheld or otherwise imposed and the indemnification payments or additional amounts giving rise to such refund had never been paid. This paragraph shall not be construed to require the indemnified party to make available its Tax returns (or any other information relating to its Taxes which it deems confidential) to the indemnifying party or any other Person.</w:t>
      </w:r>
    </w:p>
    <w:p>
      <w:pPr>
        <w:spacing w:after="0" w:line="197"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any Lender or Issuing Bank, the termination of the Commitments and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“Requirements of Law” includes FATCA.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the time expressed hereunder or under such Loan Document (or, if no time is expressly required, by 2:00 p.m.) on the date when due, in immediately available funds, without set-off (except as otherwise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Each Lender agrees that in computing such Lender’s portion of any Borrowing to be made hereunder, the Administrative Agent may, in its discretion, round such Lender’s percentage of such Borrowing to the next higher or lower whole dollar amount. Except as set forth in any amendment entered into pursuant to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 xml:space="preserve"> with respect to the making of Revolving Loans or Letters of Credit denominated</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186" w:name="page187"/>
    <w:bookmarkEnd w:id="18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 newly established Alternate Currency, all payments of any Loan or LC Disbursement (including accrued interest) hereunder shall be made in the currency in which such Loan or LC Disbursement is denominated or the Dollar Equivalent thereof, and all other payments under each Loan Document shall be made in Dollars, in each case, except as the relevant recipient may otherwise agree. If for any reason an applicable Borrower is prohibited by Requirements of Law from making any required payment hereunder in any Alternate Currency, such Borrower shall make such payment in Dollars in an amount equal to the Dollar Equivalent of such Alternate Currency amount.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2" w:lineRule="exact"/>
        <w:rPr>
          <w:sz w:val="20"/>
          <w:szCs w:val="20"/>
          <w:color w:val="auto"/>
        </w:rPr>
      </w:pPr>
    </w:p>
    <w:p>
      <w:pPr>
        <w:ind w:right="40" w:firstLine="436"/>
        <w:spacing w:after="0" w:line="253"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respects to the provisions of any applicable Acceptable Intercreditor Agreement, all proceeds of Collateral received by the Collateral Agent at any time when an Event of Default exists and all or any portion of the Loans have been accelerated hereunder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upon election by the Collateral Agent or at the direction of the Required Lenders,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on a pro rata basis, to pay any fees, indemnities or expense reimbursements then due to the Collateral Agent, the Administrative Agent or any Issuing Bank from the Borrower constituting Loan Document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on a pro rata basis, to pay any fees or expense reimbursements then due to the Lenders from the Borrower constituting Loan Document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and payable in respect of any Loans, on a pro rata basis,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all Banking Services Obligations and all Secured Hedging Obligations on a pro rata basis among the Secured Parties,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to pay an amount to the Administrative Agent equal to 100% of the LC Exposure (minus the amount then on deposit in the LC Collateral Account) on such date, to be held in the LC Collateral Account as Cash collateral for such Loan Document Obligations, on 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Letter of Credit expires undrawn, then any Cash collateral held to secure the related LC Exposure shall be applied in accordance with this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beginning with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other Obligation due to the Administrative Agent, any Lender or any other Secured Party by the Borrower on a pro rata basis,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as provided for under any applicable Acceptable Intercreditor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Borrower or as the Borrower shall direct.</w:t>
      </w:r>
    </w:p>
    <w:p>
      <w:pPr>
        <w:spacing w:after="0" w:line="187" w:lineRule="exact"/>
        <w:rPr>
          <w:rFonts w:ascii="Times New Roman" w:cs="Times New Roman" w:eastAsia="Times New Roman" w:hAnsi="Times New Roman"/>
          <w:sz w:val="18"/>
          <w:szCs w:val="18"/>
          <w:color w:val="auto"/>
        </w:rPr>
      </w:pPr>
    </w:p>
    <w:p>
      <w:pPr>
        <w:ind w:right="140" w:firstLine="436"/>
        <w:spacing w:after="0" w:line="252"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obtains payment (whether voluntary, involuntary, through the exercise of any right of set-off or otherwise) in respect of any principal of or interest on any of its Loans of any Class or participations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and any payment made or deemed made in connection with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The Borrower consents to the foregoing and agrees, to the extent it may effectively do so under applicable Requirements</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187" w:name="page188"/>
    <w:bookmarkEnd w:id="187"/>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Law, that any Lender acquiring a participation pursuant to the foregoing arrangements may exercise against the Borrower rights of set-off and counterclaim with respect to such participation as fully as if such Lender were a direct creditor of such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Loan Document Obligations purchased to the same extent as though the purchasing Lender were the original owner of the Loan Document Obligations purchased.</w:t>
      </w:r>
    </w:p>
    <w:p>
      <w:pPr>
        <w:spacing w:after="0" w:line="189" w:lineRule="exact"/>
        <w:rPr>
          <w:sz w:val="20"/>
          <w:szCs w:val="20"/>
          <w:color w:val="auto"/>
        </w:rPr>
      </w:pPr>
    </w:p>
    <w:p>
      <w:pPr>
        <w:ind w:right="60" w:firstLine="436"/>
        <w:spacing w:after="0" w:line="254" w:lineRule="auto"/>
        <w:tabs>
          <w:tab w:leader="none" w:pos="69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has received notice from the Borrower prior to the date on which any payment is due to the Administrative Agent for the account of any Lender or any Issuing Bank hereunder that such Borrower will not make such payment, the Administrative Agent may assume that such Borrower has made such payment on such date in accordance herewith and may, in reliance upon such assumption, distribute to the applicable Lender or Issuing Bank the amount due. In such event, if such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(or, with respect to any such amounts denominated in an Alternate Currency, the Administrative Agent’s customary rate for interbank advances in such Alternate Currency) and a rate determined by the Administrative Agent in accordance with banking industry rules on interbank compensation.</w:t>
      </w:r>
    </w:p>
    <w:p>
      <w:pPr>
        <w:spacing w:after="0" w:line="188"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fails to make any payment required to be made by it pursuant to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such Lender determines it can no longer make or maintain Eurocurrency Rate Loans, Alternative Currency Daily Rate Loans, Term CORRA Loans or Daily Simple CORRA Loans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any Loan Party is required to pay any additional amount to or indemnify any Lender, Issuing Bank or any Governmental Authority for the account of any Lender or Issuing Bank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or Issuing Bank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or Issuing Bank,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as applicable, in the future or mitigate the impact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as the case may be, and (ii) would not subject such Lender or Issuing Bank to any material unreimbursed out-of-pocket cost or expense and would not otherwise be disadvantageous to such Lender or Issuing Bank in any material respect. The Borrower hereby agrees to pay all reasonable out-of-pocket costs and expenses incurred by any Lender or Issuing Bank in connection with any such designation or assignment.</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440" w:top="270" w:right="499" w:bottom="1440" w:gutter="0" w:footer="0" w:header="0"/>
        </w:sectPr>
      </w:pPr>
    </w:p>
    <w:bookmarkStart w:id="188" w:name="page189"/>
    <w:bookmarkEnd w:id="188"/>
    <w:p>
      <w:pPr>
        <w:ind w:left="-20" w:firstLine="436"/>
        <w:spacing w:after="0" w:line="266" w:lineRule="auto"/>
        <w:tabs>
          <w:tab w:leader="none" w:pos="675" w:val="left"/>
        </w:tabs>
        <w:numPr>
          <w:ilvl w:val="0"/>
          <w:numId w:val="2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(i) any Lender requests compensation under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such Lender determines it can no longer make or maintain Eurocurrency Rate Loans, Alternative Currency Daily Rate Loan, Term CORRA Loans or Daily Simple CORRA Loans pursuant to </w:t>
      </w:r>
      <w:r>
        <w:rPr>
          <w:rFonts w:ascii="Times New Roman" w:cs="Times New Roman" w:eastAsia="Times New Roman" w:hAnsi="Times New Roman"/>
          <w:sz w:val="17"/>
          <w:szCs w:val="17"/>
          <w:u w:val="single" w:color="auto"/>
          <w:color w:val="auto"/>
        </w:rPr>
        <w:t>Section 2.20</w:t>
      </w:r>
      <w:r>
        <w:rPr>
          <w:rFonts w:ascii="Times New Roman" w:cs="Times New Roman" w:eastAsia="Times New Roman" w:hAnsi="Times New Roman"/>
          <w:sz w:val="17"/>
          <w:szCs w:val="17"/>
          <w:color w:val="auto"/>
        </w:rPr>
        <w:t xml:space="preserve">, (ii) any Loan Party is required to pay any additional amount to or indemnify any Lender or any Governmental Authority for the account of any Lender pursuant to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Times New Roman" w:cs="Times New Roman" w:eastAsia="Times New Roman" w:hAnsi="Times New Roman"/>
          <w:sz w:val="17"/>
          <w:szCs w:val="17"/>
          <w:b w:val="1"/>
          <w:bCs w:val="1"/>
          <w:color w:val="auto"/>
        </w:rPr>
        <w:t>Non-Consenting Lender</w:t>
      </w:r>
      <w:r>
        <w:rPr>
          <w:rFonts w:ascii="Times New Roman" w:cs="Times New Roman" w:eastAsia="Times New Roman" w:hAnsi="Times New Roman"/>
          <w:sz w:val="17"/>
          <w:szCs w:val="17"/>
          <w:color w:val="auto"/>
        </w:rPr>
        <w:t xml:space="preserve">”), then the Borrower may, at its sole expense and effort, upon notice to such Lender and the Administrative Agent, (x) terminate the applicable Commitments and/or Additional Commitments of such Lender, and procure the repayment of all Loan Document Obligations of the Borrower owing to such Lender relating to the applicable Loans and participations held by such Lender as of such termination date under one or more Credit Facilities or Additional Credit Facilities as the Borrower may elect or (y) replace such Lender by requiring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xml:space="preserve">), all of its interests, rights and obligations under this Agreement to an Eligible Assignee that shall assume such obligations (which Eligible Assignee may be another Lender, if any Lender accepts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such Lender shall have received payment of an amount equal to the outstanding principal amount of its Loans and, if applicable, participations in LC Disbursements and Swingline Loans, in each case of such Class of Loans, Commitments and/or Additional Commitments, accrued interest thereon, accrued fees and all other amounts payable to it hereunder with respect to such Class of Loans, Commitments and/or Additional Commitments, (B) in the case of any assignment resulting from a claim for compensation under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or payments required to be made pursuant to </w:t>
      </w:r>
      <w:r>
        <w:rPr>
          <w:rFonts w:ascii="Times New Roman" w:cs="Times New Roman" w:eastAsia="Times New Roman" w:hAnsi="Times New Roman"/>
          <w:sz w:val="17"/>
          <w:szCs w:val="17"/>
          <w:u w:val="single" w:color="auto"/>
          <w:color w:val="auto"/>
        </w:rPr>
        <w:t>Section 2.17</w:t>
      </w:r>
      <w:r>
        <w:rPr>
          <w:rFonts w:ascii="Times New Roman" w:cs="Times New Roman" w:eastAsia="Times New Roman" w:hAnsi="Times New Roman"/>
          <w:sz w:val="17"/>
          <w:szCs w:val="17"/>
          <w:color w:val="auto"/>
        </w:rPr>
        <w:t xml:space="preserve">, such assignment will result in a reduction in such compensation or payments, (C) such assignment does not conflict with applicable law and (D) in the case of any assignment of Loans held by a Non-Consenting Lender, such Eligible Assignee shall have agreed to the applicable amendment, waiver or consent. No action by or consent of a Defaulting Lender or a Non-Consenting Lender shall be necessary in connection with such assignment, which shall be immediately and automatically effective upon payment of the amounts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immediately preceding sentence. No Lender (other than a Defaulting Lender) shall be required to make any such assignment and delegation, and the Borrower may not repay the Loan Document Obligations of such Lender and the Borrower may not terminate its Commitments or Additional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failure of any Lender replaced pursuant to this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60"/>
          </w:cols>
          <w:pgMar w:left="460" w:top="270" w:right="479" w:bottom="1440" w:gutter="0" w:footer="0" w:header="0"/>
        </w:sectPr>
      </w:pPr>
    </w:p>
    <w:bookmarkStart w:id="189" w:name="page190"/>
    <w:bookmarkEnd w:id="189"/>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2.20.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Eurocurrency Rate, Alternative Currency Daily Rate, Term CORRA or Daily Simple CORRA (whether denominated in Dollars or an Alternate Currency), or to determine or charge interest rates based upon the Eurocurrency Rate, Alternative Currency Daily Rate, Term CORRA or Daily Simple CORRA, or any Governmental Authority has imposed material restrictions on the authority of such Lender to purchase or sell, or to take deposits of, Dollars or an Alternate Currency in the applicable interbank market, then, on notice thereof by such Lender to the Borrower through the Administrative Agent, (i) any obligation of such Lender to (A) make or continue Eurocurrency Rate Loans, Alternative Currency Daily Rate Loans, Term CORRA Loans or Daily Simple CORRA Loans in Dollars or such Alternate Currency, (B) in the case of Dollars, to convert ABR Loans to Eurocurrency Rate Loans or (C) in the case of Canadian Dollars, to convert Canadian Prime Rate Loans to Term CORRA Loans or Daily Simple CORRA Loans, shall be suspended and (ii) if such notice asserts the illegality of such Lender making or maintaining ABR Loans denominated in Dollars the interest rate on which is determined by reference to the Eurocurrency Rate component of the Alternate Base Rate, the interest rate on which ABR Loans of such Lender, shall, if necessary to avoid such illegality, be determined by the Administrative Agent without reference to the Eurocurrency Rate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such Lender (with a copy to the Administrative Agent), prepay or (A) if applicable and such Loans are denominated in Dollars, convert all of such Lender’s Eurocurrency Rate Loans to ABR Loans (the interest rate on which ABR Loans of such Lender shall, if necessary to avoid such illegality, be determined by the Administrative Agent without reference to the Eurocurrency Rate component of the Alternate Base Rate) or (B) if applicable and such Loans are denominated in Canadian Dollars, convert all of such Lender’s CORRA Loans to Canadian Prime Rate Loans, in each case, either (1) on the last day of the Interest Period therefor, if such Lender may lawfully continue to maintain such Eurocurrency Rate Loans, Term CORRA Loans or Daily Simple CORRA Loans, as applicable, to such day, or (2) immediately, in the case of any Alternative Currency Daily Rate Loans or if such Lender may not lawfully continue to maintain such Eurocurrency Rate Loans, Term CORRA Loans or Daily Simple CORRA Loans, as applicable (in which case the Borrower shall not be required to make payments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connection with such payment), (y) if such notice asserts the illegality of such Lender determining or charging interest rates based upon the Eurocurrency Rate the Administrative Agent shall during the period of such suspension compute the Alternate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and (z) if such notice asserts the illegality of such Lender determining or charging interest rates based upon CORRA, Term CORRA or Daily Simple CORRA, the Administrative Agent shall during the period of such suspension compute the Canadian Prime Rate applicable to such Lender without reference to the CORRA component thereof until the Administrative Agent is advised in writing by such Lender that it is no longer illegal for such Lender to determine or charge interest rates based upon CORRA, Term CORRA or Daily Simple CORRA, as applicable.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201"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right="40" w:firstLine="987"/>
        <w:spacing w:after="0" w:line="266" w:lineRule="auto"/>
        <w:tabs>
          <w:tab w:leader="none" w:pos="1236"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Fees shall cease to accrue on the otherwise applicable portion of any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clause (d)(iv)</w:t>
      </w:r>
      <w:r>
        <w:rPr>
          <w:rFonts w:ascii="Times New Roman" w:cs="Times New Roman" w:eastAsia="Times New Roman" w:hAnsi="Times New Roman"/>
          <w:sz w:val="18"/>
          <w:szCs w:val="18"/>
          <w:color w:val="auto"/>
        </w:rPr>
        <w:t xml:space="preserve"> below, on the participation of such Defaulting Lender in Letters of Credit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and pursuant to any other provisions of this Agreement or other Loan Document.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0980"/>
          </w:cols>
          <w:pgMar w:left="440" w:top="270" w:right="479" w:bottom="1440" w:gutter="0" w:footer="0" w:header="0"/>
        </w:sectPr>
      </w:pPr>
    </w:p>
    <w:bookmarkStart w:id="190" w:name="page191"/>
    <w:bookmarkEnd w:id="190"/>
    <w:p>
      <w:pPr>
        <w:ind w:right="20" w:firstLine="436"/>
        <w:spacing w:after="0" w:line="258" w:lineRule="auto"/>
        <w:tabs>
          <w:tab w:leader="none" w:pos="69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Commitments, Loans and LC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spacing w:after="0" w:line="183" w:lineRule="exact"/>
        <w:rPr>
          <w:rFonts w:ascii="Times New Roman" w:cs="Times New Roman" w:eastAsia="Times New Roman" w:hAnsi="Times New Roman"/>
          <w:sz w:val="18"/>
          <w:szCs w:val="18"/>
          <w:color w:val="auto"/>
        </w:rPr>
      </w:pPr>
    </w:p>
    <w:p>
      <w:pPr>
        <w:ind w:firstLine="436"/>
        <w:spacing w:after="0" w:line="251" w:lineRule="auto"/>
        <w:tabs>
          <w:tab w:leader="none" w:pos="685"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any Defaulting Lender (whether voluntary or mandatory, at maturity,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shall be applied at such time or times as may be determined by the Administrative Agent and, where relevant, the Borrower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Collateral Agent and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applicable Issuing Bank and/or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or the Borrower, to be held in a deposit account and released in order to satisfy obligations of such Defaulting Lender to fund Loans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non-Defaulting Lenders, Issuing Banks or Swingline Lenders as a result of any judgment of a court of competent jurisdiction obtained by any non-Defaulting Lender, any Issuing Bank or the Swingline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were satisfied or waived, such payment shall be applied solely to pay the Loans of, and LC Exposure owed to, all non-Defaulting Lenders on a pro rata basis prior to being applied to the payment of any Loans of, or LC Exposure owed to, such Defaulting Lender. Any payments, prepayments or other amounts paid or payable to any Defaulting Lender that are applied (or held) to pay amounts owed by any Defaulting Lender or to post Cash collateral pursuant to this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20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Loans or LC Exposure exists at the time any Revolving Lender becomes a Defaulting Lender then:</w:t>
      </w:r>
    </w:p>
    <w:p>
      <w:pPr>
        <w:spacing w:after="0" w:line="117"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078"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part of such Swingline Loans and LC Exposure shall be reallocated among the non-Defaulting Lenders that are Revolving Lenders in accordance with their respective Applicable Percentages but only to the extent the sum of all non-Defaulting Lenders’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191" w:name="page192"/>
    <w:bookmarkEnd w:id="191"/>
    <w:p>
      <w:pPr>
        <w:ind w:left="440"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Revolving Credit Exposures does not exceed the total of all non-Defaulting Lenders’ that are Revolving Lenders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72" w:lineRule="exact"/>
        <w:rPr>
          <w:sz w:val="20"/>
          <w:szCs w:val="20"/>
          <w:color w:val="auto"/>
        </w:rPr>
      </w:pPr>
    </w:p>
    <w:p>
      <w:pPr>
        <w:ind w:left="440" w:right="80" w:firstLine="419"/>
        <w:spacing w:after="0" w:line="253" w:lineRule="auto"/>
        <w:tabs>
          <w:tab w:leader="none" w:pos="112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obligations of such Defaulting Lender to fund participations in any Swingline Loan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any Cash collateral provided by such Defaulting Lender or pursuant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above) or make other arrangements reasonably satisfactory to the Administrative Agent and to the applicable Issuing Bank and/or Swingline Lender with respect to such LC Exposure and/or Swingline Loans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(B) the Administrative Agent’s good faith determination that there exists excess Cash collateral (including as a result of any subsequent reallocation of Swingline Loans and LC Exposure among non-Defaulting Lenders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8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7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if the LC Exposure of the non-Defaulting Lenders is reallocated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the fees payable to the Revolving Lenders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the case may be, shall be adjusted to give effect to such reallocation and (B) if the LC Exposure of any Defaulting Lender is Cash collateralized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without prejudice to any rights or remedies of the applicable Issuing Bank, any Lender or the Borrower hereunder, no letter of credit fees shall be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and</w:t>
      </w:r>
    </w:p>
    <w:p>
      <w:pPr>
        <w:spacing w:after="0" w:line="7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68" w:val="left"/>
        </w:tabs>
        <w:numPr>
          <w:ilvl w:val="1"/>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Defaulting Lender’s LC Exposure is not Cash collateralized, prepaid or reallocated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without prejudice to any rights or remedies of the applicable Issuing Bank or any Revolving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applicable Issuing Bank until such Defaulting Lender’s LC Exposure is Cash collateralized or reallocated.</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Revolving Lender is a Defaulting Lender, the Swingline Lender shall not be required to fund any Swingline Loan, and no Issuing Bank shall be required to issue, extend, create, incur, amend or increase any Letter of Credit unless it is reasonably satisfied that the related exposure will be 100% covered by the Revolving Credit Commitments of the non-Defaulting Lenders, Cash collateral provided pursuant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and/or Cash collateral provided by the Borrower in accordance with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and participating interests in any such or newly issued, extended or created Letter of Credit or newly made Swingline Loan shall be allocated among non-Defaulting Lenders that are Revolving Lenders in a manner consistent with </w:t>
      </w:r>
      <w:r>
        <w:rPr>
          <w:rFonts w:ascii="Times New Roman" w:cs="Times New Roman" w:eastAsia="Times New Roman" w:hAnsi="Times New Roman"/>
          <w:sz w:val="18"/>
          <w:szCs w:val="18"/>
          <w:u w:val="single" w:color="auto"/>
          <w:color w:val="auto"/>
        </w:rPr>
        <w:t>Section 2.21(d)(i)</w:t>
      </w:r>
      <w:r>
        <w:rPr>
          <w:rFonts w:ascii="Times New Roman" w:cs="Times New Roman" w:eastAsia="Times New Roman" w:hAnsi="Times New Roman"/>
          <w:sz w:val="18"/>
          <w:szCs w:val="18"/>
          <w:color w:val="auto"/>
        </w:rPr>
        <w:t xml:space="preserve"> (it being understood that Defaulting Lenders shall not participate therein).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192" w:name="page193"/>
    <w:bookmarkEnd w:id="192"/>
    <w:p>
      <w:pPr>
        <w:ind w:firstLine="436"/>
        <w:spacing w:after="0" w:line="253" w:lineRule="auto"/>
        <w:tabs>
          <w:tab w:leader="none" w:pos="665"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the Administrative Agent and the Borrower agree that any Defaulting Lender has adequately remedied all matters that caused such Lender to be a Defaulting Lender, then the Applicable Percentage of Swingline Loans and LC Exposure of the Revolving Lenders shall be readjusted to reflect the inclusion of such Lender’s Revolving Credit Commitment, and on such date such Revolving Lender shall purchase at par such of the Revolving Loans of the other Revolving Lenders (other than Swingline Loans) or participations in Revolving Loans as the Administrative Agent shall determine as are necessary in order for such Revolving Lender to hold such Revolving Loans or participations in accordance with its Applicable Percentage of the applicable Class. Notwithstanding the fact that any Defaulting Lender has adequately remedied all matters that caused such Lender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Subsidiary Guarantor that will become a Borrower) may, at any time, on one or more occasions pursuant to an Incremental Facility Amendment (i) add one or more new Classes of term facilities and/or increase the principal amount of the Term Loans of any existing Class by requesting new term loan commitments to be added to such Loans (any such new Class or increase, an “</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and any loans made pursuant to an Incremental Term Facility,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and/or (ii) add one or more new Classes of revolving commitments and/or increase the aggregate amount of the Revolving Credit Commitments of any existing Class (any such new Class or increase, an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and, together with any Incremental Term Facility,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or either or any thereof, an “</w:t>
      </w:r>
      <w:r>
        <w:rPr>
          <w:rFonts w:ascii="Times New Roman" w:cs="Times New Roman" w:eastAsia="Times New Roman" w:hAnsi="Times New Roman"/>
          <w:sz w:val="18"/>
          <w:szCs w:val="18"/>
          <w:b w:val="1"/>
          <w:bCs w:val="1"/>
          <w:color w:val="auto"/>
        </w:rPr>
        <w:t>Incremental Facility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loans thereunder, “</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and, together with any Incremental Term Loans,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in an aggregate outstanding principal amount not to exceed the Incremental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Commitment in respect of any Incremental Term Facility may be in an amount that is less than $5,000,000 (or such lesser amount to which the Administrative Agent may reasonably agree),</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separately agreed from time to time between the Borrower and any Lender,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7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spacing w:after="0" w:line="53" w:lineRule="exact"/>
        <w:rPr>
          <w:rFonts w:ascii="Times New Roman" w:cs="Times New Roman" w:eastAsia="Times New Roman" w:hAnsi="Times New Roman"/>
          <w:sz w:val="18"/>
          <w:szCs w:val="18"/>
          <w:color w:val="auto"/>
        </w:rPr>
      </w:pPr>
    </w:p>
    <w:p>
      <w:pPr>
        <w:ind w:left="440" w:firstLine="419"/>
        <w:spacing w:after="0" w:line="281" w:lineRule="auto"/>
        <w:tabs>
          <w:tab w:leader="none" w:pos="1168"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such Incremental Revolving Facility shall either (A) be subject to the same terms and conditions as any then-existing Revolving Facility (and be deemed added to, and made a part of, such Revolving Facility) (it being understood that, if required to consummate an Incremental Revolving Facility, the Borrower may increase the pricing, interest rate margins, rate floors and undrawn fees on the applicable Revolving Facility being increased for all lenders under such Revolving Facility, but additional upfront or similar fees or closing payments may be</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193" w:name="page194"/>
    <w:bookmarkEnd w:id="193"/>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payable to the lenders participating in such Incremental Revolving Facility without any requirement to pay such amounts to any existing Revolving Lenders) or (B) mature no earlier than, and require no scheduled mandatory commitment reduction prior to, the Initial Revolving Credit Maturity Date and all other material terms (other than pricing, maturity, upfront, arrangement, structuring, underwriting, ticking, consent, amendment and other fees, participation in mandatory prepayments or commitment reductions and immaterial terms, which shall be determined by the Borrower) shall (x) be substantially consistent with the Initial Revolving Loans or (y) reflect market terms and conditions (as determined by the Borrower in good faith) at the time of incurrence of such Incremental Revolving Facility or the obtaining of any commitment with respect thereto or (z) be reasonably satisfactory to the Administrative Agent (it being understood that if any financial maintenance covenant or other more favorable provision is added for the benefit of any Incremental Revolving Facility, no consent shall be required from the Administrative Agent or any Lender to the extent that such financial maintenance covenant or other provision is (1) also added for the benefit of any then-existing Revolving Facility or (2) only applicable after the applicable Latest Revolving Loan Maturity Date),</w:t>
      </w:r>
    </w:p>
    <w:p>
      <w:pPr>
        <w:spacing w:after="0" w:line="86" w:lineRule="exact"/>
        <w:rPr>
          <w:sz w:val="20"/>
          <w:szCs w:val="20"/>
          <w:color w:val="auto"/>
        </w:rPr>
      </w:pPr>
    </w:p>
    <w:p>
      <w:pPr>
        <w:ind w:left="4" w:right="380" w:firstLine="419"/>
        <w:spacing w:after="0" w:line="282" w:lineRule="auto"/>
        <w:tabs>
          <w:tab w:leader="none" w:pos="68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 Yield (and the components thereof) applicable to any Incremental Facility may be determined by the Borrower and the lender or lenders providing such Incremental Facility,</w:t>
      </w:r>
    </w:p>
    <w:p>
      <w:pPr>
        <w:spacing w:after="0" w:line="53"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73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the final maturity date with respect to any Incremental Term Loans shall be no earlier than the Initial Term Loan Maturity Date at the time of the incurrence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(A) customary bridge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(B) escrowed debt subject to a customary special mandatory redemption, (C) 364-day bridge loans, (D) Five Year Notes or (E) convertible notes or other convertible debt securities,</w:t>
      </w:r>
    </w:p>
    <w:p>
      <w:pPr>
        <w:spacing w:after="0" w:line="79" w:lineRule="exact"/>
        <w:rPr>
          <w:rFonts w:ascii="Times New Roman" w:cs="Times New Roman" w:eastAsia="Times New Roman" w:hAnsi="Times New Roman"/>
          <w:sz w:val="18"/>
          <w:szCs w:val="18"/>
          <w:color w:val="auto"/>
        </w:rPr>
      </w:pPr>
    </w:p>
    <w:p>
      <w:pPr>
        <w:ind w:left="4" w:right="80" w:firstLine="419"/>
        <w:spacing w:after="0" w:line="256" w:lineRule="auto"/>
        <w:tabs>
          <w:tab w:leader="none" w:pos="78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the Weighted Average Life to Maturity of any Incremental Term Facility shall be no shorter than the remaining Weighted Average Life to Maturity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(A) customary bridge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(B) escrowed debt subject to a customary special mandatory redemption, (C) 364-day bridge loans, (D) Five Year Notes or (E) convertible notes or other convertible debt securities,</w:t>
      </w:r>
    </w:p>
    <w:p>
      <w:pPr>
        <w:spacing w:after="0" w:line="79"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83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any Incremental Term Facility may otherwise have an amortization schedule as determined by the Borrower and the lenders providing such Incremental Term Facility,</w:t>
      </w:r>
    </w:p>
    <w:p>
      <w:pPr>
        <w:spacing w:after="0" w:line="53" w:lineRule="exact"/>
        <w:rPr>
          <w:rFonts w:ascii="Times New Roman" w:cs="Times New Roman" w:eastAsia="Times New Roman" w:hAnsi="Times New Roman"/>
          <w:sz w:val="18"/>
          <w:szCs w:val="18"/>
          <w:color w:val="auto"/>
        </w:rPr>
      </w:pPr>
    </w:p>
    <w:p>
      <w:pPr>
        <w:ind w:left="4" w:firstLine="419"/>
        <w:spacing w:after="0" w:line="282" w:lineRule="auto"/>
        <w:tabs>
          <w:tab w:leader="none" w:pos="731"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above, to the extent applicable, any fees payable in connection with any Incremental Facility shall be determined by the Borrower and the arrangers and/or lenders providing such Incremental Facility,</w:t>
      </w:r>
    </w:p>
    <w:p>
      <w:pPr>
        <w:spacing w:after="0" w:line="53" w:lineRule="exact"/>
        <w:rPr>
          <w:rFonts w:ascii="Times New Roman" w:cs="Times New Roman" w:eastAsia="Times New Roman" w:hAnsi="Times New Roman"/>
          <w:sz w:val="18"/>
          <w:szCs w:val="18"/>
          <w:color w:val="auto"/>
        </w:rPr>
      </w:pPr>
    </w:p>
    <w:p>
      <w:pPr>
        <w:ind w:left="4" w:right="20" w:firstLine="419"/>
        <w:spacing w:after="0" w:line="276" w:lineRule="auto"/>
        <w:tabs>
          <w:tab w:leader="none" w:pos="681" w:val="left"/>
        </w:tabs>
        <w:numPr>
          <w:ilvl w:val="1"/>
          <w:numId w:val="2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each Incremental Facility shall rank pari passu with the Initial Term Loans (in the case of any Incremental Term Facility) and pari passu with the Initial Revolving Loans (in the case of Incremental Revolving Loans), in each case in right of payment and, if secured, security and</w:t>
      </w:r>
    </w:p>
    <w:p>
      <w:pPr>
        <w:ind w:left="4" w:right="240" w:hanging="4"/>
        <w:spacing w:after="0" w:line="260" w:lineRule="auto"/>
        <w:tabs>
          <w:tab w:leader="none" w:pos="288"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Facility may be (x) guaranteed by any Person which is not a Loan Party or (y) secured by Liens on any assets other than the Collateral,</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564"/>
          </w:cols>
          <w:pgMar w:left="876" w:top="270" w:right="459" w:bottom="1440" w:gutter="0" w:footer="0" w:header="0"/>
        </w:sectPr>
      </w:pPr>
    </w:p>
    <w:bookmarkStart w:id="194" w:name="page195"/>
    <w:bookmarkEnd w:id="194"/>
    <w:p>
      <w:pPr>
        <w:jc w:val="both"/>
        <w:ind w:left="440" w:right="300" w:firstLine="419"/>
        <w:spacing w:after="0" w:line="261" w:lineRule="auto"/>
        <w:tabs>
          <w:tab w:leader="none" w:pos="116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Incremental Term Facility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on a pro rata or less than pro rata basis (but not on a greater than pro rata basis, other than in the case of prepayment with proceeds of Indebtedness refinancing such Incremental Term Loans)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40" w:right="300" w:firstLine="419"/>
        <w:spacing w:after="0" w:line="266" w:lineRule="auto"/>
        <w:tabs>
          <w:tab w:leader="none" w:pos="121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Specified Event of Default shall exist immediately prior to or after giving effect to the effectiveness of such Incremental Facility (except in connection with any acquisition or other Investment or repayment or redemption of Indebtedness, where no such Specified Event of Default shall exist at the time as elected by the Borrower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6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or permitted in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above, all other terms of any Incremental Term Facility shall be as agreed between the Borrower and the lenders providing such Incremental Term Facility,</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258"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Incremental Facility may be used for working capital, Capital Expenditures and other general corporate purposes of the Borrower and its subsidiaries (including permitted Restricted Payments, Investments, Permitted Acquisitions, Restricted Debt Payments and any other purpose not prohibited by the terms of the Loan Documents), and</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making of any Incremental Term Loans that will be added to any Class of then existing Term Loans, and</w:t>
      </w:r>
    </w:p>
    <w:p>
      <w:pPr>
        <w:spacing w:after="0" w:line="27" w:lineRule="exact"/>
        <w:rPr>
          <w:rFonts w:ascii="Times New Roman" w:cs="Times New Roman" w:eastAsia="Times New Roman" w:hAnsi="Times New Roman"/>
          <w:sz w:val="18"/>
          <w:szCs w:val="18"/>
          <w:color w:val="auto"/>
        </w:rPr>
      </w:pPr>
    </w:p>
    <w:p>
      <w:pPr>
        <w:ind w:left="4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Sections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Eurocurrency Rate Loans or CORRA Loans of the relevant Class and which end on the last day of such Interest Period.</w:t>
      </w:r>
    </w:p>
    <w:p>
      <w:pPr>
        <w:spacing w:after="0" w:line="188"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Commitments may be provided by any existing Lender or by any other Eligible Assignee (any such other Eligible Assignee being called an “</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in the case of any Incremental Revolving Facility, the Swingline Lender and any Issuing Bank) shall have consented (such consent not to be unreasonably withheld, conditioned or delayed) to the relevant Additional Lender’s provision of Incremental Commitments if such consent would be required under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xml:space="preserve"> for an assignment of applicable Loans to such Additional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Additional Lender that is an Affiliated Lender shall be subject to the provisions of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mutatis mutandis, to the same extent as if the relevant Incremental Commitments and related Loan Document Obligations had been obtained by such Lender by way of assignment.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Additional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195" w:name="page196"/>
    <w:bookmarkEnd w:id="195"/>
    <w:p>
      <w:pPr>
        <w:ind w:right="340" w:firstLine="436"/>
        <w:spacing w:after="0" w:line="255"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a condition precedent to the effectiveness of any Incremental Facility or the making of any Incremental Loans, (i) upon its request, the Administrative Agent shall have received customary written opinions of counsel, as well as such reaffirmation agreements, supplements and/or amendments as it shall reasonably require, (ii) the Administrative Agent shall have received, from each Additional Lender, an administrative questionnaire in the form provided to such Additional Lender by the Administrative Agent (the “</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and such other documents as it shall reasonably require from such Additional Lender, (iii) the Administrative Agent and applicable Additional Lenders shall have received all fees required to be paid in respect of such Incremental Facility or Incremental Loans and (iv) upon its request, the Administrative Agent shall have received a certificate of Borrower signed by a Responsible Officer thereof:</w:t>
      </w:r>
    </w:p>
    <w:p>
      <w:pPr>
        <w:spacing w:after="0" w:line="80"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76"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and attaching a copy of the resolutions adopted by the governing body of the Borrower approving or consenting to such Incremental Facility or Incremental Loans, and</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applicable, certifying that the condition set forth in </w:t>
      </w:r>
      <w:r>
        <w:rPr>
          <w:rFonts w:ascii="Times New Roman" w:cs="Times New Roman" w:eastAsia="Times New Roman" w:hAnsi="Times New Roman"/>
          <w:sz w:val="18"/>
          <w:szCs w:val="18"/>
          <w:u w:val="single" w:color="auto"/>
          <w:color w:val="auto"/>
        </w:rPr>
        <w:t>clause (a)(xii)</w:t>
      </w:r>
      <w:r>
        <w:rPr>
          <w:rFonts w:ascii="Times New Roman" w:cs="Times New Roman" w:eastAsia="Times New Roman" w:hAnsi="Times New Roman"/>
          <w:sz w:val="18"/>
          <w:szCs w:val="18"/>
          <w:color w:val="auto"/>
        </w:rPr>
        <w:t xml:space="preserve"> above has been satisfied.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implementation of any Incremental Revolving Facility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53" w:lineRule="auto"/>
        <w:tabs>
          <w:tab w:leader="none" w:pos="107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Incremental Revolving Facility establishes Revolving Credit Commitments of the same Class as any then-existing Class of Revolving Credit Commitments,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Lender’s) (A) participations hereunder in Letters of Credit and</w:t>
      </w:r>
    </w:p>
    <w:p>
      <w:pPr>
        <w:spacing w:after="0" w:line="5" w:lineRule="exact"/>
        <w:rPr>
          <w:rFonts w:ascii="Times New Roman" w:cs="Times New Roman" w:eastAsia="Times New Roman" w:hAnsi="Times New Roman"/>
          <w:sz w:val="18"/>
          <w:szCs w:val="18"/>
          <w:color w:val="auto"/>
        </w:rPr>
      </w:pPr>
    </w:p>
    <w:p>
      <w:pPr>
        <w:ind w:left="440" w:right="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participations hereunder in Swingline Loans shall be held on a pro rata basis on the basis of their respective Revolving Credit Commitments (after giving effect to any increase in the Revolving Credit Commitment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Incremental Revolving Facility establishes Revolving Credit Commitments of a new Class, (1) the borrowing and repayment (except for (A) payments of interest and fees at different rates on any Revolving Facility,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below)) of Incremental Revolving Loans after the effective date of such Incremental Revolving Facility Commitments shall be made on a pro rata basis with any then-existing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196" w:name="page197"/>
    <w:bookmarkEnd w:id="196"/>
    <w:p>
      <w:pPr>
        <w:ind w:left="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Revolving Facility, (2) all swingline loans and/or letters of credit made or issued, as applicable, under such Incremental Revolving Facility shall be participated on a pro rata basis by all Revolving Lenders and (3) any permanent repayment of Revolving Loans with respect to, and reduction or termination of Revolving Credit Commitments under, any Revolving Facility after the effective date of any Incremental Revolving Facility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189" w:lineRule="exact"/>
        <w:rPr>
          <w:sz w:val="20"/>
          <w:szCs w:val="20"/>
          <w:color w:val="auto"/>
        </w:rPr>
      </w:pPr>
    </w:p>
    <w:p>
      <w:pPr>
        <w:ind w:right="140" w:firstLine="987"/>
        <w:spacing w:after="0" w:line="266" w:lineRule="auto"/>
        <w:tabs>
          <w:tab w:leader="none" w:pos="121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effectiveness of any Incremental Revolving Facility, the maximum amount of LC Exposure and/or Swingline Loans, as applicable, permitted hereunder shall increase by an amount, if any, agreed upon by the Administrative Agent, the Borrower and the relevant Issuing Bank and/or the Swingline Lender, as applicable.</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to enter into any Incremental Facility Amendment and/or any amendment to any other Loan Document with the Borrower as may be necessary in order to establish any new Class or sub-Class or any increase in any Classes or sub-Classes in respect of Loans or commitments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for instance, to increase the amortization of any existing Class of Term Loans (or to provide for any existing Class of Term Loans to have (or to again have) amortization) in order to have such existing Class of Term Loans be treated as the same Class as any Incremental Term Facility that is to be added to such Loans) and such technical amendments as may be necessary or appropriate in the reasonable opinion of the Administrative Agent and the Borrower in connection with the establishment or increase, as applicable, of such Classes or sub-Classes, in each case on terms consistent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with respect to the appointment of a Subsidiary Guarantor as a Borrower in respect of such Incremental Facility).</w:t>
      </w:r>
    </w:p>
    <w:p>
      <w:pPr>
        <w:spacing w:after="0" w:line="191"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 or in any other provision of any Loan Document, if the proceeds of any Incremental Facility are intended to be applied to finance an acquisition or other Investment and the lenders providing such Incremental Facility so agree, the availability thereof shall be subject to customary “SunGard” or “certain funds” conditionality (including the making and accuracy of Specified Representations as conformed for such acquisition or other Investment).</w:t>
      </w:r>
    </w:p>
    <w:p>
      <w:pPr>
        <w:spacing w:after="0" w:line="180" w:lineRule="exact"/>
        <w:rPr>
          <w:sz w:val="20"/>
          <w:szCs w:val="20"/>
          <w:color w:val="auto"/>
        </w:rPr>
      </w:pPr>
    </w:p>
    <w:p>
      <w:pPr>
        <w:ind w:left="440" w:right="4020" w:hanging="4"/>
        <w:spacing w:after="0" w:line="498" w:lineRule="auto"/>
        <w:tabs>
          <w:tab w:leader="none" w:pos="65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to the contrary. Section 2.23. </w:t>
      </w:r>
      <w:r>
        <w:rPr>
          <w:rFonts w:ascii="Times New Roman" w:cs="Times New Roman" w:eastAsia="Times New Roman" w:hAnsi="Times New Roman"/>
          <w:sz w:val="18"/>
          <w:szCs w:val="18"/>
          <w:u w:val="single" w:color="auto"/>
          <w:color w:val="auto"/>
        </w:rPr>
        <w:t>Extensions of Loans and Revolving Credit Commitments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right="20" w:firstLine="436"/>
        <w:spacing w:after="0" w:line="254" w:lineRule="auto"/>
        <w:tabs>
          <w:tab w:leader="none" w:pos="6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it being understood that (x)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and (y) no Lender shall have any obligation to accept any applicable Extension Offer, so long as the following terms are satisfied: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197" w:name="page198"/>
    <w:bookmarkEnd w:id="197"/>
    <w:p>
      <w:pPr>
        <w:ind w:left="4" w:firstLine="419"/>
        <w:spacing w:after="0" w:line="252" w:lineRule="auto"/>
        <w:tabs>
          <w:tab w:leader="none" w:pos="641"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to (x) interest rates, fees and final maturity (which shall, subject to </w:t>
      </w:r>
      <w:r>
        <w:rPr>
          <w:rFonts w:ascii="Times New Roman" w:cs="Times New Roman" w:eastAsia="Times New Roman" w:hAnsi="Times New Roman"/>
          <w:sz w:val="18"/>
          <w:szCs w:val="18"/>
          <w:u w:val="single" w:color="auto"/>
          <w:color w:val="auto"/>
        </w:rPr>
        <w:t>clause (iii)(y)</w:t>
      </w:r>
      <w:r>
        <w:rPr>
          <w:rFonts w:ascii="Times New Roman" w:cs="Times New Roman" w:eastAsia="Times New Roman" w:hAnsi="Times New Roman"/>
          <w:sz w:val="18"/>
          <w:szCs w:val="18"/>
          <w:color w:val="auto"/>
        </w:rPr>
        <w:t xml:space="preserve"> below, be determined by the Borrower and set forth in the relevant Extension Offer), (y) terms applicable to such Extended Revolving Credit Commitments or Extended Revolving Loans that are more favorable to the lenders or the agent of such Extended Revolving Credit Commitments or Extended Revolving Loans than those contained in the Loan Documents and are then conformed (or added) to the Loan Documents on or prior to the effectiveness of such Extension for the benefit of the Revolving Lenders or, as applicable, the Administrative Agent pursuant to the applicable Extension Amendment and (z) any terms or other provisions applicable only to periods after the Latest Revolving Loan Maturity Date (in each case, as of the date of such Extension), the commitment of any Revolving Lender that agrees to an Extension (an “</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and the related outstandings, shall be a revolving commitment (or related outstandings, as the case may be) with substantially consistent terms (or terms not less favorable to existing Revolving Lenders) as the Class of Revolving Credit Commitments subject to the relevant Extension Offer (and related outstandings)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more than one Revolving Facility exists after giving effect to any such Extension, (1) the borrowing and repayment (except for (A) payments of interest and fees at different rates on any Revolving Facility (and related outstandings),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ind w:left="4" w:right="40" w:hanging="4"/>
        <w:spacing w:after="0" w:line="251" w:lineRule="auto"/>
        <w:tabs>
          <w:tab w:leader="none" w:pos="258" w:val="left"/>
        </w:tabs>
        <w:numPr>
          <w:ilvl w:val="0"/>
          <w:numId w:val="2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of Extended Revolving Loans after the effective date of such Extended Revolving Credit Commitments shall be made on a pro rata basis with all other Revolving Facilities, (2) all swingline loans and/or letters of credit made or issued, as applicable, under any Extended Revolving Credit Commitment shall be participated on a pro rata basis by all Revolving Lenders of the applicable Class and (3)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85" w:lineRule="exact"/>
        <w:rPr>
          <w:rFonts w:ascii="Times New Roman" w:cs="Times New Roman" w:eastAsia="Times New Roman" w:hAnsi="Times New Roman"/>
          <w:sz w:val="18"/>
          <w:szCs w:val="18"/>
          <w:u w:val="single" w:color="auto"/>
          <w:color w:val="auto"/>
        </w:rPr>
      </w:pPr>
    </w:p>
    <w:p>
      <w:pPr>
        <w:ind w:left="4" w:right="20" w:firstLine="419"/>
        <w:spacing w:after="0" w:line="254" w:lineRule="auto"/>
        <w:tabs>
          <w:tab w:leader="none" w:pos="69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(x) interest rates, fees, amortization, final maturity date, premiums, required prepayment dates and participation in prepayments (which shall, subject to immediately succeeding </w:t>
      </w:r>
      <w:r>
        <w:rPr>
          <w:rFonts w:ascii="Times New Roman" w:cs="Times New Roman" w:eastAsia="Times New Roman" w:hAnsi="Times New Roman"/>
          <w:sz w:val="18"/>
          <w:szCs w:val="18"/>
          <w:u w:val="single" w:color="auto"/>
          <w:color w:val="auto"/>
        </w:rPr>
        <w:t>clauses (iii)(x)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be determined by the Borrower and set forth in the relevant Extension Offer), (y) terms applicable to such Extended Term Loans that are more favorable to the lenders or the agent of such Extended Term Loans than those contained in the Loan Documents and are then conformed (or added) to the Loan Documents on or prior to the effectiveness of such Extension for the benefit of the Term Lenders or, as applicable, the Administrative Agent pursuant to the applicable Extension Amendment and (z) any terms or other provisions applicable only to periods after the Latest Term Loan Maturity Date (in each case, as of the date of such Extension), the Term Loans of any Lender extended pursuant to any Extension (any such extended Term Loans, the “</w:t>
      </w:r>
      <w:r>
        <w:rPr>
          <w:rFonts w:ascii="Times New Roman" w:cs="Times New Roman" w:eastAsia="Times New Roman" w:hAnsi="Times New Roman"/>
          <w:sz w:val="18"/>
          <w:szCs w:val="18"/>
          <w:b w:val="1"/>
          <w:bCs w:val="1"/>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shall have substantially consistent terms (or terms not less favorable to existing Lenders) as the tranche of Term Loans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Extension Offer;</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564"/>
          </w:cols>
          <w:pgMar w:left="876" w:top="270" w:right="459" w:bottom="1440" w:gutter="0" w:footer="0" w:header="0"/>
        </w:sectPr>
      </w:pPr>
    </w:p>
    <w:bookmarkStart w:id="198" w:name="page199"/>
    <w:bookmarkEnd w:id="198"/>
    <w:p>
      <w:pPr>
        <w:jc w:val="both"/>
        <w:ind w:left="440" w:right="220" w:firstLine="419"/>
        <w:spacing w:after="0" w:line="266" w:lineRule="auto"/>
        <w:tabs>
          <w:tab w:leader="none" w:pos="117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the final maturity date of any Extended Term Loans shall be no earlier than the then applicable Latest Term Loan Maturity Date at the time of extension and (y) no Extended Revolving Credit Commitments or Extended Revolving Loans shall have a final maturity date earlier than (or require commitment reductions prior to) the then applicable Latest Revolving Loan Maturity Date;</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Extended Term Loans shall be no shorter than the remaining Weighted Average Life to Maturity of any then-existing Term Loans;</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any Extended Term Loans may otherwise have an amortization schedule as determined by the Borrower and the Lenders providing such Extended Term Loans;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Extended Term Loans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on a pro rata or less than pro rata basis (but not on a greater than pro rata basis other than in the case of prepayment with proceeds of Indebtedness refinancing such Extended Term Loans)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218"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amount of Loans or commitments, as the case may be, in respect of which Lenders shall have accepted the relevant Extension Offer exceeds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actual holdings of record) held by Lenders that have accepted such Extension Offer;</w:t>
      </w:r>
    </w:p>
    <w:p>
      <w:pPr>
        <w:spacing w:after="0" w:line="75"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otherwise agrees, each Extension shall be in a minimum amount of $5,000,000;</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Minimum Extension Condition shall be satisfied or waived by the Borrower;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w:t>
      </w:r>
    </w:p>
    <w:p>
      <w:pPr>
        <w:spacing w:after="0" w:line="225" w:lineRule="exact"/>
        <w:rPr>
          <w:rFonts w:ascii="Times New Roman" w:cs="Times New Roman" w:eastAsia="Times New Roman" w:hAnsi="Times New Roman"/>
          <w:sz w:val="18"/>
          <w:szCs w:val="18"/>
          <w:color w:val="auto"/>
        </w:rPr>
      </w:pPr>
    </w:p>
    <w:p>
      <w:pPr>
        <w:ind w:right="120" w:firstLine="436"/>
        <w:spacing w:after="0" w:line="253" w:lineRule="auto"/>
        <w:tabs>
          <w:tab w:leader="none" w:pos="69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Extension consummated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 no such Extension shall constitute a voluntary or mandatory prepayment for purposes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(ii) the scheduled amortization payments (in so far as such schedule affects payments due to Lenders participating in the relevant Class)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adjusted to give effect to such Extension of the relevant Class and (iii) except as set forth in </w:t>
      </w:r>
      <w:r>
        <w:rPr>
          <w:rFonts w:ascii="Times New Roman" w:cs="Times New Roman" w:eastAsia="Times New Roman" w:hAnsi="Times New Roman"/>
          <w:sz w:val="18"/>
          <w:szCs w:val="18"/>
          <w:u w:val="single" w:color="auto"/>
          <w:color w:val="auto"/>
        </w:rPr>
        <w:t>clause (a)(viii)</w:t>
      </w:r>
      <w:r>
        <w:rPr>
          <w:rFonts w:ascii="Times New Roman" w:cs="Times New Roman" w:eastAsia="Times New Roman" w:hAnsi="Times New Roman"/>
          <w:sz w:val="18"/>
          <w:szCs w:val="18"/>
          <w:color w:val="auto"/>
        </w:rPr>
        <w:t xml:space="preserve"> above, no Extension Offer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at its election, specify as a condition (a “</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to consummating such Extension that a minimum amount (to be determined and specified in the relevant Extension Offer in the Borrower’s sole discretion and which may be waived by the Borrower in its sole discretion) of Loans or commitments (as applicable) of any or all applicable Classes be tendered. The Administrative Agent and the Lenders hereby consent to the transactions contemplated by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(including, for the avoidance of doubt, any payment of any interest, fees or premium in respect of any tranche of Extended Term Loans and/or Extended Revolving Credit Commitments on such terms as may be set forth in the relevant Extension Offer) and hereby waive the requirements of any provision of this Agreement (including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or any other Loan Document that may otherwise prohibit any Extension or any other transaction contemplated by this Section.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70" w:right="439" w:bottom="1440" w:gutter="0" w:footer="0" w:header="0"/>
        </w:sectPr>
      </w:pPr>
    </w:p>
    <w:bookmarkStart w:id="199" w:name="page200"/>
    <w:bookmarkEnd w:id="199"/>
    <w:p>
      <w:pPr>
        <w:ind w:left="4" w:firstLine="436"/>
        <w:spacing w:after="0" w:line="252" w:lineRule="auto"/>
        <w:tabs>
          <w:tab w:leader="none" w:pos="68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consent of any Lender or the Administrative Agent shall be required to effectuate any Extension, other than (A) the consent of each Lender agreeing to such Extension with respect to one or more of its Loans and/or commitments under any Class (or a portion thereof), (B) with respect to any Extension of the Revolving Credit Commitments, the consent of each Issuing Bank to the extent the commitment to provide Letters of Credit is to be extended and (C) with respect to any Extension of the Revolving Credit Commitments, the consent of the Swingline Lender to the extent the swingline facility is to be extended (in each case which consent shall not be unreasonably withheld or delayed). All Extended Term Loans and Extended Revolving Credit Commitments and all obligations in respect thereof shall constitute Obligations under this Agreement and the other Loan Documents that are secured by the Collateral and guaranteed on a pari passu basis with all other Obligations under this Agreement and the other Loan Documents. The Lenders hereby irrevocably authorize (and direct) the Administrative Agent to enter into any Extension Amendment and such other amendments to this Agreement and the other Loan Documents with any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436"/>
        <w:spacing w:after="0" w:line="276" w:lineRule="auto"/>
        <w:tabs>
          <w:tab w:leader="none" w:pos="689" w:val="left"/>
        </w:tabs>
        <w:numPr>
          <w:ilvl w:val="1"/>
          <w:numId w:val="2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Notwithstanding anything to the contrary herein or in any other Loan Document, if a Benchmark Transition Event and its related Benchmark Replacement Date have occurred for a currency prior to the Reference Time in respect of any setting of a then-current Benchmark, then</w:t>
      </w:r>
    </w:p>
    <w:p>
      <w:pPr>
        <w:ind w:left="4" w:right="80" w:hanging="4"/>
        <w:spacing w:after="0" w:line="251" w:lineRule="auto"/>
        <w:tabs>
          <w:tab w:leader="none" w:pos="259"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such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99"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any Benchmark Replacement,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If the Benchmark Replacement is Daily Simple SOFR, all interest payments will be payable on a monthly basis.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4"/>
          </w:cols>
          <w:pgMar w:left="436" w:top="270" w:right="459" w:bottom="1440" w:gutter="0" w:footer="0" w:header="0"/>
        </w:sectPr>
      </w:pPr>
    </w:p>
    <w:bookmarkStart w:id="200" w:name="page201"/>
    <w:bookmarkEnd w:id="200"/>
    <w:p>
      <w:pPr>
        <w:ind w:right="20" w:firstLine="436"/>
        <w:spacing w:after="0" w:line="253" w:lineRule="auto"/>
        <w:tabs>
          <w:tab w:leader="none" w:pos="6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Administrative Agent will promptly notify the Borrower and the Lenders of (i) any occurrence of a Benchmark Transition Event, (ii) the implementation of any Benchmark Replacement Date and the related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and (v) the commencement of any Benchmark Unavailability Period. For the avoidance of doubt, any notice required to be delivered by the Administrative Agent as set forth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Term SOFR, the EURIBO Screen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request for a Eurocurrency Rate Borrowing, Alternative Currency Daily Rate Borrowing, Term CORRA Borrowing or Daily Simple CORRA Borrowing, as applicable, of, conversion to or continuation of Eurocurrency Rate Loans, Alternative Currency Daily Rate Loans, Term CORRA Loans or Daily Simple CORRA Loans, as applicable, to be made, converted or continued during any Benchmark Unavailability Period and, failing that, the Borrower will be deemed to have converted any such request into a request for a Borrowing of or conversion to ABR Loans for Borrowings made in Dollars or Canadian Prime Rate Loans for Borrowings made in Canadian Dollars.</w:t>
      </w:r>
    </w:p>
    <w:p>
      <w:pPr>
        <w:spacing w:after="0" w:line="187" w:lineRule="exact"/>
        <w:rPr>
          <w:rFonts w:ascii="Times New Roman" w:cs="Times New Roman" w:eastAsia="Times New Roman" w:hAnsi="Times New Roman"/>
          <w:sz w:val="18"/>
          <w:szCs w:val="18"/>
          <w:color w:val="auto"/>
        </w:rPr>
      </w:pPr>
    </w:p>
    <w:p>
      <w:pPr>
        <w:ind w:firstLine="436"/>
        <w:spacing w:after="0" w:line="270" w:lineRule="auto"/>
        <w:tabs>
          <w:tab w:leader="none" w:pos="665" w:val="left"/>
        </w:tabs>
        <w:numPr>
          <w:ilvl w:val="0"/>
          <w:numId w:val="2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interest rate on a Loan denominated in Dollars or an Alternate Currency may be derived from an interest rate benchmark that may be discontinued or is, or may in the future become, the subject of regulatory reform. The Administrative Agent does not warrant or accept responsibility for, and shall not have any liability with respect to (a) the continuation of, administration of, submission of, calculation of or any other matter related any interest rate used in this Agreement (including the Alternate Base Rate, Term SOFR, the EURIBO Screen Rate, SONIA, the Canadian Prime Rate, Term</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CORRA,</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201" w:name="page202"/>
    <w:bookmarkEnd w:id="20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Daily Simple CORRA, the Alternative Currency Daily Rate or the Eurocurrency Rate) or any component definition thereof or rates referred to in the definition thereof, or any alternative, successor or replacement rate thereto (including any Benchmark Replacement), including, without limitation, whether the composition or characteristics of any such alternative, successor or replacement rate (including any Benchmark Replacement) will be similar to, or produce the same value or economic equivalence of, the interest rate being replaced or have the same volume or liquidity as did any existing interest rate (including, in each case the Alternate Base Rate, Term SOFR, the EURIBO Screen Rate, SONIA, the Canadian Prime Rate, Term CORRA, Daily Simple CORRA, the Alternative Currency Daily Rate or the Eurocurrency Rate or any other Benchmark) prior to its discontinuance or unavailability or (b) the effect, implementation or composition of any Benchmark Replacement Conforming Changes. The Administrative Agent and its affiliates or other related entities may engage in transactions consistent with such Person’s general practice that affect the calculation of any interest rate used in this Agreement (including the Alternate Base Rate, Term SOFR, the EURIBO Screen Rate, SONIA, the Canadian Prime Rate, Term CORRA, Daily Simple CORRA, the Alternative Currency Daily Rate or the Eurocurrency Rate) or any alternative, successor or replacement rate (including any Benchmark Replacement) or any relevant adjustments thereto. The Administrative Agent may select information sources or services in its reasonable discretion to ascertain the interest rates used in this Agreement, any component thereof, or rates referenced in the definition therein (including the Alternate Base Rate, Term SOFR, the EURIBO Screen Rate, SONIA, the Canadian Prime Rate, Term CORRA, Daily Simple CORRA, the Alternative Currency Daily Rate or the Eurocurrency Rate or any other Benchmark), in each case pursuant to the terms of this Agreement, and shall have no liability to the Borrower, any Lender, any Issuing Bank or any other person or entity for damages of any kind, including direct or indirect, special, punitive, incidental or consequential damages, costs, losses or expenses (whether in tort, contract or otherwise and whether at law or in equity) resulting from any error in the calculation of any such rate (or component thereof) as provided by any such information source or service.</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(g) As used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the following terms shall have the meanings specified below:</w:t>
      </w:r>
    </w:p>
    <w:p>
      <w:pPr>
        <w:spacing w:after="0" w:line="11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w:t>
      </w:r>
      <w:r>
        <w:rPr>
          <w:rFonts w:ascii="Times New Roman" w:cs="Times New Roman" w:eastAsia="Times New Roman" w:hAnsi="Times New Roman"/>
          <w:sz w:val="17"/>
          <w:szCs w:val="17"/>
          <w:color w:val="auto"/>
        </w:rPr>
        <w:t xml:space="preserve"> means, initially, with respect to (i) Eurocurrency Rate Loans denominated in Dollars, the Term SOFR, (ii) Eurocurrency Rate Loans denominated in Euros, the EURIBO Screen Rate, (iii) Alternative Currency Daily Rate Loans denominated in Sterling, SONIA or (iv) CORRA Loans, the Term CORRA Reference Rate or Daily Simple CORRA,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Benchmark Transition Event and its related Benchmark Replacement Date have occurred with respect to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right="1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Replacement</w:t>
      </w:r>
      <w:r>
        <w:rPr>
          <w:rFonts w:ascii="Times New Roman" w:cs="Times New Roman" w:eastAsia="Times New Roman" w:hAnsi="Times New Roman"/>
          <w:sz w:val="17"/>
          <w:szCs w:val="17"/>
          <w:color w:val="auto"/>
        </w:rPr>
        <w:t xml:space="preserve">” means, for any Available Tenor, the first alternative set forth below and (where applicable) in the order set forth below for the currency that can be determined by the Administrative Agent for the applicable Benchmark Replacement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any Loans denominated in an Alternate Currency other than Canadian Dollars, “Benchmark Replacement” shall mean the alternative set forth in (2) below:</w:t>
      </w:r>
    </w:p>
    <w:p>
      <w:pPr>
        <w:spacing w:after="0" w:line="62" w:lineRule="exact"/>
        <w:rPr>
          <w:sz w:val="20"/>
          <w:szCs w:val="20"/>
          <w:color w:val="auto"/>
        </w:rPr>
      </w:pPr>
    </w:p>
    <w:p>
      <w:pPr>
        <w:ind w:left="960" w:right="160" w:hanging="532"/>
        <w:spacing w:after="0" w:line="282" w:lineRule="auto"/>
        <w:tabs>
          <w:tab w:leader="none" w:pos="960"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(a)(x) in the case of any Loans denominated in Dollars, Daily Simple SOFR, and (y) in the case of any Loans denominated in Canadian Dollars, Daily Simple CORRA and (b) the related Benchmark Replacement Adjustment;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202" w:name="page203"/>
    <w:bookmarkEnd w:id="202"/>
    <w:p>
      <w:pPr>
        <w:ind w:left="964" w:hanging="532"/>
        <w:spacing w:after="0" w:line="258" w:lineRule="auto"/>
        <w:tabs>
          <w:tab w:leader="none" w:pos="964" w:val="left"/>
        </w:tabs>
        <w:numPr>
          <w:ilvl w:val="0"/>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83"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above would be less than the Floor for the applicable Benchmark, the Benchmark Replacement will be deemed to be the Floor applicable to such Benchmark for the purposes of this Agreement and the other Loan Documents.</w:t>
      </w:r>
    </w:p>
    <w:p>
      <w:pPr>
        <w:spacing w:after="0" w:line="172"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 current Benchmark with an Unadjusted Benchmark Replacement for any applicable Interest Period and Available Tenor for any setting of such Unadjusted Benchmark Replacement:</w:t>
      </w:r>
    </w:p>
    <w:p>
      <w:pPr>
        <w:spacing w:after="0" w:line="64" w:lineRule="exact"/>
        <w:rPr>
          <w:sz w:val="20"/>
          <w:szCs w:val="20"/>
          <w:color w:val="auto"/>
        </w:rPr>
      </w:pPr>
    </w:p>
    <w:p>
      <w:pPr>
        <w:ind w:left="424" w:hanging="424"/>
        <w:spacing w:after="0" w:line="254" w:lineRule="auto"/>
        <w:tabs>
          <w:tab w:leader="none" w:pos="4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97" w:lineRule="exact"/>
        <w:rPr>
          <w:rFonts w:ascii="Times New Roman" w:cs="Times New Roman" w:eastAsia="Times New Roman" w:hAnsi="Times New Roman"/>
          <w:sz w:val="18"/>
          <w:szCs w:val="18"/>
          <w:color w:val="auto"/>
        </w:rPr>
      </w:pPr>
    </w:p>
    <w:p>
      <w:pPr>
        <w:ind w:left="424" w:right="20" w:hanging="424"/>
        <w:spacing w:after="0" w:line="253" w:lineRule="auto"/>
        <w:tabs>
          <w:tab w:leader="none" w:pos="424"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and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U.S. syndicated loan market denominated in the applicable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such adjustment is displayed on a screen or other information service that publishes such Benchmark Replacement Adjustment from time to time as selected by the Administrative Agent in its reasonable discretion.</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4"/>
          </w:cols>
          <w:pgMar w:left="436" w:top="270" w:right="459" w:bottom="1440" w:gutter="0" w:footer="0" w:header="0"/>
        </w:sectPr>
      </w:pPr>
    </w:p>
    <w:bookmarkStart w:id="203" w:name="page204"/>
    <w:bookmarkEnd w:id="203"/>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Benchmark Replacement Conforming Changes</w:t>
      </w:r>
      <w:r>
        <w:rPr>
          <w:rFonts w:ascii="Times New Roman" w:cs="Times New Roman" w:eastAsia="Times New Roman" w:hAnsi="Times New Roman"/>
          <w:sz w:val="17"/>
          <w:szCs w:val="17"/>
          <w:color w:val="auto"/>
        </w:rPr>
        <w:t>” means, with respect to any Benchmark Replacement, any technical, administrative or operational changes (including changes to the definition of “ABR,” the definition of “Canadian Prime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its reasonable discretion (and in 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(and in consultation with the Borrower) that adoption of any portion of such market practice is not administratively feasible or if the Administrative Agent determines in its reasonable discretion (and in consultation with the Borrower) that no market practice for the administration of such Benchmark Replacement exists, in such other manner of administration as the Administrative Agent decides is reasonably necessary (and in consultation with the Borrower) in connection with the administration of this Agreement and the other Loan Documents).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35" w:lineRule="exact"/>
        <w:rPr>
          <w:sz w:val="20"/>
          <w:szCs w:val="20"/>
          <w:color w:val="auto"/>
        </w:rPr>
      </w:pPr>
    </w:p>
    <w:p>
      <w:pPr>
        <w:ind w:left="424" w:right="20" w:hanging="424"/>
        <w:spacing w:after="0" w:line="266"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81" w:lineRule="exact"/>
        <w:rPr>
          <w:rFonts w:ascii="Times New Roman" w:cs="Times New Roman" w:eastAsia="Times New Roman" w:hAnsi="Times New Roman"/>
          <w:sz w:val="18"/>
          <w:szCs w:val="18"/>
          <w:color w:val="auto"/>
        </w:rPr>
      </w:pPr>
    </w:p>
    <w:p>
      <w:pPr>
        <w:ind w:left="424" w:right="720" w:hanging="424"/>
        <w:spacing w:after="0" w:line="282" w:lineRule="auto"/>
        <w:tabs>
          <w:tab w:leader="none" w:pos="424"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date of the public statement or publication of information referenced therein.</w:t>
      </w:r>
    </w:p>
    <w:p>
      <w:pPr>
        <w:spacing w:after="0" w:line="162"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(2)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64" w:lineRule="exact"/>
        <w:rPr>
          <w:sz w:val="20"/>
          <w:szCs w:val="20"/>
          <w:color w:val="auto"/>
        </w:rPr>
      </w:pPr>
    </w:p>
    <w:p>
      <w:pPr>
        <w:ind w:left="424" w:right="140" w:hanging="424"/>
        <w:spacing w:after="0" w:line="258" w:lineRule="auto"/>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88" w:lineRule="exact"/>
        <w:rPr>
          <w:rFonts w:ascii="Times New Roman" w:cs="Times New Roman" w:eastAsia="Times New Roman" w:hAnsi="Times New Roman"/>
          <w:sz w:val="18"/>
          <w:szCs w:val="18"/>
          <w:color w:val="auto"/>
        </w:rPr>
      </w:pPr>
    </w:p>
    <w:p>
      <w:pPr>
        <w:ind w:left="424" w:right="620" w:hanging="424"/>
        <w:spacing w:after="0" w:line="261" w:lineRule="auto"/>
        <w:tabs>
          <w:tab w:leader="none" w:pos="424"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Board or the Federal Reserve Bank of New York, the Term SOFR Administrator, the Term CORRA Administrator, the central bank for the currency applicable to such Benchmark, an insolvency official with jurisdiction over the administrator for such Benchmark (or such component), a</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4"/>
          </w:cols>
          <w:pgMar w:left="436" w:top="266" w:right="459" w:bottom="1440" w:gutter="0" w:footer="0" w:header="0"/>
        </w:sectPr>
      </w:pPr>
    </w:p>
    <w:bookmarkStart w:id="204" w:name="page205"/>
    <w:bookmarkEnd w:id="204"/>
    <w:p>
      <w:pPr>
        <w:ind w:left="42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93" w:lineRule="exact"/>
        <w:rPr>
          <w:sz w:val="20"/>
          <w:szCs w:val="20"/>
          <w:color w:val="auto"/>
        </w:rPr>
      </w:pPr>
    </w:p>
    <w:p>
      <w:pPr>
        <w:ind w:left="424" w:right="80" w:hanging="424"/>
        <w:spacing w:after="0" w:line="261" w:lineRule="auto"/>
        <w:tabs>
          <w:tab w:leader="none" w:pos="424"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representative, or as of a specified date will no longer be representative.</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with respect to any then-current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Simple SOFR</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color w:val="auto"/>
        </w:rPr>
        <w:t>SOFR Rate Day</w:t>
      </w:r>
      <w:r>
        <w:rPr>
          <w:rFonts w:ascii="Times New Roman" w:cs="Times New Roman" w:eastAsia="Times New Roman" w:hAnsi="Times New Roman"/>
          <w:sz w:val="17"/>
          <w:szCs w:val="17"/>
          <w:color w:val="auto"/>
        </w:rPr>
        <w:t>”), a rate per annum equal to the greater of (a) SOFR for the day (such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U.S. Government Securities Business Day immediately following any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the SOFR in respect of such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has not been published on the SOFR Administrator’s Website, then the SOFR for such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xml:space="preserve">” will be the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SOFR determined pursuant to this sentence shall be utilized for purposes of calculation of Daily Simple SOFR for no more than three</w:t>
      </w:r>
    </w:p>
    <w:p>
      <w:pPr>
        <w:spacing w:after="0" w:line="5" w:lineRule="exact"/>
        <w:rPr>
          <w:sz w:val="20"/>
          <w:szCs w:val="20"/>
          <w:color w:val="auto"/>
        </w:rPr>
      </w:pPr>
    </w:p>
    <w:p>
      <w:pPr>
        <w:ind w:left="4" w:right="160" w:hanging="4"/>
        <w:spacing w:after="0" w:line="260" w:lineRule="auto"/>
        <w:tabs>
          <w:tab w:leader="none" w:pos="259"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SOFR Rate Days. Any change in Daily Simple SOFR due to a change in SOFR shall be effective from and including the effective date of such change in SOFR without notice to the Borrower.</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4"/>
          </w:cols>
          <w:pgMar w:left="436" w:top="270" w:right="459" w:bottom="1440" w:gutter="0" w:footer="0" w:header="0"/>
        </w:sectPr>
      </w:pPr>
    </w:p>
    <w:bookmarkStart w:id="205" w:name="page206"/>
    <w:bookmarkEnd w:id="205"/>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the benchmark rate floor, if any, provided in this Agreement initially (or, in the case of other Loans incurred subsequent to the date of this Agreement, any other benchmark rate floor agreed to therefor) (as of the execution of this Agreement, the modification, amendment or renewal of this Agreement or otherwise) with respect to any applicable Benchmark. For the avoidance of doubt, the initial Floor for each of Term SOFR, the EURIBO Screen Rate, SONIA, Term CORRA and Daily Simple CORRA shall be zero.</w:t>
      </w:r>
    </w:p>
    <w:p>
      <w:pPr>
        <w:spacing w:after="0" w:line="176"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shall mean (1) is such Benchmark is Term SOFR, 5:00 a.m. (Chicago time) on the day that is two (2) Business Days preceding the date of such setting, (2) if such Benchmark is the EURIBO Screen Rate, 11:00 a.m. Brussels time two TARGET Days preceding the date of such setting, (3) if such Benchmark is SONIA, then four Business Days prior to such setting, (4) if such Benchmark is the Term CORRA, 1:00 p.m. Toronto local time on the day that is two Business Day preceding the date of such setting, or if such Benchmark is none of the foregoing, the time determined by the Administrative Agent in its reasonable discretion.</w:t>
      </w:r>
    </w:p>
    <w:p>
      <w:pPr>
        <w:spacing w:after="0" w:line="179"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Governmental Body</w:t>
      </w:r>
      <w:r>
        <w:rPr>
          <w:rFonts w:ascii="Times New Roman" w:cs="Times New Roman" w:eastAsia="Times New Roman" w:hAnsi="Times New Roman"/>
          <w:sz w:val="17"/>
          <w:szCs w:val="17"/>
          <w:color w:val="auto"/>
        </w:rPr>
        <w:t>” shall mean (i) with respect to a Benchmark Replacement in respect of Loans denominated in Dollars, the Board, the Federal Reserve Bank of New York or the Term SOFR Administrator, or a committee officially endorsed or convened by the Board or the Federal Reserve Bank of New York, or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w:t>
      </w:r>
    </w:p>
    <w:p>
      <w:pPr>
        <w:spacing w:after="0" w:line="1" w:lineRule="exact"/>
        <w:rPr>
          <w:sz w:val="20"/>
          <w:szCs w:val="20"/>
          <w:color w:val="auto"/>
        </w:rPr>
      </w:pPr>
    </w:p>
    <w:p>
      <w:pPr>
        <w:ind w:left="4" w:right="20" w:hanging="4"/>
        <w:spacing w:after="0" w:line="250" w:lineRule="auto"/>
        <w:tabs>
          <w:tab w:leader="none" w:pos="259"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w:t>
      </w:r>
    </w:p>
    <w:p>
      <w:pPr>
        <w:spacing w:after="0" w:line="1" w:lineRule="exact"/>
        <w:rPr>
          <w:rFonts w:ascii="Times New Roman" w:cs="Times New Roman" w:eastAsia="Times New Roman" w:hAnsi="Times New Roman"/>
          <w:sz w:val="18"/>
          <w:szCs w:val="18"/>
          <w:color w:val="auto"/>
        </w:rPr>
      </w:pPr>
    </w:p>
    <w:p>
      <w:pPr>
        <w:jc w:val="both"/>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4"/>
          </w:cols>
          <w:pgMar w:left="436" w:top="266" w:right="459" w:bottom="1440" w:gutter="0" w:footer="0" w:header="0"/>
        </w:sectPr>
      </w:pPr>
    </w:p>
    <w:bookmarkStart w:id="206" w:name="page207"/>
    <w:bookmarkEnd w:id="206"/>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2.25. </w:t>
      </w:r>
      <w:r>
        <w:rPr>
          <w:rFonts w:ascii="Times New Roman" w:cs="Times New Roman" w:eastAsia="Times New Roman" w:hAnsi="Times New Roman"/>
          <w:sz w:val="18"/>
          <w:szCs w:val="18"/>
          <w:u w:val="single" w:color="auto"/>
          <w:color w:val="auto"/>
        </w:rPr>
        <w:t>MIRE Events</w:t>
      </w:r>
      <w:r>
        <w:rPr>
          <w:rFonts w:ascii="Times New Roman" w:cs="Times New Roman" w:eastAsia="Times New Roman" w:hAnsi="Times New Roman"/>
          <w:sz w:val="18"/>
          <w:szCs w:val="18"/>
          <w:color w:val="auto"/>
        </w:rPr>
        <w:t>. Notwithstanding the foregoing, no Initial Lender shall be required to close any MIRE Event until the date that is (a) if there are no Mortgaged Properties in a “special flood hazard area”, ten Business Days or (b) if there are any Mortgaged Properties in a “special flood hazard area”, thirty days (in each case, the “</w:t>
      </w:r>
      <w:r>
        <w:rPr>
          <w:rFonts w:ascii="Times New Roman" w:cs="Times New Roman" w:eastAsia="Times New Roman" w:hAnsi="Times New Roman"/>
          <w:sz w:val="18"/>
          <w:szCs w:val="18"/>
          <w:b w:val="1"/>
          <w:bCs w:val="1"/>
          <w:color w:val="auto"/>
        </w:rPr>
        <w:t>Notice Period</w:t>
      </w:r>
      <w:r>
        <w:rPr>
          <w:rFonts w:ascii="Times New Roman" w:cs="Times New Roman" w:eastAsia="Times New Roman" w:hAnsi="Times New Roman"/>
          <w:sz w:val="18"/>
          <w:szCs w:val="18"/>
          <w:color w:val="auto"/>
        </w:rPr>
        <w:t xml:space="preserve">”), after the Borrower has delivered to the Administrative Agent (for distribution to the applicable Initial Lenders) the following documents in respect of such real property: (i) a completed flood hazard determination from a third party vendor, (ii) if such real property is located in a “special flood hazard area”, (A) a notification to the applicable Loan Parties of that fact and (if applicable) notification to the applicable Loan Parties that flood insurance coverage is not available and (B) evidence of the receipt by the applicable Loan Parties of such notice and (iii) if required by Flood Insurance Laws, evidence of required flood insurance;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Initial Lender may close such MIRE Event prior to the Notice Period if the Administrative Agent shall have received confirmation from such Initial Lender that such Initial Lender has completed any necessary flood insurance due diligence to its reasonable satisfaction.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On the dates and to the extent required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as applicable, the Borrower and each other Loan Party hereby represent and warrant to the Lenders that:</w:t>
      </w:r>
    </w:p>
    <w:p>
      <w:pPr>
        <w:spacing w:after="0" w:line="5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The Borrower and each of their Restricted Subsidiaries (a) is (i) duly organized and validly existing and (ii) in good standing (to the extent such concept exists in the relevant jurisdiction) under the laws of its jurisdiction of organization, (b) has all requisite organizational power and authority to own its property and assets and to carry on its business as now conducted and (c) is qualified to do business in, and is in good standing (to the extent such concept exists in the relevant jurisdiction) in, every jurisdiction where its ownership, lease or operation of properties or conduct of its business requires such qualification; except, in each case referred to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each case with respect to the Borrower) where the failure to do so, individually or in the aggregate, would not reasonably be expected to result in a Material Adverse Effect.</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execution, delivery and performance by each Loan Party of each Loan Document to which it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execution and delivery of each Loan Document by each Loan Party party thereto and the performance by such Loan Party thereof (a) do not require any consent or approval of, registration or filing with, or any other action by, any Governmental Authority, except (i) such as have been obtained or made and are in full force and effect (except to the extent not required to be obtained or made pursuant to the Collateral and Guarantee Requirement),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Requirements of Law applicable to such Loan Party which, in the case of this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would reasonably be expected to have a Material Adverse Effect and (c) will not violate or result in a default under any material Contractual Obligation in respect of Indebtedness having an aggregate principal amount exceeding the Threshold Amount to which such Loan Party is a party which,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would reasonably be expected to result in a Material Adverse Effect.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207" w:name="page208"/>
    <w:bookmarkEnd w:id="20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3.04. </w:t>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36"/>
        <w:spacing w:after="0" w:line="258" w:lineRule="auto"/>
        <w:tabs>
          <w:tab w:leader="none" w:pos="68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Date, the financial statements most recently provided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present fairly, in all material respects, the financial position, results of operations and cash flows of the Borrower on a consolidated basis as of such dates and for such periods in accordance with GAAP, (x) except as otherwise expressly noted therein, (y) subject, in the case of quarterly financial statements, to the absence of footnotes and normal year-end audit adjustments and (z) except as may be necessary to reflect any differing entity and/or organizational structure prior to giving effect to the Transactions.</w:t>
      </w:r>
    </w:p>
    <w:p>
      <w:pPr>
        <w:spacing w:after="0" w:line="183"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99"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there have been no events, developments or circumstances that have had, or would reasonably be expected to have, individually or in the aggregate, a Material Adverse Effect.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82" w:lineRule="auto"/>
        <w:tabs>
          <w:tab w:leader="none" w:pos="68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(as such Schedule may be updated by the Borrower after the Signing Date and on or prior to the Closing Date) sets forth the address of each Material Real Estate Asset that is owned in fee simple by any Loan Party.</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their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material to the business, except (i) for Permitted Liens, (ii) for defects in title that do not materially interfere with their ability to conduct their business as currently conducted or to utilize such properties and assets for their intended purposes, or (iii) where the failure to have such title or interest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their Restricted Subsidiaries owns or otherwise has a license or right to use all Patents, Trademarks, Copyrights, and other intellectual property rights (“</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necessary for the conduct of its respective business as presently conducted, and, to the knowledge of the Borrower, such IP Rights do not infringe or violate the IP Rights of any third party, except to the extent such failure to own or license or have rights to use would not, or where such infringement or violations would not, reasonably be expected to have, individually or in the aggregate, a Material Adverse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40" w:firstLine="436"/>
        <w:spacing w:after="0" w:line="266" w:lineRule="auto"/>
        <w:tabs>
          <w:tab w:leader="none" w:pos="689"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Borrower, threatened in writing against the Borrower or any of its Restricted Subsidiaries which would reasonably be expected, individually or in the aggregate, to result in a Material Adverse Effect;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matters that, individually or in the aggregate, would not reasonably be expected to result in a Material Adverse Effect,</w:t>
      </w:r>
    </w:p>
    <w:p>
      <w:pPr>
        <w:spacing w:after="0" w:line="27" w:lineRule="exact"/>
        <w:rPr>
          <w:rFonts w:ascii="Times New Roman" w:cs="Times New Roman" w:eastAsia="Times New Roman" w:hAnsi="Times New Roman"/>
          <w:sz w:val="18"/>
          <w:szCs w:val="18"/>
          <w:color w:val="auto"/>
        </w:rPr>
      </w:pPr>
    </w:p>
    <w:p>
      <w:pPr>
        <w:ind w:left="4" w:right="100" w:hanging="4"/>
        <w:spacing w:after="0" w:line="255" w:lineRule="auto"/>
        <w:tabs>
          <w:tab w:leader="none" w:pos="219"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Restricted Subsidiaries has received any Environmental Claim nor, to the knowledge of the Borrower, is any Environmental Claim threatened and (ii) neither the Borrower nor any of its Restricted Subsidiaries is in violation of any Environmental Law or knows of any basis for any liability under Environmental Laws; and</w:t>
      </w:r>
    </w:p>
    <w:p>
      <w:pPr>
        <w:spacing w:after="0" w:line="185"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Restricted Subsidiaries have treated, stored, transported, Released or disposed of any Hazardous Material at or from any currently or formerly owned, leased or operated real estate or facility in a manner that would reasonably be expected to have a Material Adverse Effect.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0984"/>
          </w:cols>
          <w:pgMar w:left="436" w:top="270" w:right="479" w:bottom="1440" w:gutter="0" w:footer="0" w:header="0"/>
        </w:sectPr>
      </w:pPr>
    </w:p>
    <w:bookmarkStart w:id="208" w:name="page209"/>
    <w:bookmarkEnd w:id="208"/>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Borrower and each of their Restricted Subsidiaries are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not apply to any law specifically referenced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required to be registered as an “investment company” under the Investment Company Act of 1940.</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60" w:firstLine="436"/>
        <w:spacing w:after="0" w:line="282" w:lineRule="auto"/>
        <w:tabs>
          <w:tab w:leader="none" w:pos="68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is in compliance with its terms and with ERISA and the Code and all other applicable laws and regulations, except where any failure to comply would not reasonably be expected to result in a Material Adverse Effect.</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3" w:lineRule="auto"/>
        <w:tabs>
          <w:tab w:leader="none" w:pos="685"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to the knowledge of the Borrower, all written factual information (other than the Projections, other forward-looking or projected information, pro forma information and information of a general economic or general industry nature (including any reports or memoranda prepared by third party consultants)) concerning the Borrower and its Restricted Subsidiaries and the Transactions and that was prepared by or on behalf of the Borrower or its Restricted Subsidiaries or their respective representatives and made available to any Initial Lender or the Administrative Agent in connection with the Transactions on or before the Closing Date (the “</w:t>
      </w:r>
      <w:r>
        <w:rPr>
          <w:rFonts w:ascii="Times New Roman" w:cs="Times New Roman" w:eastAsia="Times New Roman" w:hAnsi="Times New Roman"/>
          <w:sz w:val="17"/>
          <w:szCs w:val="17"/>
          <w:b w:val="1"/>
          <w:bCs w:val="1"/>
          <w:color w:val="auto"/>
        </w:rPr>
        <w:t>Information</w:t>
      </w:r>
      <w:r>
        <w:rPr>
          <w:rFonts w:ascii="Times New Roman" w:cs="Times New Roman" w:eastAsia="Times New Roman" w:hAnsi="Times New Roman"/>
          <w:sz w:val="17"/>
          <w:szCs w:val="17"/>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71" w:lineRule="exact"/>
        <w:rPr>
          <w:rFonts w:ascii="Times New Roman" w:cs="Times New Roman" w:eastAsia="Times New Roman" w:hAnsi="Times New Roman"/>
          <w:sz w:val="17"/>
          <w:szCs w:val="17"/>
          <w:color w:val="auto"/>
        </w:rPr>
      </w:pPr>
    </w:p>
    <w:p>
      <w:pPr>
        <w:ind w:right="100" w:firstLine="436"/>
        <w:spacing w:after="0" w:line="281" w:lineRule="auto"/>
        <w:tabs>
          <w:tab w:leader="none" w:pos="695" w:val="left"/>
        </w:tabs>
        <w:numPr>
          <w:ilvl w:val="0"/>
          <w:numId w:val="2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Projections have been prepared in good faith based upon assumptions believed by the Borrower to be reasonable at the time furnished (it being recognized that such Projections are not to be viewed as a guarantee of financial performance or as facts and are subject to significant uncertainties and contingencies many of which are beyond the Borrower’s control, that no assurance can be given that any particular financial projections (including the Projections) will be realized, that actual results may differ from projected results and that such differences may be material). </w:t>
      </w:r>
    </w:p>
    <w:p>
      <w:pPr>
        <w:spacing w:after="0" w:line="164"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the Beneficial Ownership Certification is true and correct in all material respects.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0980"/>
          </w:cols>
          <w:pgMar w:left="440" w:top="270" w:right="479" w:bottom="1440" w:gutter="0" w:footer="0" w:header="0"/>
        </w:sectPr>
      </w:pPr>
    </w:p>
    <w:bookmarkStart w:id="209" w:name="page210"/>
    <w:bookmarkEnd w:id="209"/>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immediately after the consummation of the Transactions to occur on the Closing Date and the incurrence of indebtedness and obligations on the Closing Date in connection with this Agreement and the Transactions, (i) the sum of the debt (including contingent liabilities) of the Borrower and its Subsidiaries, taken as a whole, does not exceed the fair value of the assets of the Borrower and its Subsidiaries, taken as a whole, (ii) the capital of the Borrower and its Subsidiaries, taken as a whole, is not unreasonably small in relation to the business of the Borrower and its Subsidiaries, taken as a whole, contemplated as of the Closing Date and (iii) the Borrower and its Subsidiaries, taken as a whole, do not intend to incur, or believe that they will incur, debts (including current obligations and contingent liabilities) beyond their ability to pay such debts (taking into account any refinancing thereof)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liability meets the criteria for accrual under Statement of Financial Accounting Standards No. 5).</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xml:space="preserve">. Subject to the Legal Reservations and the Perfection Requirements, the provisions, limitations and/or exceptions set forth in this Agreement and/or the other relevant Loan Documents (including any Acceptable Intercreditor Agreement), the Collateral Documents create legal, valid and enforceable Liens on all of the Collateral described therein in favor of the Collateral Agent, for the benefit of itself and the other Secured Parties, and upon the satisfaction of the applicable Perfection Requirements, such Liens constitute perfected Liens (with the priority such Liens are expressed to have within the relevant Collateral Documents) on the Collateral (to the extent such Liens are required to be perfected under the terms of the Loan Documents) securing the Obligations, in each case as and to the extent set forth therein. For the avoidance of doubt, notwithstanding anything herein or in any other Loan Document to the contrary, neither the Borrower nor any other Loan Party makes any representation or warranty (other than any representation or warranty expressly made in such Loan Document) as to (A) the effects of perfection or non-perfection, the priority or the enforceability of any pledge of or security interest in any Capital Stock of any Subsidiary, or as to the rights and remedies of the Collateral Agent, the Administrative Agent or any Lender with respect thereto, under foreign Requirements of Law, (B) the enforcement of any security interest or right or remedy with respect to any Collateral that may be limited or restricted by, or require any consent, authorization, approval or license under, any Requirement of Law, (C) on the Closing Date and until required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as applicable, the pledge or creation of any security interest, or the effects of perfection or non-perfection, the priority or enforceability of any pledge or security interest to the extent the same is not required on the Closing Date or (D) any Excluded Asset.</w:t>
      </w:r>
    </w:p>
    <w:p>
      <w:pPr>
        <w:spacing w:after="0" w:line="197"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As of the Closing Date, except as individually or in the aggregate would not reasonably be expected to have a Material Adverse Effect: (a) there are no strikes, lockouts or slowdowns against the Borrower or any of their Restricted Subsidiaries pending or, to the knowledge of the Borrower or any of its Restricted Subsidiaries, threatened in writing and (b) the hours worked by and payments made to employees of the Borrower and its Restricted Subsidiaries have not been in violation of the Fair Labor Standards Act or any other applicable federal, state, local or foreign law dealing with such matters.</w:t>
      </w:r>
    </w:p>
    <w:p>
      <w:pPr>
        <w:spacing w:after="0" w:line="183"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3.16. </w:t>
      </w:r>
      <w:r>
        <w:rPr>
          <w:rFonts w:ascii="Times New Roman" w:cs="Times New Roman" w:eastAsia="Times New Roman" w:hAnsi="Times New Roman"/>
          <w:sz w:val="17"/>
          <w:szCs w:val="17"/>
          <w:u w:val="single" w:color="auto"/>
          <w:color w:val="auto"/>
        </w:rPr>
        <w:t>Federal Reserve Regulations</w:t>
      </w:r>
      <w:r>
        <w:rPr>
          <w:rFonts w:ascii="Times New Roman" w:cs="Times New Roman" w:eastAsia="Times New Roman" w:hAnsi="Times New Roman"/>
          <w:sz w:val="17"/>
          <w:szCs w:val="17"/>
          <w:color w:val="auto"/>
        </w:rPr>
        <w:t>. No part of the proceeds of any Loan or any Letter of Credit will be used, whether directly or indirectly, and whether immediately, incidentally or ultimately, for any purpose that results in a violation of the provisions of Regulation U and Regulation X.</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210" w:name="page211"/>
    <w:bookmarkEnd w:id="2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USA PATRIOT Act, Sanctions and 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77" w:lineRule="auto"/>
        <w:tabs>
          <w:tab w:leader="none" w:pos="685" w:val="left"/>
        </w:tabs>
        <w:numPr>
          <w:ilvl w:val="0"/>
          <w:numId w:val="2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Neither the Borrower nor any of its Subsidiaries, nor, to the knowledge of the Borrower, any director or officer of any of the Borrower or any of its Subsidiaries, or any agent or employee of the Borrower or any of its Subsidiaries that will act in any capacity in connection with this Agreement, is a Sanctioned Person; and (ii) the Borrower will not directly or, to its knowledge, indirectly, use the proceeds of the Loans or Letters of Credit or otherwise make available such proceeds to any Sanctioned Person, for the purpose of financing the activities of any Sanctioned Person, or in any Sanctioned Country, in each case in any manner that would result in the violation of applicable Sanctions by any Person party to this Agreement.</w:t>
      </w:r>
    </w:p>
    <w:p>
      <w:pPr>
        <w:spacing w:after="0" w:line="167"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USA PATRIOT Act and applicable Sanctions and anti-corruption laws in all material respects.</w:t>
      </w:r>
    </w:p>
    <w:p>
      <w:pPr>
        <w:spacing w:after="0" w:line="225" w:lineRule="exact"/>
        <w:rPr>
          <w:rFonts w:ascii="Times New Roman" w:cs="Times New Roman" w:eastAsia="Times New Roman" w:hAnsi="Times New Roman"/>
          <w:sz w:val="18"/>
          <w:szCs w:val="18"/>
          <w:color w:val="auto"/>
        </w:rPr>
      </w:pPr>
    </w:p>
    <w:p>
      <w:pPr>
        <w:jc w:val="both"/>
        <w:ind w:right="160" w:firstLine="436"/>
        <w:spacing w:after="0" w:line="261" w:lineRule="auto"/>
        <w:tabs>
          <w:tab w:leader="none" w:pos="685"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any Loan or any Letter of Credit will be used, directly or, to the knowledge of the Borrower, indirectly, for any payments to any governmental official or employee, political party, official of a political party, candidate for political office, or any other person or entity, in order to obtain, retain or direct business or obtain any improper advantage, in violation of the U.S. Foreign Corrupt Practices Act of 1977 or any other applicable anti-corruption law.</w:t>
      </w:r>
    </w:p>
    <w:p>
      <w:pPr>
        <w:spacing w:after="0" w:line="180"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representations and warranties set forth in this Section made by or on behalf of any Foreign Subsidiary are subject to and limited by any Requirements of Law applicable to such Foreign Subsidiary; it being understood and agreed that to the extent that any Foreign Subsidiary is unable to make any representation or warranty set forth in this Section as a result of the application of this sentence, such Foreign Subsidiary shall be deemed to have represented and warranted that it is in compliance, in all material respects, with any equivalent Requirements of Law relating to anti-corruption or Sanctions that are applicable to such Foreign Subsidiary in its relevant local jurisdiction of organization.</w:t>
      </w:r>
    </w:p>
    <w:p>
      <w:pPr>
        <w:spacing w:after="0" w:line="3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xml:space="preserve"> This Agreement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0" w:firstLine="436"/>
        <w:spacing w:after="0" w:line="266"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The Administrative Agent (or its counsel) shall have received from the Borrower a counterpart signed by the Borrower (or written evidence reasonably satisfactory to the Administrative Agent (which may include a copy transmitted by electronic method) that the Borrower has signed a counterpart) of this Agreement.</w:t>
      </w:r>
    </w:p>
    <w:p>
      <w:pPr>
        <w:spacing w:after="0" w:line="175"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The Administrative Agent (or its counsel) shall have received, on behalf of itself, the Lenders and each Issuing Bank on the Signing Date, (i) a customary written opinion of Davis Polk &amp; Wardwell LLP, in its capacity as special New York counsel to the Borrower, and (ii) a customary written opinion of counsel to the Borrower (which may be an in-house counsel), in each case, addressed to the Administrative Agent and such Lenders and such Issuing Banks.</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 Certified Charters; Good Standing Certificate</w:t>
      </w:r>
      <w:r>
        <w:rPr>
          <w:rFonts w:ascii="Times New Roman" w:cs="Times New Roman" w:eastAsia="Times New Roman" w:hAnsi="Times New Roman"/>
          <w:sz w:val="18"/>
          <w:szCs w:val="18"/>
          <w:color w:val="auto"/>
        </w:rPr>
        <w:t>. The Administrative Agent (or its counsel) shall have received (i) a certificate of (or on behalf of) the Borrower, dated as of the Signing Date, and executed by a secretary, assistant secretary or other senior officer (as the case may be) thereof, which shall (A) certify that attached thereto is a true and complete copy of the resolutions or written consents of its shareholders, board of directors or other similar governing body authorizing the execution, delivery and performance of the Loan Documents to which it is a party and the borrowings and issuance of Promissory Notes (if any) hereunder, and that such resolutions or written consents have not been modified, rescinded or amended (other than as attached thereto) and are in full force and effect as of the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00"/>
          </w:cols>
          <w:pgMar w:left="440" w:top="270" w:right="559" w:bottom="1440" w:gutter="0" w:footer="0" w:header="0"/>
        </w:sectPr>
      </w:pPr>
    </w:p>
    <w:bookmarkStart w:id="211" w:name="page212"/>
    <w:bookmarkEnd w:id="211"/>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Organizational Documents of the Borrower authorize the execution, delivery and performance of the Loan Documents to which it is a party without any such resolution or written consent, such resolution or written consent need not be attached to such certificate), (B) identify by name and title and bear the signatures of (x) the officers, managers, directors or authorized signatories of the Borrower authorized to sign the Loan Documents to which it is a party or (y) the individuals to whom such officers, managers, directors or authorized signatories of such Loan Party have granted powers of attorney to sign the Loan Documents to which the Borrower is a party and (C) certify (x) that attached thereto is a true and complete copy of the certificate or articles of incorporation (or other equivalent thereof) of the Borrower certified by the relevant authority of the jurisdiction of incorporation of the Borrower and a true and correct copy of its by-laws and (y) that such documents or agreements have not been amended as of the Signing Date (except as otherwise attached to such certificate and certified therein as being the only amendments thereto as of such date) and (ii) a good standing (or equivalent) certificate (if applicable) as of a recent date prior to the Signing Date for the Borrower from the relevant authority of its jurisdiction of incorporation.</w:t>
      </w:r>
    </w:p>
    <w:p>
      <w:pPr>
        <w:spacing w:after="0" w:line="194" w:lineRule="exact"/>
        <w:rPr>
          <w:sz w:val="20"/>
          <w:szCs w:val="20"/>
          <w:color w:val="auto"/>
        </w:rPr>
      </w:pPr>
    </w:p>
    <w:p>
      <w:pPr>
        <w:ind w:left="4" w:right="100" w:firstLine="436"/>
        <w:spacing w:after="0" w:line="255" w:lineRule="auto"/>
        <w:tabs>
          <w:tab w:leader="none" w:pos="699"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No later than two Business Days in advance of the Signing Date, the Administrative Agent shall have received all documentation and other information reasonably requested in writing by the Administrative Agent with respect to the Borrower at least ten Business Days in advance of the Signing Date, which documentation or other information is required by U.S. regulatory authorities under applicable “know your customer” and anti-money laundering rules and regulations, including the USA PATRIOT Act (including if the Borrower qualifies as a “legal entity customer” under the “Beneficial Ownership Regulations” (31 CFR §1010.230), a Beneficial Ownership Certification in relation to the Borrower). “Beneficial Ownership Certification” means a certification regarding individual beneficial ownership solely to the extent required by 31 CFR §1010.230.</w:t>
      </w:r>
    </w:p>
    <w:p>
      <w:pPr>
        <w:spacing w:after="0" w:line="189"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whether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have been satisfied on the Signing Date, by executing this Agreement, the Administrative Agent and each Lender and each Issuing Bank that has executed this Agreement shall be deemed to have consented to, approved or accepted, or to be satisfied with, each document or other matter required hereunder to be consented to or approved by or acceptable or satisfactory to the Administrative Agent or such Lender or such Issuing Bank, as the case may be.</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to the contrary, the obligations of (i) each Lender to make Loans and</w:t>
      </w:r>
    </w:p>
    <w:p>
      <w:pPr>
        <w:spacing w:after="0" w:line="27" w:lineRule="exact"/>
        <w:rPr>
          <w:sz w:val="20"/>
          <w:szCs w:val="20"/>
          <w:color w:val="auto"/>
        </w:rPr>
      </w:pPr>
    </w:p>
    <w:p>
      <w:pPr>
        <w:ind w:left="4" w:right="40" w:hanging="4"/>
        <w:spacing w:after="0" w:line="260" w:lineRule="auto"/>
        <w:tabs>
          <w:tab w:leader="none" w:pos="269"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Issuing Bank to issue Letters of Credit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Signing Date</w:t>
      </w:r>
      <w:r>
        <w:rPr>
          <w:rFonts w:ascii="Times New Roman" w:cs="Times New Roman" w:eastAsia="Times New Roman" w:hAnsi="Times New Roman"/>
          <w:sz w:val="18"/>
          <w:szCs w:val="18"/>
          <w:color w:val="auto"/>
        </w:rPr>
        <w:t>. The Signing Date shall have occurred.</w:t>
      </w:r>
    </w:p>
    <w:p>
      <w:pPr>
        <w:spacing w:after="0" w:line="225" w:lineRule="exact"/>
        <w:rPr>
          <w:rFonts w:ascii="Times New Roman" w:cs="Times New Roman" w:eastAsia="Times New Roman" w:hAnsi="Times New Roman"/>
          <w:sz w:val="18"/>
          <w:szCs w:val="18"/>
          <w:color w:val="auto"/>
        </w:rPr>
      </w:pPr>
    </w:p>
    <w:p>
      <w:pPr>
        <w:ind w:left="4" w:firstLine="436"/>
        <w:spacing w:after="0" w:line="261" w:lineRule="auto"/>
        <w:tabs>
          <w:tab w:leader="none" w:pos="699"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The Administrative Agent (or its counsel) shall have received from each Loan Party party thereto (i) a counterpart signed by each such Loan Party (or written evidence reasonably satisfactory to the Administrative Agent (which may include a copy transmitted by electronic method) that such party has signed a counterpart) of (A) in the case of each Loan Party as of the Closing Date (other than the Borrower), the Counterpart Agreement and (B) the Security Agreement and (ii)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80" w:firstLine="436"/>
        <w:spacing w:after="0" w:line="258" w:lineRule="auto"/>
        <w:tabs>
          <w:tab w:leader="none" w:pos="689"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Administrative Agent (or its counsel) shall have received, on behalf of itself, the Lenders and each Issuing Bank on the Closing Date, (i) a customary written opinion of Davis Polk &amp; Wardwell LLP, in its capacity as special New York counsel to the Loan Parties, and (ii) a customary written opinion of each other special counsel to the Loan Parties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(as such Schedule may be updated by the Borrower with the consent of the Administrative Agent after the Signing Date and on or prior to the Closing Date), in each case, addressed to the Administrative Agent and such Lenders and such Issuing Banks.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4"/>
          </w:cols>
          <w:pgMar w:left="436" w:top="270" w:right="459" w:bottom="1440" w:gutter="0" w:footer="0" w:header="0"/>
        </w:sectPr>
      </w:pPr>
    </w:p>
    <w:bookmarkStart w:id="212" w:name="page213"/>
    <w:bookmarkEnd w:id="212"/>
    <w:p>
      <w:pPr>
        <w:ind w:left="4" w:firstLine="436"/>
        <w:spacing w:after="0" w:line="252" w:lineRule="auto"/>
        <w:tabs>
          <w:tab w:leader="none" w:pos="69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Certificates; Certified Charters; Good Standing Certificates</w:t>
      </w:r>
      <w:r>
        <w:rPr>
          <w:rFonts w:ascii="Times New Roman" w:cs="Times New Roman" w:eastAsia="Times New Roman" w:hAnsi="Times New Roman"/>
          <w:sz w:val="18"/>
          <w:szCs w:val="18"/>
          <w:color w:val="auto"/>
        </w:rPr>
        <w:t>. The Administrative Agent (or its counsel) shall have received (i) a certificate of (or on behalf of) each Loan Party (other than the Borrower), dated as of the Closing Date, and executed by a secretary, assistant secretary or other senior officer (as the case may be) thereof, which shall (A) certify that attached thereto is a true and complete copy of the resolutions or written consents of its shareholders, board of directors, board of managers, members or other similar governing body authorizing the execution, delivery and performance of the Loan Documents to which it is a party, and that such resolutions or written consents have not been modified, rescinded or amended (other than as attached thereto) and are in full force and effect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Organizational Documents of a Loan Party authorize the execution, delivery and performance of the Loan Documents to which it is a party without any such resolution or written consent, such resolution or written consent need not be attached to such certificate), (B) identify by name and title and bear the signatures of (x) the officers, managers, directors or authorized signatories of such Loan Party authorized to sign the Loan Documents to which it is a party on the Closing Date, or (y) the individuals to whom such officers, managers, directors or authorized signatories of such Loan Party have granted powers of attorney to sign the Loan Documents to which such Loan Party is a party and (C) certify (x) that attached thereto is a true and complete copy of the certificate or articles of incorporation or organization (or memorandum of association or other equivalent thereof) of such Loan Party certified by the relevant authority of the jurisdiction of organization of such Loan Party and a true and correct copy of its by-laws or operating, management, partnership or similar agreement and (y) that such documents or agreements have not been amended as of the Closing Date (except as otherwise attached to such certificate and certified therein as being the only amendments thereto as of such date) and (ii) a good standing (or equivalent) certificate (if applicable) as of a recent date prior to the Closing Date for such Loan Party from the relevant authority of its jurisdiction of organization.</w:t>
      </w:r>
    </w:p>
    <w:p>
      <w:pPr>
        <w:spacing w:after="0" w:line="194"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89"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Specified Representations shall be true and correct in all material respects on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Specified Representation which expressly relates to a given date or period, such representation and warranty shall be true and correct in all material respects as of the respective date or for the respective period, as the case may be.</w:t>
      </w:r>
    </w:p>
    <w:p>
      <w:pPr>
        <w:spacing w:after="0" w:line="17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Prior to or substantially concurrently with the funding of the Initial Term Loans hereunder, the Administrative Agent shall have received</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required to be paid by the Borrowers on the Closing Date pursuant to the Fee Letters and (ii) all expenses required to be paid by the Borrowers for which invoices have been presented at least three Business Days prior to the Closing Date (including the reasonable and documented fees and expenses of legal counsel for the Administrative Agent that are payable under the engagement letter entered into between the Arrangers and the Borrower with respect to the Credit Facilities), in each case on or before the Closing Date, which amounts, in the Borrowers’ sole discretion, may be offset against the proceeds of the Loans or may be paid from the proceeds of the Initial Term Loans.</w:t>
      </w:r>
    </w:p>
    <w:p>
      <w:pPr>
        <w:spacing w:after="0" w:line="186"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The Administrative Agent (or its counsel) shall have received a certificate dated as of the Closing Date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from the chief financial officer (or other officer with reasonably equivalent responsibilities) of the Borrower certifying as to the matters set forth therein (or, at the option of the Borrower, a third-party opinion as to the solvency of the Borrower and its subsidiaries on a consolidated basis issued by a nationally recognized firm).</w:t>
      </w:r>
    </w:p>
    <w:p>
      <w:pPr>
        <w:spacing w:after="0" w:line="17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Subject to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Administrative Agent (or its counsel) shall have received a completed Perfection Certificate dated the Closing Date and signed by a Responsible Officer of each Loan Party (or by the Borrower on behalf of each Loan Party), together with all attachments contemplated thereby.</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64"/>
          </w:cols>
          <w:pgMar w:left="436" w:top="270" w:right="499" w:bottom="1440" w:gutter="0" w:footer="0" w:header="0"/>
        </w:sectPr>
      </w:pPr>
    </w:p>
    <w:bookmarkStart w:id="213" w:name="page214"/>
    <w:bookmarkEnd w:id="213"/>
    <w:p>
      <w:pPr>
        <w:ind w:right="40" w:firstLine="436"/>
        <w:spacing w:after="0" w:line="258"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Pledged Stock; Stock Powers; Pledged Notes</w:t>
      </w:r>
      <w:r>
        <w:rPr>
          <w:rFonts w:ascii="Times New Roman" w:cs="Times New Roman" w:eastAsia="Times New Roman" w:hAnsi="Times New Roman"/>
          <w:sz w:val="18"/>
          <w:szCs w:val="18"/>
          <w:color w:val="auto"/>
        </w:rPr>
        <w:t xml:space="preserve">. Subject to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Administrative Agent (or its counsel or bailee) shall have received (i) the certificates representing the Capital Stock required to be pledged pursuant to the Security Agreement, together with an undated stock or similar power for each such certificate executed in blank by a duly authorized officer of the pledgor thereof and (ii) each Material Debt Instrument (if any) required to be pledged pursuant to the Security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18"/>
          <w:szCs w:val="18"/>
          <w:color w:val="auto"/>
        </w:rPr>
      </w:pPr>
    </w:p>
    <w:p>
      <w:pPr>
        <w:ind w:right="140" w:firstLine="436"/>
        <w:spacing w:after="0" w:line="261"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xml:space="preserve">. Subject to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each document (including any UCC financing statement) required by any Collateral Document or under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spacing w:after="0" w:line="179"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No later than two Business Days in advance of the Closing Date, the Administrative Agent shall have received all documentation and other information reasonably requested in writing by the Administrative Agent with respect to any Loan Party (other than the Borrower) at least ten Business Days in advance of the Closing Date, which documentation or other information is required by U.S. regulatory authorities under applicable “know your customer” and anti-money laundering rules and regulations, including the USA PATRIOT Act (including if the Borrower qualifies as a “legal entity customer” under the “Beneficial Ownership Regulations” (31 CFR §1010.230), a Beneficial Ownership Certification in relation to the Borrower). “Beneficial Ownership Certification” means a certification regarding individual beneficial ownership solely to the extent required by 31 CFR §1010.230.</w:t>
      </w:r>
    </w:p>
    <w:p>
      <w:pPr>
        <w:spacing w:after="0" w:line="188" w:lineRule="exact"/>
        <w:rPr>
          <w:rFonts w:ascii="Times New Roman" w:cs="Times New Roman" w:eastAsia="Times New Roman" w:hAnsi="Times New Roman"/>
          <w:sz w:val="18"/>
          <w:szCs w:val="18"/>
          <w:color w:val="auto"/>
        </w:rPr>
      </w:pPr>
    </w:p>
    <w:p>
      <w:pPr>
        <w:ind w:right="380" w:firstLine="436"/>
        <w:spacing w:after="0" w:line="266" w:lineRule="auto"/>
        <w:tabs>
          <w:tab w:leader="none" w:pos="65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The Restructuring, the Borrower Distribution and the Distribution shall have been or shall be consummated prior to or substantially contemporaneously with the Closing Date, in all material respects in accordance with the Form 10 and the Separation and Distribution Agreement.</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74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Administrative Agent (or its counsel) shall have received a certificate of a Responsible Officer of the Borrower, dated the Closing Date, which shall certify the matters set forth in </w:t>
      </w:r>
      <w:r>
        <w:rPr>
          <w:rFonts w:ascii="Times New Roman" w:cs="Times New Roman" w:eastAsia="Times New Roman" w:hAnsi="Times New Roman"/>
          <w:sz w:val="18"/>
          <w:szCs w:val="18"/>
          <w:u w:val="single" w:color="auto"/>
          <w:color w:val="auto"/>
        </w:rPr>
        <w:t>Sections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0" w:firstLine="440"/>
        <w:spacing w:after="0" w:line="281" w:lineRule="auto"/>
        <w:rPr>
          <w:sz w:val="20"/>
          <w:szCs w:val="20"/>
          <w:color w:val="auto"/>
        </w:rPr>
      </w:pPr>
      <w:r>
        <w:rPr>
          <w:rFonts w:ascii="Times New Roman" w:cs="Times New Roman" w:eastAsia="Times New Roman" w:hAnsi="Times New Roman"/>
          <w:sz w:val="17"/>
          <w:szCs w:val="17"/>
          <w:color w:val="auto"/>
        </w:rPr>
        <w:t xml:space="preserve">For purposes of determining whether the conditions specified in this </w:t>
      </w:r>
      <w:r>
        <w:rPr>
          <w:rFonts w:ascii="Times New Roman" w:cs="Times New Roman" w:eastAsia="Times New Roman" w:hAnsi="Times New Roman"/>
          <w:sz w:val="17"/>
          <w:szCs w:val="17"/>
          <w:u w:val="single" w:color="auto"/>
          <w:color w:val="auto"/>
        </w:rPr>
        <w:t>Section 4.02</w:t>
      </w:r>
      <w:r>
        <w:rPr>
          <w:rFonts w:ascii="Times New Roman" w:cs="Times New Roman" w:eastAsia="Times New Roman" w:hAnsi="Times New Roman"/>
          <w:sz w:val="17"/>
          <w:szCs w:val="17"/>
          <w:color w:val="auto"/>
        </w:rPr>
        <w:t xml:space="preserve"> have been satisfied on the Closing Date, by funding the Loans hereunder, the Administrative Agent and each Lender and each Issuing Bank that has executed this Agreement (or an Assignment and Assumption on the Closing Date) shall be deemed to have consented to, approved or accepted, or to be satisfied with, each document or other matter required hereunder to be consented to or approved by or acceptable or satisfactory to the Administrative Agent or such Lender or such Issuing Bank, as the case may be.</w:t>
      </w:r>
    </w:p>
    <w:p>
      <w:pPr>
        <w:spacing w:after="0" w:line="164"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any Lien search or Collateral (including the creation or perfection of any security interest) is not or cannot be provided on the Closing Date (other than a Lien on Collateral of any Loan Party that may be perfected solely by the filing of a financing statement under the UCC) after the Borrower’s use of commercially reasonable efforts to do so without undue burden or expense, then the provision of any such Lien search and/or the provision and/or perfection of such Collateral shall not constitute a condition precedent to the availability and initial funding of the Loans on the Closing Date but may, if required, instead be delivered and/or perfected 90 days (or, in the case of real property and related fixtures, 120 days) after the Closing Date pursuant to arrangements to be mutually agreed between the Borrower and the Administrative Agent and subject to extensions as are reasonably agreed by the Administrative Agent.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214" w:name="page215"/>
    <w:bookmarkEnd w:id="214"/>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4.03. </w:t>
      </w:r>
      <w:r>
        <w:rPr>
          <w:rFonts w:ascii="Times New Roman" w:cs="Times New Roman" w:eastAsia="Times New Roman" w:hAnsi="Times New Roman"/>
          <w:sz w:val="18"/>
          <w:szCs w:val="18"/>
          <w:u w:val="single" w:color="auto"/>
          <w:color w:val="auto"/>
        </w:rPr>
        <w:t>Each Credit Extension</w:t>
      </w:r>
      <w:r>
        <w:rPr>
          <w:rFonts w:ascii="Times New Roman" w:cs="Times New Roman" w:eastAsia="Times New Roman" w:hAnsi="Times New Roman"/>
          <w:sz w:val="18"/>
          <w:szCs w:val="18"/>
          <w:color w:val="auto"/>
        </w:rPr>
        <w:t xml:space="preserve">. After the Closing Date, the obligation of each Revolving Lender to make a Credit Extension (which, for the avoidance of doubt (including for purposes of the last paragraph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but not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shall not include (A) any Incremental Loans and/or (B) any Credit Extension under any Incremental Facility Amendment, Refinancing Amendment and/or Extension Amendment, in each case to the extent not otherwise required by the lenders in respect of thereof) is subject solely to the satisfaction of the following conditions:</w:t>
      </w:r>
    </w:p>
    <w:p>
      <w:pPr>
        <w:spacing w:after="0" w:line="183" w:lineRule="exact"/>
        <w:rPr>
          <w:sz w:val="20"/>
          <w:szCs w:val="20"/>
          <w:color w:val="auto"/>
        </w:rPr>
      </w:pPr>
    </w:p>
    <w:p>
      <w:pPr>
        <w:ind w:left="4" w:firstLine="436"/>
        <w:spacing w:after="0" w:line="261" w:lineRule="auto"/>
        <w:tabs>
          <w:tab w:leader="none" w:pos="68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case of a Borrowing, the Administrative Agent shall have received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(ii) in the case of the issuance of a Letter of Credit, the applicable Issuing Bank and the Administrative Agent shall have received a notice requesting the issuance of such Letter of Credit as required by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or (iii) in the case of a Borrowing of Swingline Loans, the Swingline Lender and the Administrative Agent shall have received a request as required by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40" w:firstLine="436"/>
        <w:spacing w:after="0" w:line="257" w:lineRule="auto"/>
        <w:tabs>
          <w:tab w:leader="none" w:pos="69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and excluding, after the Closing Date, the representations and warranties set forth in</w:t>
      </w:r>
    </w:p>
    <w:p>
      <w:pPr>
        <w:spacing w:after="0" w:line="1" w:lineRule="exact"/>
        <w:rPr>
          <w:rFonts w:ascii="Times New Roman" w:cs="Times New Roman" w:eastAsia="Times New Roman" w:hAnsi="Times New Roman"/>
          <w:sz w:val="18"/>
          <w:szCs w:val="18"/>
          <w:color w:val="auto"/>
        </w:rPr>
      </w:pPr>
    </w:p>
    <w:p>
      <w:pPr>
        <w:ind w:left="4"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representation and warranty specifically refers to a given date or period, it shall be true and correct in all material respects as of such date or for such period.</w:t>
      </w:r>
    </w:p>
    <w:p>
      <w:pPr>
        <w:spacing w:after="0" w:line="181"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89"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applicable Credit Extension, no Event of Default or Default shall have occurred and be continuing.</w:t>
      </w:r>
    </w:p>
    <w:p>
      <w:pPr>
        <w:spacing w:after="0" w:line="162" w:lineRule="exact"/>
        <w:rPr>
          <w:sz w:val="20"/>
          <w:szCs w:val="20"/>
          <w:color w:val="auto"/>
        </w:rPr>
      </w:pPr>
    </w:p>
    <w:p>
      <w:pPr>
        <w:ind w:left="4" w:right="8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the introduction to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each Credit Extension after the Closing Date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w:t>
      </w:r>
    </w:p>
    <w:p>
      <w:pPr>
        <w:spacing w:after="0" w:line="37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From the Closing Date until the date on which all Commitments have expired or terminated and the principal of and interest on each Loan and all fees, expenses and other Loan Document Obligations payable under any Loan Document (other than contingent indemnification obligations for which no claim or demand has been made) have been paid in full in Cash and all Letters of Credit have expired or have been terminated (or have been</w:t>
      </w:r>
    </w:p>
    <w:p>
      <w:pPr>
        <w:spacing w:after="0" w:line="1" w:lineRule="exact"/>
        <w:rPr>
          <w:sz w:val="20"/>
          <w:szCs w:val="20"/>
          <w:color w:val="auto"/>
        </w:rPr>
      </w:pPr>
    </w:p>
    <w:p>
      <w:pPr>
        <w:ind w:left="264" w:hanging="264"/>
        <w:spacing w:after="0"/>
        <w:tabs>
          <w:tab w:leader="none" w:pos="264"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collateralized or back-stopped by a letter of credit or otherwise in a manner reasonably satisfactory to the Administrative Agent and the relevant</w:t>
      </w:r>
    </w:p>
    <w:p>
      <w:pPr>
        <w:spacing w:after="0" w:line="9" w:lineRule="exact"/>
        <w:rPr>
          <w:rFonts w:ascii="Times New Roman" w:cs="Times New Roman" w:eastAsia="Times New Roman" w:hAnsi="Times New Roman"/>
          <w:sz w:val="18"/>
          <w:szCs w:val="18"/>
          <w:color w:val="auto"/>
        </w:rPr>
      </w:pPr>
    </w:p>
    <w:p>
      <w:pPr>
        <w:jc w:val="both"/>
        <w:ind w:left="4"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Bank or (y) deemed reissued under another agreement in a manner reasonably satisfactory to the Administrative Agent and the relevant Issuing Bank) and all LC Disbursements have been reimbursed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the Borrower and each other Loan Party hereby covenant and agree with the Lenders that:</w:t>
      </w:r>
    </w:p>
    <w:p>
      <w:pPr>
        <w:spacing w:after="0" w:line="78"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xml:space="preserve">. The Borrower will deliver to the Administrative Agent, for delivery by the Administrative Agent, 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to each Lender:</w:t>
      </w:r>
    </w:p>
    <w:p>
      <w:pPr>
        <w:spacing w:after="0" w:line="54" w:lineRule="exact"/>
        <w:rPr>
          <w:sz w:val="20"/>
          <w:szCs w:val="20"/>
          <w:color w:val="auto"/>
        </w:rPr>
      </w:pPr>
    </w:p>
    <w:p>
      <w:pPr>
        <w:ind w:left="4" w:right="180" w:firstLine="436"/>
        <w:spacing w:after="0" w:line="282" w:lineRule="auto"/>
        <w:tabs>
          <w:tab w:leader="none" w:pos="689"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Within 60 days after the end of each of the first three Fiscal Quarters of each Fiscal Year, commencing with the first Fiscal Quarter ending after the Closing</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0944"/>
          </w:cols>
          <w:pgMar w:left="436" w:top="270" w:right="519" w:bottom="1440" w:gutter="0" w:footer="0" w:header="0"/>
        </w:sectPr>
      </w:pPr>
    </w:p>
    <w:bookmarkStart w:id="215" w:name="page216"/>
    <w:bookmarkEnd w:id="215"/>
    <w:p>
      <w:pPr>
        <w:ind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Date (or, in each case, such later date not to exceed 45 days from the applicable due date, as the Administrative Agent may agree in its reasonable discretion) (i) the unaudited consolidated balance sheet of the Borrower as at the end of such Fiscal Quarter and the related (a) unaudited consolidated statement of income or operations of the Borrower for such Fiscal Quarter and for the period from the beginning of the then current Fiscal Year to the end of such Fiscal Quarter and (b) unaudited consolidated statement of cash flows of the Borrower for the period from the beginning of the then current Fiscal Year to the end of such Fiscal Quarter, and, commencing with the financial statements required to be delivered for the first Fiscal Quarter following the first full Fiscal Year of the Borrower following the Closing Date, setting forth,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and (ii) a Narrative Report,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not be required to reflect any purchase accounting adjustments relating to any acquisition consummated after the Closing Date until the last day of the Fiscal Year following the Fiscal Year in which the relevant acquisition was consummated and (y) no comparative financial statements shall be required for any Fiscal Quarter (and the two immediately succeeding Fiscal Quarters) in which any Permitted Acquisition or Investment is consummated or any material accounting change (as determined by the Borrower in good faith) has occurred;</w:t>
      </w:r>
    </w:p>
    <w:p>
      <w:pPr>
        <w:spacing w:after="0" w:line="190" w:lineRule="exact"/>
        <w:rPr>
          <w:sz w:val="20"/>
          <w:szCs w:val="20"/>
          <w:color w:val="auto"/>
        </w:rPr>
      </w:pPr>
    </w:p>
    <w:p>
      <w:pPr>
        <w:ind w:firstLine="436"/>
        <w:spacing w:after="0" w:line="252" w:lineRule="auto"/>
        <w:tabs>
          <w:tab w:leader="none" w:pos="69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xml:space="preserve">. Within 90 days after the end of each Fiscal Year ending after the Closing Date (or in each case, such later date not to exceed 45 days from the applicable due date, as the Administrative Agent may agree in its reasonable discretion) (i) the consolidated balance sheet of the Borrower as at the end of such Fiscal Year and the related consolidated statements of income or operations, stockholders’ equity and cash flows of the Borrower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 (A) a report thereon of an independent certified public accountant (or accountants) of recognized national standing or another accounting firm reasonably acceptable to the Administrative Agent (which report shall not be subject to a “going concern” or scope of audit qualification (except for any such qualification pertaining to, or disclosure of an exception or qualification resulting from, (x) the maturity (or impending maturity) of any Credit Facility or any other Indebtedness, (y) any breach or anticipated breach of any financial covenant or (z) the activities, operations, financial results, assets or liabilities of any Unrestricted Subsidiary) but may include a “going concern” or “emphasis of matter” explanatory paragraph or like statement), and shall state that such consolidated financial statements fairly present, in all material respects, the consolidated financial position of the Borrower as at the dates indicated and its income and cash flows for the periods indicated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comparative financial statements shall be required for any Fiscal Year in which any Permitted Acquisition or Investment is consummated or any material accounting change (as determined by the Borrower in good faith) has occurred and (B) a Narrative Report;</w:t>
      </w:r>
    </w:p>
    <w:p>
      <w:pPr>
        <w:spacing w:after="0" w:line="197" w:lineRule="exact"/>
        <w:rPr>
          <w:rFonts w:ascii="Times New Roman" w:cs="Times New Roman" w:eastAsia="Times New Roman" w:hAnsi="Times New Roman"/>
          <w:sz w:val="18"/>
          <w:szCs w:val="18"/>
          <w:color w:val="auto"/>
        </w:rPr>
      </w:pPr>
    </w:p>
    <w:p>
      <w:pPr>
        <w:ind w:right="360" w:firstLine="436"/>
        <w:spacing w:after="0" w:line="257" w:lineRule="auto"/>
        <w:tabs>
          <w:tab w:leader="none" w:pos="68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 Unrestricted Subsidiaries</w:t>
      </w:r>
      <w:r>
        <w:rPr>
          <w:rFonts w:ascii="Times New Roman" w:cs="Times New Roman" w:eastAsia="Times New Roman" w:hAnsi="Times New Roman"/>
          <w:sz w:val="18"/>
          <w:szCs w:val="18"/>
          <w:color w:val="auto"/>
        </w:rPr>
        <w:t xml:space="preserve">. (i) Within five Business Days after the date on which delivery of financial statements is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with respect to any Fiscal Quarter or Fiscal Year, as applicable, a duly executed and completed Compliance Certificate and (ii) within five Business Days after the date on which delivery of financial statements is required pursuant to</w:t>
      </w:r>
    </w:p>
    <w:p>
      <w:pPr>
        <w:spacing w:after="0" w:line="1" w:lineRule="exact"/>
        <w:rPr>
          <w:rFonts w:ascii="Times New Roman" w:cs="Times New Roman" w:eastAsia="Times New Roman" w:hAnsi="Times New Roman"/>
          <w:sz w:val="18"/>
          <w:szCs w:val="18"/>
          <w:color w:val="auto"/>
        </w:rPr>
      </w:pPr>
    </w:p>
    <w:p>
      <w:pPr>
        <w:ind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 if such adjustments are material, a summary (which may be in footnote form) of the pro forma adjustments necessary to eliminate the accounts of Unrestricted Subsidiaries (if any) from such financial statements and (B) a list identifying each subsidiary of the Borrower as a Restricted Subsidiary or an Unrestricted Subsidiary as of the date of delivery of such financial statements or confirming that there is no change in such information since the later of the Closing Date and the most recent prior delivery of such information;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0"/>
          </w:cols>
          <w:pgMar w:left="440" w:top="270" w:right="459" w:bottom="1440" w:gutter="0" w:footer="0" w:header="0"/>
        </w:sectPr>
      </w:pPr>
    </w:p>
    <w:bookmarkStart w:id="216" w:name="page217"/>
    <w:bookmarkEnd w:id="216"/>
    <w:p>
      <w:pPr>
        <w:ind w:left="680" w:hanging="26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140" w:firstLine="436"/>
        <w:spacing w:after="0" w:line="281" w:lineRule="auto"/>
        <w:tabs>
          <w:tab w:leader="none" w:pos="665"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Default or Event of Default</w:t>
      </w:r>
      <w:r>
        <w:rPr>
          <w:rFonts w:ascii="Times New Roman" w:cs="Times New Roman" w:eastAsia="Times New Roman" w:hAnsi="Times New Roman"/>
          <w:sz w:val="17"/>
          <w:szCs w:val="17"/>
          <w:color w:val="auto"/>
        </w:rPr>
        <w:t>. Promptly upon any Responsible Officer of the Borrower obtaining knowledge of (i) any Default or Event of Default that has occurred and is continuing or (ii) the occurrence of any event or change that has caused or evidences or would reasonably be expected to cause or evidence, either individually or in the aggregate, a Material Adverse Effect, a reasonably detailed notice specifying the nature and period of existence of such condition, event or change and what action the Borrower has taken, is taking and proposes to take with respect thereto;</w:t>
      </w:r>
    </w:p>
    <w:p>
      <w:pPr>
        <w:spacing w:after="0" w:line="164" w:lineRule="exact"/>
        <w:rPr>
          <w:rFonts w:ascii="Times New Roman" w:cs="Times New Roman" w:eastAsia="Times New Roman" w:hAnsi="Times New Roman"/>
          <w:sz w:val="17"/>
          <w:szCs w:val="17"/>
          <w:color w:val="auto"/>
        </w:rPr>
      </w:pPr>
    </w:p>
    <w:p>
      <w:pPr>
        <w:ind w:left="-20" w:right="100" w:firstLine="436"/>
        <w:spacing w:after="0" w:line="261" w:lineRule="auto"/>
        <w:tabs>
          <w:tab w:leader="none" w:pos="64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Promptly upon any Responsible Officer of the Borrower obtaining knowledge of the institution of any Adverse Proceeding not previously disclosed in writing by the Borrower to the Administrative Agent that would reasonably be expected to have a Material Adverse Effect, written notice thereof by the Borrower together with such other non-privileged information as may be reasonably available to the Loan Parties to enable the Lenders to evaluate such matters;</w:t>
      </w:r>
    </w:p>
    <w:p>
      <w:pPr>
        <w:spacing w:after="0" w:line="179" w:lineRule="exact"/>
        <w:rPr>
          <w:rFonts w:ascii="Times New Roman" w:cs="Times New Roman" w:eastAsia="Times New Roman" w:hAnsi="Times New Roman"/>
          <w:sz w:val="18"/>
          <w:szCs w:val="18"/>
          <w:color w:val="auto"/>
        </w:rPr>
      </w:pPr>
    </w:p>
    <w:p>
      <w:pPr>
        <w:ind w:left="-20" w:right="760" w:firstLine="436"/>
        <w:spacing w:after="0" w:line="282" w:lineRule="auto"/>
        <w:tabs>
          <w:tab w:leader="none" w:pos="67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upon any Responsible Officer of the Borrower becoming aware of the occurrence of any ERISA Event that would reasonably be expected to have a Material Adverse Effect, a written notice specifying the nature thereof;</w:t>
      </w:r>
    </w:p>
    <w:p>
      <w:pPr>
        <w:spacing w:after="0" w:line="161"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60" w:firstLine="436"/>
        <w:spacing w:after="0" w:line="281" w:lineRule="auto"/>
        <w:tabs>
          <w:tab w:leader="none" w:pos="635" w:val="left"/>
        </w:tabs>
        <w:numPr>
          <w:ilvl w:val="0"/>
          <w:numId w:val="2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Collateral</w:t>
      </w:r>
      <w:r>
        <w:rPr>
          <w:rFonts w:ascii="Times New Roman" w:cs="Times New Roman" w:eastAsia="Times New Roman" w:hAnsi="Times New Roman"/>
          <w:sz w:val="17"/>
          <w:szCs w:val="17"/>
          <w:color w:val="auto"/>
        </w:rPr>
        <w:t>. Promptly (and, in any event, within 90 days of the relevant change or such later date as the Collateral Agent may agree) written notice of any change (i) in any Loan Party’s legal name, (ii) in any Loan Party’s type of organization, (iii) in any Loan Party’s jurisdiction of organization or (iv) in any Loan Party’s organizational identification number, in each case to the extent such information is necessary to enable the Collateral Agent to perfect or maintain the perfection and priority of its security interest in the Collateral of the relevant Loan Party;</w:t>
      </w:r>
    </w:p>
    <w:p>
      <w:pPr>
        <w:spacing w:after="0" w:line="164" w:lineRule="exact"/>
        <w:rPr>
          <w:rFonts w:ascii="Times New Roman" w:cs="Times New Roman" w:eastAsia="Times New Roman" w:hAnsi="Times New Roman"/>
          <w:sz w:val="17"/>
          <w:szCs w:val="17"/>
          <w:color w:val="auto"/>
        </w:rPr>
      </w:pPr>
    </w:p>
    <w:p>
      <w:pPr>
        <w:ind w:left="-20" w:firstLine="436"/>
        <w:spacing w:after="0" w:line="254" w:lineRule="auto"/>
        <w:tabs>
          <w:tab w:leader="none" w:pos="63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Reports</w:t>
      </w:r>
      <w:r>
        <w:rPr>
          <w:rFonts w:ascii="Times New Roman" w:cs="Times New Roman" w:eastAsia="Times New Roman" w:hAnsi="Times New Roman"/>
          <w:sz w:val="18"/>
          <w:szCs w:val="18"/>
          <w:color w:val="auto"/>
        </w:rPr>
        <w:t xml:space="preserve">. Promptly upon their becoming publicly available and without duplication of any obligations with respect to any such information that is otherwise required to be delivered under the provisions of any Loan Document, copies of (i) all financial statements, material reports, material notices and proxy statements sent or made available generally by the Borrower to its security holders acting in such capacity and (ii) all material regular and periodic reports and all material registration statements (other than on Form S-8 or a similar form) and prospectuses, if any, filed by the Borrower or any of its Restricted Subsidiaries with any securities exchange or with the SEC or any analogous governmental or private regulatory authority with jurisdiction over matters relating to securities (other than any prospectuses relating to an equity plan, any amendments to any registration statement (to the extent such registration statement, in the form it became effective, is delivered), exhibits to any registration statement and, if applicable, any registration statement on Form S-8 or a similar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delivery shall be required hereunder with respect to any of the foregoing to the extent that such are publicly available via EDGAR or another publicly available reporting service</w:t>
      </w:r>
    </w:p>
    <w:p>
      <w:pPr>
        <w:spacing w:after="0" w:line="18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3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 Such other reports and information (financial or otherwise) as the Administrative Agent may reasonably request from time to time regarding the financial condition or business of the Borrower and its Restricted Subsidiaries and (y) such information as the Administrative Agent or any Lender through the Administrative Agent may reasonably request from time to time regarding compliance with applicable “know your customer” requirements under the PATRIOT Act (including if the Borrower qualifies as a “legal entity customer” under the “Beneficial Ownership Regulations” (31 CFR §1010.230), a Beneficial Ownership Certification in relation to the Borrower)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0960"/>
          </w:cols>
          <w:pgMar w:left="460" w:top="270" w:right="479" w:bottom="1440" w:gutter="0" w:footer="0" w:header="0"/>
        </w:sectPr>
      </w:pPr>
    </w:p>
    <w:bookmarkStart w:id="217" w:name="page218"/>
    <w:bookmarkEnd w:id="217"/>
    <w:p>
      <w:pPr>
        <w:ind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applicable anti-money laundering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Borrower nor any Restricted Subsidiary shall be required to deliver, disclose or provide any information (i) that constitutes non-financial trade secrets or non-financial proprietary information of the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the Borrower or any Restricted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(or a representative thereof) (x) posts such documents or (y) provides a link thereto at the website address notified to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with respect to items required to be delivered pursuant to </w:t>
      </w: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above, the Borrower shall promptly notify (which notice may be by electronic mail) the Administrative Agent of the posting of any such documents or a link thereto on such website and provide to the Administrative Agent by electronic mail electronic versions (i.e., soft copies) of such documents; (ii) on which such documents are delivered by the Borrower to the Administrative Agent for posting on behalf of the Borrower on IntraLinks, SyndTrak or another relevant secure website, if any, to which each Lender and the Administrative Agent have access (whether a commercial, third-party website or whether sponsored by the Administrative Agent); (iii) on which such documents are faxed to the Administrative Agent (or electronically mailed to addresses provided by the Administrative Agent); or (iv) in respect of the items required to be delivered pursuant to</w:t>
      </w:r>
    </w:p>
    <w:p>
      <w:pPr>
        <w:spacing w:after="0" w:line="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above in respect of information filed by the Borrower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w:t>
      </w:r>
    </w:p>
    <w:p>
      <w:pPr>
        <w:spacing w:after="0" w:line="189" w:lineRule="exact"/>
        <w:rPr>
          <w:sz w:val="20"/>
          <w:szCs w:val="20"/>
          <w:color w:val="auto"/>
        </w:rPr>
      </w:pPr>
    </w:p>
    <w:p>
      <w:pPr>
        <w:jc w:val="both"/>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any financial statements of the Borrower (including with respect to delivery of a Narrative Report) by furnishing Form 10-K or 10-Q, as applicable, filed with the SEC or any securities exchange, in each case, within the time periods specified in such paragraphs and without any requirement to provide notice of such filing to the Administrative Agent or to any Lender.</w:t>
      </w:r>
    </w:p>
    <w:p>
      <w:pPr>
        <w:spacing w:after="0" w:line="180"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Further, 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instead be satisfied with respect to any financial statements of the Borrower by furnishing (A) the applicable financial statements of any parent company of the Borrower (other than, for the avoidance of doubt, Parent or any of its “restricted” Subsidiaries) or (B) any parent company’s, as applicable, Form 10-K or 10-Q, as applicable, filed with the SEC or any securities exchange, in each case, within the time periods specified in such paragraphs and without any requirement to provide notice of such filing to the Administrative Agent or to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 if (1) such financial statements relate to any parent company and (2) either (I)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(II) there are material differences between the financial statements of such parent company and its consolidated subsidiaries, on the one hand, and the Borrower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company, on the one</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218" w:name="page219"/>
    <w:bookmarkEnd w:id="218"/>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hand, and the information relating to the Borrower and its consolidated subsidiaries on a standalone basis, on the other hand, which consolidating information shall be certified by a Responsible Officer of the Borrower as having been fairly presented in all material respects and (ii) to the extent such statements are in lieu of statements required to be provided under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such statements shall be accompanied by a report and opinion of an independent registered public accounting firm of nationally recognized standing or another accounting firm reasonably acceptable to the Administrative Agent, which report and opinion shall satisfy the applicable requirements set forth in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if the references to “the Borrower” therein were references to such parent company.</w:t>
      </w:r>
    </w:p>
    <w:p>
      <w:pPr>
        <w:spacing w:after="0" w:line="187"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financial statement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required to include acquisition or purchase accounting adjustments relating to any Permitted Acquisition or other Investment to the extent it is not practicable to include any such adjustments in such financial statement.</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as a result of the consummation of a Permitted Reorganization, the Borrower will, and the Borrower will cause each of its Restricted Subsidiaries (other than an Immaterial Subsidiary) to, at all times preserve and keep in full force and effect their existence and all rights, franchises, licenses and permits material to their business except, other than with respect to the preservation of the existence of the Borrower, to the extent that the failure to do so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Borrower nor any of the Borrower’s Restricted Subsidiaries shall be required to preserve any such existence (other than with respect to the preservation of existence of the Borrower, except as otherwise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as a result of the consummation of a Permitted Reorganization),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Tax need be paid if (a) it is being contested in good faith by appropriate proceedings promptly instituted and diligently conducted, so long as (i) adequate reserves or other appropriate provisions, as are required in conformity with GAAP, have been made therefor and (ii) in the case of a Tax which has or may become a Lien against a material portion of the Collateral, such contest proceedings conclusively operate to stay the sale of such portion of the Collateral to satisfy such Tax or (b) failure to pay or discharge the same would not reasonably be expected to result in a Material Adverse Effect.</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the Borrower will cause each of its Restricted Subsidiaries to, maintain or cause to be maintained in good repair, working order and condition, ordinary wear and tear and casualty and condemnation excepted, all material tangible property reasonably necessary to the normal conduct of business of the Borrower and its Restricted Subsidiaries and from time to time will make or cause to be made all needed and appropriate repairs, renewals and replacements thereof and use commercially reasonable efforts to prosecute, renew and maintain in full force and effect all material IP Rights, in each case, except as expressly permitted by this Agreement or where the failure to maintain such tangible properties, make such repairs, renewals or replacements or prosecute, renew and maintain such material IP Rights would not reasonably be expected to have a Material Adverse Effect.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219" w:name="page220"/>
    <w:bookmarkEnd w:id="219"/>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where the failure to do so would not reasonably be expected to have a Material Adverse Effect, the Borrower will maintain or cause to be maintained, in each case, as determined by the Borrower in good faith, with financially sound and reputable insurers, such insurance coverage with respect to liabilities, losses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including, but only if required by applicable law or regulation, flood insurance with respect to each Flood Hazard Property, in each case in compliance with applicable Flood Insurance Laws. Each such policy of insurance shall, to the extent available from the relevant insurance carrier, (i) name the Collateral Agent on behalf of the Secured Parties as a loss payee, mortgagee and/or an additional insured, as applicable, thereunder as its interests may appear and (ii) in the case of each casualty insurance policy (excluding any business interruption insurance policy, any workers’ compensation policy, any employee liability policy and/or any representation and warranty insurance policy), contain a loss payable clause or endorsement that names the Collateral Agent, on behalf of the Secured Parties, as the loss payee thereunder and, to the extent available, provide for at least 30 days’ prior written notice to the Collateral Agent of any modification or cancellation of such policy (or 10 days’ prior written notice in the case of the failure to pay any premiums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120 days after the Closing Date (or such later date as agreed by the Collateral Agent) to comply with the requirements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 respect to policies in effect on the Closing Date.</w:t>
      </w:r>
    </w:p>
    <w:p>
      <w:pPr>
        <w:spacing w:after="0" w:line="19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The Borrower will, and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(subject to such accountants’ customary policies and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any of its subsidiaries) may, if it so chooses, be present at or participate in any such discussion), all upon reasonable notice and at reasonable times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only the Administrative Agent on behalf of the Lenders may exercise the rights of the Administrative Agent and the Lenders 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(y) the Administrative Agent shall not exercise such rights more often than one time during any calendar year and (z) only one such time per calendar year shall be at the expense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when an Event of Default exists, the Administrative Agent (or any of its representatives or independent contractors) may do any of the foregoing at the expense of the Borrower at any time during normal business hours and upon reasonable advance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neither the Borrower nor any Restricted Subsidiary shall be required to deliver,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its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the Borrower or any Restricted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Maintenance of Book and Records</w:t>
      </w:r>
      <w:r>
        <w:rPr>
          <w:rFonts w:ascii="Times New Roman" w:cs="Times New Roman" w:eastAsia="Times New Roman" w:hAnsi="Times New Roman"/>
          <w:sz w:val="18"/>
          <w:szCs w:val="18"/>
          <w:color w:val="auto"/>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70" w:right="459" w:bottom="1440" w:gutter="0" w:footer="0" w:header="0"/>
        </w:sectPr>
      </w:pPr>
    </w:p>
    <w:bookmarkStart w:id="220" w:name="page221"/>
    <w:bookmarkEnd w:id="22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Borrower will comply, and will cause each of its Restricted Subsidiaries to comply, with the requirements of all applicable laws, rules, regulations and orders of any Governmental Authority (including ERISA and all Environmental Laws), except to the extent the failure of the Borrower or the relevant Restricted Subsidiary to comply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as they pertain to compliance by any Foreign Subsidiary with Sanctions and anti-corruption laws are subject to and limited by any Requirement of Law applicable to such Foreign Subsidiary in its relevant local jurisdiction.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Hazardous Materials Activity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0" w:hanging="244"/>
        <w:spacing w:after="0"/>
        <w:tabs>
          <w:tab w:leader="none" w:pos="680"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deliver to the Administrative Agent: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Borrower becoming aware of the occurrence thereof, written notice describing in reasonable detail</w:t>
      </w:r>
    </w:p>
    <w:p>
      <w:pPr>
        <w:spacing w:after="0" w:line="27" w:lineRule="exact"/>
        <w:rPr>
          <w:rFonts w:ascii="Times New Roman" w:cs="Times New Roman" w:eastAsia="Times New Roman" w:hAnsi="Times New Roman"/>
          <w:sz w:val="18"/>
          <w:szCs w:val="18"/>
          <w:color w:val="auto"/>
        </w:rPr>
      </w:pPr>
    </w:p>
    <w:p>
      <w:pPr>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Release required to be reported by the Borrower or any of its Restricted Subsidiaries to any federal, state or local governmental or regulatory agency under any applicable Environmental Law, (B) any remedial action taken by or on behalf of the Borrower or any of its Restricted Subsidiaries in response to any Hazardous Materials Activity or Environmental Claim, or (C) any pending or threatened Environmental Claim,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would reasonably be expected to have a Material Adverse Effect; and</w:t>
      </w:r>
    </w:p>
    <w:p>
      <w:pPr>
        <w:spacing w:after="0" w:line="80"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the sending or receipt thereof by the Borrower or any of its Restricted Subsidiaries, a copy of any and all written communications with respect to any Release required to be reported by the Borrower or any of its Restricted Subsidiaries to any federal, state or local governmental or regulatory agency or any Release required to be remediated pursuant to any Environmental Law, that in each case would reasonably be expected to have a Material Adverse Effect.</w:t>
      </w:r>
    </w:p>
    <w:p>
      <w:pPr>
        <w:spacing w:after="0" w:line="17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reasonably promptly take, and shall cause each of its Restricted Subsidiaries reasonably promptly to take, any and all actions reasonably necessary to (i) cure any violation of Environmental Law by the Borrower or any of its Restricted Subsidiaries, and, to the extent required by Environmental Law, address with appropriate corrective or remedial action any Release or threatened Release of any Hazardous Material at or from any Facility, that, individually or in the aggregate, could reasonably be expected to have a Material Adverse Effect and (ii) make an appropriate response to any Environmental Claim against the Borrower or any of its Restricted Subsidiaries and discharge any obligations it may have to any Person thereunder, where failure to do so would reasonably be expected to have, individually or in the aggregate,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deemed to be a violation of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if the Borrower or its Restricted Subsidiaries are in good faith contesting such violation, liability for such Release or threatened Release or such Environmental Claim in accordance with applicable Environmental Law.</w:t>
      </w:r>
    </w:p>
    <w:p>
      <w:pPr>
        <w:spacing w:after="0" w:line="19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at any time after the Closing Date, designate (or re-designate) any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of designation (or re-designation) of any subsidiary as an Unrestricted Subsidiary (a) no Event of Default shall have occurred and be continuing, (b) [reserved], (c) no Unrestricted Subsidiary shall own any Capital Stock in any Restricted Subsidiary of the Borrower (unless such Restricted Subsidiary is also designated as an Unrestricted Subsidiary simultaneously with the aforementioned designation in accordance with the terms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or hold any Indebtedness of or any Lien on any property of the Borrower or its Restricted Subsidiaries (unless the Borrower or such Restricted Subsidiary is permitted (or not prohibited) 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221" w:name="page222"/>
    <w:bookmarkEnd w:id="221"/>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incur such Indebtedness or grant such Lien in favor of such Unrestricted Subsidiary (as a third party)) and (d) no Subsidiary shall be designated as an Unrestricted Subsidiary if such Subsidiary owns Material Intellectual Property at the time of such designation.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subsidiary (a “</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being designated as an Unrestricted Subsidiary has a subsidiary that was previously designated as an Unrestricted Subsidiary (the “</w:t>
      </w:r>
      <w:r>
        <w:rPr>
          <w:rFonts w:ascii="Times New Roman" w:cs="Times New Roman" w:eastAsia="Times New Roman" w:hAnsi="Times New Roman"/>
          <w:sz w:val="18"/>
          <w:szCs w:val="18"/>
          <w:b w:val="1"/>
          <w:bCs w:val="1"/>
          <w:color w:val="auto"/>
        </w:rPr>
        <w:t>Previously Designated Unrestricted Subsidiary</w:t>
      </w:r>
      <w:r>
        <w:rPr>
          <w:rFonts w:ascii="Times New Roman" w:cs="Times New Roman" w:eastAsia="Times New Roman" w:hAnsi="Times New Roman"/>
          <w:sz w:val="18"/>
          <w:szCs w:val="18"/>
          <w:color w:val="auto"/>
        </w:rPr>
        <w:t xml:space="preserve">”) in compliance with the provisions of this Agreement, the Investment of such Subject Subsidiary in such Previously Designated Unrestricted Subsidiary shall not be taken into account, and shall be excluded, in determining whether the Subject Subsidiary may be designated as an Unrestricted Subsidiary hereunder. The designation of any Unrestricted Subsidiary as a Restricted Subsidiary shall constitute the making, incurrence or granting, as applicable, at the time of designation of any then-existing Investment, Indebtedness or Lien of such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 re-designation of any Unrestricted Subsidiary as a Restricted Subsidiary, the Borrower or its applicable Restricted Subsidiary shall be deemed to continue to have an Investment in the resulting Restricted Subsidiary in an amount (if positive) equal to (a) the Borrower’s or such Restricted Subsidiary’s “Investment” in such Unrestricted Subsidiary at the time of such re-designation less (b) the portion of the fair market value of the net assets of such Unrestricted Subsidiary attributable to the Borrower’s or such Restricted Subsidiary’s equity therein at the time of such re-designation. As of the Closing Date, the subsidiaries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hereto (as such Schedule may be updated by the Borrower after the Signing Date and on or prior to the Closing Date) have been designated as Unrestricted Subsidiaries.</w:t>
      </w:r>
    </w:p>
    <w:p>
      <w:pPr>
        <w:spacing w:after="0" w:line="19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shall use the proceeds of the Revolving Loans on and after the Closing Date, to finance the working capital needs and other general corporate purposes of the Borrower and its subsidiaries (including for Transaction Costs, capital expenditures, acquisitions, earn-outs and similar obligations, working capital and/or purchase price adjustments, the payment of transaction fees and expenses, other Investments, Restricted Payments, Restricted Debt Payments and any other purpose not prohibited by the terms of the Loan Documents). The Borrower shall use the proceeds of the Swingline Loans made after the Closing Date to finance the working capital needs and other general corporate purposes of the Borrower and its subsidiaries and any other purpose not prohibited by the terms of the Loan Documents. The Borrower shall use the proceeds of the Initial Term Loans (i) to finance (in part) the Transactions (including the payment of Transaction Costs) and (ii) for general corporate purposes or other actions or purposes permitted (or not prohibited) hereunder. No part of the proceeds of any Loan will be used, whether directly or indirectly, for any purpose that would entail a violation of Regulation U. The Borrower shall use the proceeds of the Incremental Term Loans for working capital, capital expenditures and other general corporate purposes of the Borrower and its subsidiaries (including for Restricted Payments, Investments, Permitted Acquisitions and any other purpose not prohibited by the terms of the Loan Documents).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Covenant to Guarantee Loan Document Obligations and Give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8" w:lineRule="auto"/>
        <w:tabs>
          <w:tab w:leader="none" w:pos="685" w:val="left"/>
        </w:tabs>
        <w:numPr>
          <w:ilvl w:val="0"/>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 the formation or acquisition after the Closing Date of any Restricted Subsidiary that is a U.S. Subsidiary (including upon the formation of any such Subsidiary that is a Delaware Divided LLC, and in each case subject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that is not an Excluded Subsidiary, (ii) the designation of any Unrestricted Subsidiary that is a U.S. Subsidiary as a Restricted Subsidiary that is not an Excluded Subsidiary or (iii) any Restricted Subsidiary that is a U.S. Subsidiary ceasing to be an Excluded Subsidiary, (x)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20"/>
          </w:cols>
          <w:pgMar w:left="440" w:top="270" w:right="539" w:bottom="1440" w:gutter="0" w:footer="0" w:header="0"/>
        </w:sectPr>
      </w:pPr>
    </w:p>
    <w:bookmarkStart w:id="222" w:name="page223"/>
    <w:bookmarkEnd w:id="222"/>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formation, acquisition, designation or cessation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for the Fiscal Quarter in which such formation, acquisition, designation or cessation occurred or (y)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fourth Fiscal Quarter of any Fiscal Year, on or before the later of (I) 90 days following the relevant formation, acquisition, designation or cessation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such longer period as the Administrative Agent may reasonably agree), the Borrower shall (A) cause such Restricted Subsidiary (other than any Excluded Subsidiary) to comply with the requirements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“Collateral and Guarantee Requirement” and (B) upon the reasonable request of the Administrative Agent, cause the relevant Restricted Subsidiary (other than any Excluded Subsidiary) to deliver to the Administrative Agent a signed copy of a customary opinion of counsel for such Restricted Subsidiary, addressed to the Administrative Agent, the Collateral Agent and the other relevant Secured Parties.</w:t>
      </w:r>
    </w:p>
    <w:p>
      <w:pPr>
        <w:spacing w:after="0" w:line="194" w:lineRule="exact"/>
        <w:rPr>
          <w:sz w:val="20"/>
          <w:szCs w:val="20"/>
          <w:color w:val="auto"/>
        </w:rPr>
      </w:pPr>
    </w:p>
    <w:p>
      <w:pPr>
        <w:ind w:left="4" w:firstLine="436"/>
        <w:spacing w:after="0" w:line="255" w:lineRule="auto"/>
        <w:tabs>
          <w:tab w:leader="none" w:pos="69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120 days (or such longer period as the Collateral Agent may reasonably agree) after the acquisition by any Loan Party of any Material Real Estate Asset other than any Excluded Asset, the Borrower shall cause such Loan Party to comply with the requirements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“Collateral and Guarantee Requirement”; it being understood and agreed that, with respect to any Material Real Estate Asset (other than any Excluded Asset) owned by any Restricted Subsidiary at the time such Restricted Subsidiary is required to become a Loan Party under</w:t>
      </w:r>
    </w:p>
    <w:p>
      <w:pPr>
        <w:spacing w:after="0" w:line="2"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above, such Material Real Estate Asset shall be deemed to have been acquired by such Restricted Subsidiary on the first day of the time period within which such Restricted Subsidiary is required to become a Loan Party under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140" w:firstLine="436"/>
        <w:spacing w:after="0" w:line="276" w:lineRule="auto"/>
        <w:tabs>
          <w:tab w:leader="none" w:pos="689" w:val="left"/>
        </w:tabs>
        <w:numPr>
          <w:ilvl w:val="1"/>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formation or acquisition by any Loan Party of any new directly-held Restricted Subsidiary after the Closing Date (other than any Restricted Subsidiary that is an Immaterial Subsidiary or to the extent the Capital Stock of such Restricted Subsidiary constitutes Excluded Securities),</w:t>
      </w:r>
    </w:p>
    <w:p>
      <w:pPr>
        <w:ind w:left="4" w:hanging="4"/>
        <w:spacing w:after="0" w:line="251" w:lineRule="auto"/>
        <w:tabs>
          <w:tab w:leader="none" w:pos="25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event giving rise to the obligation under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 formation or acquisition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for the Fiscal Quarter in which such formation or acquisition occurred or (y) if the event giving rise to the obligation under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occurs during the fourth Fiscal Quarter of any Fiscal Year, on or before the later of (I) 90 days following the relevant formation or acquisition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longer period as the Collateral Agent may reasonably agree), the Borrower shall (A) cause such Loan Party to execute and deliver to the Collateral Agent such Collateral Documents as the Collateral Agent deems reasonably necessary or advisable to grant to the Collateral Agent, for the benefit of the Secured Parties, a perfected First Priority security interest in the Capital Stock of such new Restricted Subsidiary that is owned by any such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65% of the issued and outstanding voting Capital Stock of any Specified Foreign Subsidiary or Foreign Subsidiary Holding Company be required to be so pledged) and (B) deliver to the Collateral Agent the certificates representing such Capital Stock, together with undated stock powers, in blank, executed and delivered by a duly authorized officer of the relevant Loan Party, as the case may be, and take such other action as may be reasonably necessary or, in the opinion of the Collateral Agent, desirable to perfect the Collateral Agent’s security interest therein.</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4"/>
          </w:cols>
          <w:pgMar w:left="436" w:top="270" w:right="459" w:bottom="1440" w:gutter="0" w:footer="0" w:header="0"/>
        </w:sectPr>
      </w:pPr>
    </w:p>
    <w:bookmarkStart w:id="223" w:name="page224"/>
    <w:bookmarkEnd w:id="223"/>
    <w:p>
      <w:pPr>
        <w:ind w:left="4"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or in any other Loan Document, (i) the Collateral Agent and/or the Administrative Agent may grant extensions of time (including after the expiration of any relevant period, which apply retroactively), including if any applicable Loan Party is unable, after exercising commercially reasonable efforts, to perform its obligations due to circumstances existing in connection with the COVID-19 disease outbreak, in each case for the creation and/or perfection of security interests in, or obtaining of title insurance, legal opinions, surveys or other deliverables with respect to, particular assets or the provision of any Loan Guarantee by any Restricted Subsidiary, and each Lender hereby consents to any such extension of time, (ii) any Lien required to be granted from time to time pursuant to the definition of “Collateral and Guarantee Requirement” shall be subject to the exceptions and limitations set forth in the Collateral Documents, (iii) perfection by control shall not be required with respect to assets requiring perfection through control agreements or other control arrangements, including deposit accounts, securities accounts and commodities accounts (other than control of pledged Capital Stock and/or Material Debt Instruments, in each case, that constitute Collateral) and no blocked account agreement, account control agreement or similar agreement shall be required, (iv) no Loan Party shall be required to seek any landlord waiver, bailee letter, estoppel, warehouseman waiver or other collateral access or similar letter or agreement, (v) no Loan Party will be required to (1) take any action, or grant or perfect any security interest in any asset located or titled, outside of the U.S. or conduct any foreign lien search, (2) execute any foreign law guarantee, security agreement, pledge agreement, mortgage, deed or charge, (3) make any foreign or multinational intellectual property filing, conduct any foreign or multinational intellectual property search or prepare any foreign or multinational schedule with respect to any assets of any Loan Party or enter into any source code escrow arrangement or register any intellectual property, (vi) in no event will the Collateral include any Excluded Assets,</w:t>
      </w:r>
    </w:p>
    <w:p>
      <w:pPr>
        <w:spacing w:after="0" w:line="11" w:lineRule="exact"/>
        <w:rPr>
          <w:sz w:val="20"/>
          <w:szCs w:val="20"/>
          <w:color w:val="auto"/>
        </w:rPr>
      </w:pPr>
    </w:p>
    <w:p>
      <w:pPr>
        <w:jc w:val="both"/>
        <w:ind w:left="4" w:right="160" w:hanging="4"/>
        <w:spacing w:after="0" w:line="265" w:lineRule="auto"/>
        <w:tabs>
          <w:tab w:leader="none" w:pos="359"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action shall be required to perfect any Lien with respect to (x) any vehicle or other asset subject to a certificate of title, or any retention of title, extended retention of title rights, or similar rights and/or (y) Letter-of-Credit Rights, in each case to the extent that a security interest therein cannot be perfected by filing a Form UCC-1 (or similar) “all assets” financing statement without the requirement to list any VIN, serial or other number and</w:t>
      </w:r>
    </w:p>
    <w:p>
      <w:pPr>
        <w:ind w:left="4" w:right="40" w:hanging="4"/>
        <w:spacing w:after="0" w:line="253" w:lineRule="auto"/>
        <w:tabs>
          <w:tab w:leader="none" w:pos="40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the Collateral Agent shall require the taking of a Lien on, or require the perfection of any Lien granted in, those assets as to which the cost, burden, difficulty or consequence (including any effect on the ability of the relevant Loan Party to conduct its operations and business in the ordinary course of business) of obtaining or perfecting such Lien (including any mortgage, stamp, intangibles or other tax or expenses relating to such Lien) outweighs, or is excessive in relation to, the benefit to the Lenders of the security afforded thereby as determined in good faith by the Borrower.</w:t>
      </w:r>
    </w:p>
    <w:p>
      <w:pPr>
        <w:spacing w:after="0" w:line="187" w:lineRule="exact"/>
        <w:rPr>
          <w:sz w:val="20"/>
          <w:szCs w:val="20"/>
          <w:color w:val="auto"/>
        </w:rPr>
      </w:pPr>
    </w:p>
    <w:p>
      <w:pPr>
        <w:ind w:left="4"/>
        <w:spacing w:after="0" w:line="252" w:lineRule="auto"/>
        <w:rPr>
          <w:sz w:val="20"/>
          <w:szCs w:val="20"/>
          <w:color w:val="auto"/>
        </w:rPr>
      </w:pPr>
      <w:r>
        <w:rPr>
          <w:rFonts w:ascii="Times New Roman" w:cs="Times New Roman" w:eastAsia="Times New Roman" w:hAnsi="Times New Roman"/>
          <w:sz w:val="18"/>
          <w:szCs w:val="18"/>
          <w:color w:val="auto"/>
        </w:rPr>
        <w:t>Additionally, (i) no action shall be required to create or perfect a Lien in any asset in respect of which the creation or perfection of a security interest therein would (1) be prohibited by enforceable anti-assignment provisions set forth in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(2) violate the terms of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in each case, after giving effect to the applicable anti-assignment provisions of the UCC or other applicable law or (3) trigger termination of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pursuant to any “change of control” or similar provision (in each case after giving effect to any applicable anti-assignment provisions of the UCC or other applicable law), it being understood that the Collateral shall include any proceeds and/or receivables arising out of any contract described in this clause (other than Excluded Assets) to the extent the assignment of such proceeds or receivables is expressly deemed effective under the UCC or other applicable Requirements of Law notwithstanding the relevant prohibition, violation or termination right, (ii) no Loan Party shall be required to create or perfect a security interest in any asset to the extent the creation or perfection of a security interest in such asset would (A) be prohibited under any applicable Requirement of Law, after</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4"/>
          </w:cols>
          <w:pgMar w:left="436" w:top="270" w:right="459" w:bottom="1440" w:gutter="0" w:footer="0" w:header="0"/>
        </w:sectPr>
      </w:pPr>
    </w:p>
    <w:bookmarkStart w:id="224" w:name="page225"/>
    <w:bookmarkEnd w:id="224"/>
    <w:p>
      <w:pPr>
        <w:ind w:left="4" w:right="4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giving effect to any applicable anti-assignment provision of the UCC or other applicable law and other than proceeds thereof to the extent that the assignment of such proceeds is effective under the UCC or other applicable Requirements of Law notwithstanding such Requirement of Law,</w:t>
      </w:r>
    </w:p>
    <w:p>
      <w:pPr>
        <w:ind w:left="4" w:hanging="4"/>
        <w:spacing w:after="0" w:line="251" w:lineRule="auto"/>
        <w:tabs>
          <w:tab w:leader="none" w:pos="28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 any governmental consent, approval, license or authorization (unless such consent, approval, license or authorization has been obtained but which shall not be required to be obtained), after giving effect to any applicable anti-assignment provision of the UCC or other applicable law and other than proceeds thereof to the extent that the assignment of such proceeds is effective under the UCC or other applicable Requirements of Law notwithstanding such consent or restriction and/or (C) result in adverse tax consequences or adverse regulatory consequences to any Loan Party or any of its subsidiaries as determined by the Borrower in good faith, (iii) any joinder or supplement to any Loan Guarantee, any Collateral Document and/or any other Loan Document executed by any Restricted Subsidiary that is required to become a Loan Party pursuant to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above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and (iv) (A) no Loan Party will be required to take any action required under the Federal Assignment of Claims Act or any similar law and (B) no Secured Party will be permitted to exercise any right of setoff in respect of any account maintained solely for the purpose of receiving and holding government receivables.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5.13.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5.14.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Promptly upon the reasonable request of the Collateral Agent and subject to the limitations described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(but only to the extent required pursuant to the Collateral and Guarantee Requirement):</w:t>
      </w:r>
    </w:p>
    <w:p>
      <w:pPr>
        <w:spacing w:after="0" w:line="99" w:lineRule="exact"/>
        <w:rPr>
          <w:sz w:val="20"/>
          <w:szCs w:val="20"/>
          <w:color w:val="auto"/>
        </w:rPr>
      </w:pPr>
    </w:p>
    <w:p>
      <w:pPr>
        <w:ind w:left="4" w:firstLine="436"/>
        <w:spacing w:after="0" w:line="258" w:lineRule="auto"/>
        <w:tabs>
          <w:tab w:leader="none" w:pos="68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other Loan Party to, execute any and all further documents, financing statements, financing change statements, agreements, instruments, certificates, notices and acknowledgments and take all such further actions (including the filing and recordation of financing statements, financing change statements, fixture filings, Mortgages and/or amendments thereto and other documents), that may be required under any applicable law and which the Collateral Agent may reasonably request to ensure the perfection and priority of the Liens created or intended to be created under the Collateral Documents, all at the expense of the relevant Loan Parties.</w:t>
      </w:r>
    </w:p>
    <w:p>
      <w:pPr>
        <w:spacing w:after="0" w:line="183" w:lineRule="exact"/>
        <w:rPr>
          <w:rFonts w:ascii="Times New Roman" w:cs="Times New Roman" w:eastAsia="Times New Roman" w:hAnsi="Times New Roman"/>
          <w:sz w:val="18"/>
          <w:szCs w:val="18"/>
          <w:color w:val="auto"/>
        </w:rPr>
      </w:pPr>
    </w:p>
    <w:p>
      <w:pPr>
        <w:ind w:left="4" w:right="320" w:firstLine="436"/>
        <w:spacing w:after="0" w:line="258" w:lineRule="auto"/>
        <w:tabs>
          <w:tab w:leader="none" w:pos="699" w:val="left"/>
        </w:tabs>
        <w:numPr>
          <w:ilvl w:val="0"/>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Collateral Agent may reasonably request from time to time in order to ensure the creation and perfection of the Liens created under the Collateral Documents.</w:t>
      </w:r>
    </w:p>
    <w:p>
      <w:pPr>
        <w:spacing w:after="0" w:line="183"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Borrower and its Restricted Subsidiaries shall engage only in those material lines of business that consist of (a) the businesses engaged (or proposed to be engaged) in by the Borrower or any Restricted Subsidiary on the Signing Date, reasonably related, similar, incidental, complementary, ancillary, corollary, synergistic or related businesses, and/or a reasonable extension, development or expansion of such businesses and (b) such other lines of business to which the Administrative Agent may consent.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84"/>
          </w:cols>
          <w:pgMar w:left="436" w:top="270" w:right="479" w:bottom="1440" w:gutter="0" w:footer="0" w:header="0"/>
        </w:sectPr>
      </w:pPr>
    </w:p>
    <w:bookmarkStart w:id="225" w:name="page226"/>
    <w:bookmarkEnd w:id="225"/>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5.17. </w:t>
      </w: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The Borrower shall take the actions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(as such Schedule may be updated by the Borrower with the consent of the Administrative Agent (not to be unreasonably withheld, delayed or conditioned) after the Signing Date and on or prior to the Closing Date) within the applicable time periods specified thereon (or by such later time as the Administrative Agent may reasonably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shall be deemed to qualify the representations, warranties, covenants and other agreements in the Loan Documents such that no inaccuracy or breach thereof shall arise in respect of the matters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prior to the time by which such actions are required to be taken. Each Secured Party authorizes the Collateral Agent to enter into amendments to (or, if necessary, replacements of) the Collateral Documents in effect on the Closing Date to effectuate such post-closing items.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the Closing Date and until the Termination Date has occurred, the Borrower and each other Loan Party covenant and agree with the Lenders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and each other Loan Party shall not, nor shall it permit any Restricted Subsidiary to, directly or indirectly, create, incur, assume or otherwise become liable with respect to any Indebtedness, except:</w:t>
      </w:r>
    </w:p>
    <w:p>
      <w:pPr>
        <w:spacing w:after="0" w:line="54" w:lineRule="exact"/>
        <w:rPr>
          <w:sz w:val="20"/>
          <w:szCs w:val="20"/>
          <w:color w:val="auto"/>
        </w:rPr>
      </w:pPr>
    </w:p>
    <w:p>
      <w:pPr>
        <w:ind w:left="680" w:hanging="244"/>
        <w:spacing w:after="0"/>
        <w:tabs>
          <w:tab w:leader="none" w:pos="68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(including any Additional Term Loans and any Additional Revolving Loans);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or any Restricted Subsidiary to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to any Restricted Subsidiary that is not a Loan Party must be expressly subordinated to the Loan Document Obligations of such Loan Party pursuant to the Intercompany Note (which, with respect to such Indebtedness in existence on the Closing Date or incurred within 120 days thereafter, may be delivered within 120 days of the Closing Date (or such later date as approved by the Administrative Agent)) or on other terms that are reasonably acceptable to the Administrative Agent;</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Joint Venture or Indebtedness of the Borrower or any Restricted Subsidiary incurred on behalf of any Joint Venture or any guarantees by the Borrower or any Restricted Subsidiary of Indebtedness of any Joint Venture in an aggregate outstanding principal amount for all such Indebtedness not to exceed at any time the greater of $675,000,000 and 30% of Consolidated Adjusted EBITDA as of the last day of the most recently ended Test Period;</w:t>
      </w:r>
    </w:p>
    <w:p>
      <w:pPr>
        <w:spacing w:after="0" w:line="179" w:lineRule="exact"/>
        <w:rPr>
          <w:rFonts w:ascii="Times New Roman" w:cs="Times New Roman" w:eastAsia="Times New Roman" w:hAnsi="Times New Roman"/>
          <w:sz w:val="18"/>
          <w:szCs w:val="18"/>
          <w:color w:val="auto"/>
        </w:rPr>
      </w:pPr>
    </w:p>
    <w:p>
      <w:pPr>
        <w:ind w:right="80" w:firstLine="436"/>
        <w:spacing w:after="0" w:line="277" w:lineRule="auto"/>
        <w:tabs>
          <w:tab w:leader="none" w:pos="695" w:val="left"/>
        </w:tabs>
        <w:numPr>
          <w:ilvl w:val="0"/>
          <w:numId w:val="2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from any agreement providing for indemnification, adjustment of purchase price or similar obligations (including contingent earn-out or similar obligations), or payment obligations in respect of any non-compete, consulting or similar arrangements, in each case incurred in connection with any Disposition permitted hereunder, any acquisition or other Investment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such Restricted Subsidiary pursuant to any such agreement;</w:t>
      </w:r>
    </w:p>
    <w:p>
      <w:pPr>
        <w:spacing w:after="0" w:line="167" w:lineRule="exact"/>
        <w:rPr>
          <w:rFonts w:ascii="Times New Roman" w:cs="Times New Roman" w:eastAsia="Times New Roman" w:hAnsi="Times New Roman"/>
          <w:sz w:val="17"/>
          <w:szCs w:val="17"/>
          <w:color w:val="auto"/>
        </w:rPr>
      </w:pPr>
    </w:p>
    <w:p>
      <w:pPr>
        <w:jc w:val="both"/>
        <w:ind w:right="480" w:firstLine="436"/>
        <w:spacing w:after="0" w:line="266" w:lineRule="auto"/>
        <w:tabs>
          <w:tab w:leader="none" w:pos="6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 pursuant to tenders, statutory obligations (including health, safety and environmental obligations), bids, leases, governmental contracts, trade contracts, surety, indemnity, stay, customs, judgment, appeal, performance, completion and/or return of money bonds or guaranties or other similar obligations incurred in the ordinary course 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226" w:name="page227"/>
    <w:bookmarkEnd w:id="226"/>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business (which shall be deemed to include any judgments, awards, attachments and/or decrees and notices of lis pendens and associated rights relating to litigation being contested in good faith and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and (ii) in respect of letters of credit, bank guaranties, surety bonds, performance bonds or similar instruments to support any of the foregoing items;</w:t>
      </w:r>
    </w:p>
    <w:p>
      <w:pPr>
        <w:spacing w:after="0" w:line="176" w:lineRule="exact"/>
        <w:rPr>
          <w:sz w:val="20"/>
          <w:szCs w:val="20"/>
          <w:color w:val="auto"/>
        </w:rPr>
      </w:pPr>
    </w:p>
    <w:p>
      <w:pPr>
        <w:ind w:right="40" w:firstLine="436"/>
        <w:spacing w:after="0" w:line="266" w:lineRule="auto"/>
        <w:tabs>
          <w:tab w:leader="none" w:pos="66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 Permitted Treasury Arrangements and all other netting services, overdraft protections, treasury, depository, pooling and other cash management arrangements, including, in all cases, incentive, supplier finance or similar programs and in connection with deposit accounts and (ii) Qualified Supply Chain Financings;</w:t>
      </w:r>
    </w:p>
    <w:p>
      <w:pPr>
        <w:spacing w:after="0" w:line="175" w:lineRule="exact"/>
        <w:rPr>
          <w:rFonts w:ascii="Times New Roman" w:cs="Times New Roman" w:eastAsia="Times New Roman" w:hAnsi="Times New Roman"/>
          <w:sz w:val="18"/>
          <w:szCs w:val="18"/>
          <w:color w:val="auto"/>
        </w:rPr>
      </w:pPr>
    </w:p>
    <w:p>
      <w:pPr>
        <w:ind w:right="20" w:firstLine="436"/>
        <w:spacing w:after="0" w:line="274" w:lineRule="auto"/>
        <w:tabs>
          <w:tab w:leader="none" w:pos="695"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Guarantees by the Borrower and/or any Restricted Subsidiary of the obligations of suppliers, customers, franchisees, licensees, sublicensees and cross-licensees in the ordinary course of business, (ii) Indebtedness (A) incurred in the ordinary course of business in respect of obligations of the Borrower and/or any Restricted Subsidiary to pay the deferred purchase price of property or services or progress payments in connection with such property and services or (B) consisting of obligations under deferred purchase price or other similar arrangements incurred in connection with Permitted Acquisitions or any other Investment expressly permitted hereunder and (iii) Indebtedness in respect of letters of credit, bankers’ acceptances, bank guaranties or similar instruments supporting trade payables, warehouse receipts or similar facilities entered into in the ordinary course of business;</w:t>
      </w:r>
    </w:p>
    <w:p>
      <w:pPr>
        <w:spacing w:after="0" w:line="172" w:lineRule="exact"/>
        <w:rPr>
          <w:rFonts w:ascii="Times New Roman" w:cs="Times New Roman" w:eastAsia="Times New Roman" w:hAnsi="Times New Roman"/>
          <w:sz w:val="17"/>
          <w:szCs w:val="17"/>
          <w:color w:val="auto"/>
        </w:rPr>
      </w:pPr>
    </w:p>
    <w:p>
      <w:pPr>
        <w:jc w:val="both"/>
        <w:ind w:right="40" w:firstLine="436"/>
        <w:spacing w:after="0" w:line="261"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(including any co-issuance) by the Borrower and/or any Restricted Subsidiary of Indebtedness or other obligations of the Borrower, any Restricted Subsidiary and/or any Joint Venture with respect to Indebtedness otherwise permitted to be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other obligations not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Guarantee by any Loan Party of the obligations of any non-Loan Party, the related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existing, or pursuant to commitments existing (or anticipated), on the Closing Date and, with respect to any such item of Indebtedness in an aggregate committed or principal amount in excess of $10,000,000, described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(as such Schedule may be updated by the Borrower with the consent of the Administrative Agent (not to be unreasonably withheld, delayed or conditioned) after the Signing Date and on or prior to the Closing Date);</w:t>
      </w:r>
    </w:p>
    <w:p>
      <w:pPr>
        <w:spacing w:after="0" w:line="179"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Restricted Subsidiaries that are not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such Indebtedness incurred pursuant to this clause shall not exceed the greater of $675,000,000 and 30%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consisting of obligations owing under incentive, supply, license, sublicense or similar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right="300" w:firstLine="436"/>
        <w:spacing w:after="0" w:line="266" w:lineRule="auto"/>
        <w:tabs>
          <w:tab w:leader="none" w:pos="65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consisting of (i) the financing of insurance premiums, (ii) take-or-pay obligations contained in supply arrangements in the ordinary course of business and/or (iii) obligations to reacquire assets or inventory in connection with customer financing arrangements in the ordinary course of business;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227" w:name="page228"/>
    <w:bookmarkEnd w:id="227"/>
    <w:p>
      <w:pPr>
        <w:ind w:left="-20" w:right="140" w:firstLine="436"/>
        <w:spacing w:after="0" w:line="256" w:lineRule="auto"/>
        <w:tabs>
          <w:tab w:leader="none" w:pos="72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the Borrower and/or any Restricted Subsidiary with respect to Finance Leases (including Finance Leases entered into in connection with any Sale and Lease-Back Transaction) and purchase money Indebtedness (including mortgage financing, industrial revenue bond, industrial development bond or similar financings) or Indebtedness to finance the construction, purchase, repair, replacement, lease, installation, maintenance or improvement of property (real or personal) or any fixed or capital asset (whether through direct purchase of assets or the Capital Stock of a Person owning such assets), in an aggregate outstanding principal amount not to exceed the greater of $1,012,500,000 and 45% of Consolidated Adjusted EBITDA as of the last day of the most recently ended Test Period;</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2" w:lineRule="auto"/>
        <w:tabs>
          <w:tab w:leader="none" w:pos="67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Indebtedness of any Person that becomes a Restricted Subsidiary or Indebtedness assumed in connection with an acquisition or other Investment permitted hereunder after the Signing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(A) existed at the time such Person became a Restricted Subsidiary or the assets subject to such Indebtedness were acquired and (B) was not created or incurred in anticipation thereof and (ii) the aggregate outstanding principal amount of such Indebtedness assumed pursuant to this </w:t>
      </w:r>
      <w:r>
        <w:rPr>
          <w:rFonts w:ascii="Times New Roman" w:cs="Times New Roman" w:eastAsia="Times New Roman" w:hAnsi="Times New Roman"/>
          <w:sz w:val="18"/>
          <w:szCs w:val="18"/>
          <w:u w:val="single" w:color="auto"/>
          <w:color w:val="auto"/>
        </w:rPr>
        <w:t>clause (n)(1)</w:t>
      </w:r>
      <w:r>
        <w:rPr>
          <w:rFonts w:ascii="Times New Roman" w:cs="Times New Roman" w:eastAsia="Times New Roman" w:hAnsi="Times New Roman"/>
          <w:sz w:val="18"/>
          <w:szCs w:val="18"/>
          <w:color w:val="auto"/>
        </w:rPr>
        <w:t xml:space="preserve"> does not exceed (A) the amount available for Incremental Equivalent Debt under the applicable ratio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 plus (B) the greater of $337,500,000 and 15% of Consolidated Adjusted EBITDA as of the last day of the most recently ended Test Period and (2) Indebtedness incurred in connection with an acquisition or other Investment permitted hereunder after the Closing Date in an amount of such Indebtedness incurred pursuant to this </w:t>
      </w:r>
      <w:r>
        <w:rPr>
          <w:rFonts w:ascii="Times New Roman" w:cs="Times New Roman" w:eastAsia="Times New Roman" w:hAnsi="Times New Roman"/>
          <w:sz w:val="18"/>
          <w:szCs w:val="18"/>
          <w:u w:val="single" w:color="auto"/>
          <w:color w:val="auto"/>
        </w:rPr>
        <w:t>clause (n)(2)</w:t>
      </w:r>
      <w:r>
        <w:rPr>
          <w:rFonts w:ascii="Times New Roman" w:cs="Times New Roman" w:eastAsia="Times New Roman" w:hAnsi="Times New Roman"/>
          <w:sz w:val="18"/>
          <w:szCs w:val="18"/>
          <w:color w:val="auto"/>
        </w:rPr>
        <w:t xml:space="preserve"> not to exceed the amount available for Incremental Equivalent Debt under the Incremental Cap (it being understood that if such Indebtedness is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Incremental Cap, the Borrower must be in compliance with the applicable ratio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w:t>
      </w:r>
    </w:p>
    <w:p>
      <w:pPr>
        <w:spacing w:after="0" w:line="19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and its Restricted Subsidiaries may become and remain liable for any Indebtedness extending, refinancing, refunding or replacing any Indebtedness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any case, including any extending, refinancing, refunding or replacing Indebtedness incurred in respect thereof,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and any subsequent Refinancing Indebtedness in respect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principal amount of such Refinancing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Indebtedness does not exceed the principal amount of the Indebtedness being extended, refinanced, refunded or replaced, except by (A) an amount equal to unpaid accrued interest, penalties and premiums (including tender premiums) thereon plus underwriting discounts and other customary fees, commissions and expenses (including upfront fees, original issue discount or initial yield payments) incurred in connection with the relevant extension, refinancing, refunding or replacement, (B) an amount equal to any existing commitments unutilized thereunder and (C) additional amounts permitted to be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additional Indebtedness referred to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satisfies the other applicable requirements of this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(with additional amounts incurred in reliance on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constituting a utilization of the relevant basket or exception pursuant to which such additional amount is permitted) and (2) if such additional Indebtedness is secured, the Liens securing such Indebtedness are permitted under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(ii) in the case of Refinancing Indebtedness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(subject to the Permitted Earlier Maturity Indebtedness Exception and other than (v) customary bridge loans with a maturity date of no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(w) escrowed debt subject to a customary special mandatory redemption, (x) 364-day bridge loans, (y) Five Year Notes and (z)</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60"/>
          </w:cols>
          <w:pgMar w:left="460" w:top="270" w:right="479" w:bottom="1440" w:gutter="0" w:footer="0" w:header="0"/>
        </w:sectPr>
      </w:pPr>
    </w:p>
    <w:bookmarkStart w:id="228" w:name="page229"/>
    <w:bookmarkEnd w:id="228"/>
    <w:p>
      <w:pPr>
        <w:ind w:left="4" w:right="8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convertible notes or other convertible debt securities), such Refinancing Indebtedness has (A) a final maturity on or later than (and, in the case of revolving Indebtedness, does not require mandatory commitment reductions (other than due to outstandings thereunder exceeding revolving commitments), if any, prior to) the earlier of (x) the Latest Term Loan Maturity Date at the time of the incurrence of such Refinancing Indebtedness and</w:t>
      </w:r>
    </w:p>
    <w:p>
      <w:pPr>
        <w:spacing w:after="0" w:line="2" w:lineRule="exact"/>
        <w:rPr>
          <w:sz w:val="20"/>
          <w:szCs w:val="20"/>
          <w:color w:val="auto"/>
        </w:rPr>
      </w:pPr>
    </w:p>
    <w:p>
      <w:pPr>
        <w:ind w:left="4" w:right="60" w:hanging="4"/>
        <w:spacing w:after="0" w:line="250" w:lineRule="auto"/>
        <w:tabs>
          <w:tab w:leader="none" w:pos="259"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maturity of the Indebtedness being extended, refinanced, refunded or replaced and (B) other than with respect to revolving Indebtedness, a Weighted Average Life to Maturity equal to or greater than (x) the remaining Weighted Average Life to Maturity of the Indebtedness being extended, refinanced, refunded or replaced or (y) the remaining Weighted Average Life to Maturity of the outstanding Term Loans at the time of the incurrence of such Refinancing Indebtedness, (iii) with respect to any Refinancing Indebtedness with an original principal amount in excess of the Threshold Amount (other than Indebtedness of the type described in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the terms thereof (excluding pricing, fees, premiums, rate floors, optional prepayment or redemption terms (and, if applicable, subordination terms) and, with respect to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below, security) are not, taken as a whole (as determined by the Borrower in good faith), materially more favorable to the lenders providing such Indebtedness than those applicable to the Indebtedness being extended, refinanced, refunded or replaced (other than any covenants or any other terms or provisions (X) applicable only to periods after the maturity date of the Indebtedness being extended, refinanced, refunded or replaced at the time of the incurrence of such Refinancing Indebtedness, (Y) that are then-current market terms (as determined by the Borrower in good faith at the time of incurrence or issuance (or the obtaining of a commitment with respect thereto)) for the applicable type of Indebtedness or (Z) solely in the case of Refinancing Indebtedness in respect of Indebtedness incurred in reliance on </w:t>
      </w:r>
      <w:r>
        <w:rPr>
          <w:rFonts w:ascii="Times New Roman" w:cs="Times New Roman" w:eastAsia="Times New Roman" w:hAnsi="Times New Roman"/>
          <w:sz w:val="18"/>
          <w:szCs w:val="18"/>
          <w:u w:val="single" w:color="auto"/>
          <w:color w:val="auto"/>
        </w:rPr>
        <w:t>clauses</w:t>
      </w:r>
    </w:p>
    <w:p>
      <w:pPr>
        <w:spacing w:after="0" w:line="4" w:lineRule="exact"/>
        <w:rPr>
          <w:rFonts w:ascii="Times New Roman" w:cs="Times New Roman" w:eastAsia="Times New Roman" w:hAnsi="Times New Roman"/>
          <w:sz w:val="18"/>
          <w:szCs w:val="18"/>
          <w:color w:val="auto"/>
        </w:rPr>
      </w:pPr>
    </w:p>
    <w:p>
      <w:pPr>
        <w:ind w:left="4" w:right="40" w:hanging="4"/>
        <w:spacing w:after="0" w:line="250" w:lineRule="auto"/>
        <w:tabs>
          <w:tab w:leader="none" w:pos="249" w:val="left"/>
        </w:tabs>
        <w:numPr>
          <w:ilvl w:val="0"/>
          <w:numId w:val="30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terms or other provisions which are conformed (or added) to the Loan Documents for the benefit of the Lenders or, as applicable, the Administrative Agent and/or the Collateral Agent, pursuant to an amendment to this Agreement effectuated in reliance on</w:t>
      </w:r>
    </w:p>
    <w:p>
      <w:pPr>
        <w:ind w:left="4"/>
        <w:spacing w:after="0" w:line="250"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u w:val="single" w:color="auto"/>
          <w:color w:val="auto"/>
        </w:rPr>
        <w:t>Section 10.02(d)(ii)</w:t>
      </w:r>
      <w:r>
        <w:rPr>
          <w:rFonts w:ascii="Times New Roman" w:cs="Times New Roman" w:eastAsia="Times New Roman" w:hAnsi="Times New Roman"/>
          <w:sz w:val="18"/>
          <w:szCs w:val="18"/>
          <w:color w:val="auto"/>
        </w:rPr>
        <w:t xml:space="preserve">), (iv) the incurrence thereof shall be without duplication of any amounts outstanding in reliance on the relevant clause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pursuant to which the Indebtedness being extended, refinanced, refunded or replaced was incurred (i.e., the incurrence of such Refinancing Indebtedness shall not create availability under such relevant clause), (v) except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 such Indebtedness, if secured, is secured only by Permitted Liens at the time of such extension, refinancing, refunding or replacement (it being understood that secured Indebtedness may be refinanced with unsecured Indebtedness), (B) such Indebtedness is not incurred by the Borrower or a Restricted Subsidiary that was not an obligor in respect of the Indebtedness being extended, refinanced, refunded or replaced, except to the extent otherwise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(C) if the Indebtedness being extended, refinanced, refunded or replaced was contractually subordinated to the Loan Document Obligations in right of payment (or the Liens securing such Indebtedness were contractually subordinated to the Liens on the Collateral securing the Obligations), such Indebtedness is contractually subordinated to the Loan Document Obligations in right of payment (or the Liens securing such Indebtedness are subordinated to the Liens on the relevant Collateral securing the Obligations) either (x) on terms not materially less favorable, taken as a whole, to the Lenders than those applicable to the Indebtedness (or Liens, as applicable) being extended, refinanced, refunded or replaced, taken as a whole (as determined by the Borrower in good faith) or (y) pursuant to an Acceptable Intercreditor Agreement, (vi) except in the case of Refinancing Indebtedness with respect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as of the date of the incurrence of such Indebtedness and after giving effect thereto, there shall exist no Specified Event of Default and (vii)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 such Refinancing Indebtedness is pari passu or junior in right of payment and secured by the Collateral on a pari passu or junior basis with respect to the remaining Loan Document Obligations hereunder, or is unsecured;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Refinancing Indebtedness that is pari passu or junior with respect to the Collateral shall be subject to an Acceptable Intercreditor Agreement, (B) if such Refinancing Indebtedness is secured, it is not secured by any assets other than the Collateral, (C) if such Refinancing Indebtedness is guaranteed, it shall not be guaranteed by any Person other than a Loan Party and</w:t>
      </w:r>
    </w:p>
    <w:p>
      <w:pPr>
        <w:spacing w:after="0" w:line="7" w:lineRule="exact"/>
        <w:rPr>
          <w:rFonts w:ascii="Times New Roman" w:cs="Times New Roman" w:eastAsia="Times New Roman" w:hAnsi="Times New Roman"/>
          <w:sz w:val="18"/>
          <w:szCs w:val="18"/>
          <w:u w:val="single" w:color="auto"/>
          <w:color w:val="auto"/>
        </w:rPr>
      </w:pPr>
    </w:p>
    <w:p>
      <w:pPr>
        <w:ind w:left="4"/>
        <w:spacing w:after="0"/>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(D) such Refinancing Indebtedness shall be incurred under (and pursuant to) documentation other than this Agreement;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4"/>
          </w:cols>
          <w:pgMar w:left="436" w:top="270" w:right="459" w:bottom="1440" w:gutter="0" w:footer="0" w:header="0"/>
        </w:sectPr>
      </w:pPr>
    </w:p>
    <w:bookmarkStart w:id="229" w:name="page230"/>
    <w:bookmarkEnd w:id="229"/>
    <w:p>
      <w:pPr>
        <w:ind w:left="700" w:hanging="264"/>
        <w:spacing w:after="0"/>
        <w:tabs>
          <w:tab w:leader="none" w:pos="7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endorsement of instruments or other payment items for collection or deposit in the ordinary course of business;</w:t>
      </w:r>
    </w:p>
    <w:p>
      <w:pPr>
        <w:spacing w:after="0" w:line="225" w:lineRule="exact"/>
        <w:rPr>
          <w:rFonts w:ascii="Times New Roman" w:cs="Times New Roman" w:eastAsia="Times New Roman" w:hAnsi="Times New Roman"/>
          <w:sz w:val="18"/>
          <w:szCs w:val="18"/>
          <w:color w:val="auto"/>
        </w:rPr>
      </w:pPr>
    </w:p>
    <w:p>
      <w:pPr>
        <w:ind w:right="440" w:firstLine="436"/>
        <w:spacing w:after="0" w:line="282" w:lineRule="auto"/>
        <w:tabs>
          <w:tab w:leader="none" w:pos="66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Additional Letter of Credit Facility in an aggregate principal or face amount at any time outstanding not to exceed the greater of $562,500,000 and 25%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under any Derivative Transaction not entered into for speculative purposes;</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225"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an aggregate outstanding principal amount at any time outstanding not to exceed the greater of $1,350,000,000 and 60%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an aggregate outstanding principal amount not to exceed 100% of the amount of any capital contributions or other proceeds received by the Borrower or any Restricted Subsidiary (i) from the issuance or sale of its Qualified Capital Stock or (ii) in the form of any cash contribution, plus the fair market value, as determined by the Borrower in good faith, of Cash Equivalents, marketable securities or other property received by the Borrower or any Restricted Subsidiary from the issuance and sale of its Qualified Capital Stock or a contribution to the Qualified Capital Stock of the Borrower or any Restricted Subsidiary (including through consolidation, amalgamation or merger), in each case after the Closing Date, and in each case other than (A) any proceeds received from the sale of Capital Stock to, or contributions from, the Borrower or any of its Restricted Subsidiaries, (B) to the extent the relevant proceeds have otherwise been applied to make Investments, Restricted Payments or Restricted Debt Payments hereunder, (C) any Available Excluded Contribution Amount and (D) any Cure Amount;</w:t>
      </w:r>
    </w:p>
    <w:p>
      <w:pPr>
        <w:spacing w:after="0" w:line="191"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under a Qualified Receivables Facility;</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Other Secured Debt in an aggregate principal amount at any time outstanding not to exceed $1,750,000,000;</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69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incurred in connection with Sale and Lease-Back Transactions permitted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85" w:val="left"/>
        </w:tabs>
        <w:numPr>
          <w:ilvl w:val="0"/>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Specified Event of Default shall exist immediately prior to or after giving effect to such Incremental Equivalent Debt (except in connection with any acquisition or other Investment or repayment or redemption of Indebtedness, where no such Specified Event of Default shall exist at the time as elected by the Borrower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aggregate principal amount of Incremental Equivalent Debt outstanding in respect of any Restricted Subsidiaries that are not Loan Parties shall not exceed the greater of $562,500,000 and 25% of Consolidated Adjusted EBITDA as of the last day of the most recently ended Test Period;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230" w:name="page231"/>
    <w:bookmarkEnd w:id="230"/>
    <w:p>
      <w:pPr>
        <w:ind w:left="-40" w:right="240" w:firstLine="436"/>
        <w:spacing w:after="0" w:line="258" w:lineRule="auto"/>
        <w:tabs>
          <w:tab w:leader="none" w:pos="72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(including obligations in respect of letters of credit, bank guaranties, surety bonds, performance bonds or similar instruments with respect to such Indebtedness) incurred by the Borrower and/or any Restricted Subsidiary in respect of workers’ compensation claims (or other Indebtedness in respect of reimbursement type obligations regarding workers’ compensation claims), unemployment insurance (including premiums related thereto), other types of social security, pension obligations, vacation pay, health, disability or other employee benefits or property, casualty or liability insurance or self-insurance;</w:t>
      </w:r>
    </w:p>
    <w:p>
      <w:pPr>
        <w:spacing w:after="0" w:line="183" w:lineRule="exact"/>
        <w:rPr>
          <w:rFonts w:ascii="Times New Roman" w:cs="Times New Roman" w:eastAsia="Times New Roman" w:hAnsi="Times New Roman"/>
          <w:sz w:val="18"/>
          <w:szCs w:val="18"/>
          <w:color w:val="auto"/>
        </w:rPr>
      </w:pPr>
    </w:p>
    <w:p>
      <w:pPr>
        <w:ind w:left="-40" w:firstLine="436"/>
        <w:spacing w:after="0" w:line="266" w:lineRule="auto"/>
        <w:tabs>
          <w:tab w:leader="none" w:pos="74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representing (i) deferred compensation to any Permitted Payee in the ordinary course of business and (ii) deferred compensation or other similar arrangements in connection with the Transactions, any Permitted Acquisition or any other Investment permitted hereby;</w:t>
      </w:r>
    </w:p>
    <w:p>
      <w:pPr>
        <w:spacing w:after="0" w:line="175" w:lineRule="exact"/>
        <w:rPr>
          <w:rFonts w:ascii="Times New Roman" w:cs="Times New Roman" w:eastAsia="Times New Roman" w:hAnsi="Times New Roman"/>
          <w:sz w:val="18"/>
          <w:szCs w:val="18"/>
          <w:color w:val="auto"/>
        </w:rPr>
      </w:pPr>
    </w:p>
    <w:p>
      <w:pPr>
        <w:ind w:left="-40" w:right="80" w:firstLine="436"/>
        <w:spacing w:after="0" w:line="266" w:lineRule="auto"/>
        <w:tabs>
          <w:tab w:leader="none" w:pos="72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respect of any letter of credit or bank guarantee issued in favor of any issuing bank or swingline lender to support any defaulting lender’s participation in letters of credit issued, or swingline loans made, hereunder or under any Additional Letter of Credit Facilities;</w:t>
      </w:r>
    </w:p>
    <w:p>
      <w:pPr>
        <w:spacing w:after="0" w:line="175" w:lineRule="exact"/>
        <w:rPr>
          <w:rFonts w:ascii="Times New Roman" w:cs="Times New Roman" w:eastAsia="Times New Roman" w:hAnsi="Times New Roman"/>
          <w:sz w:val="18"/>
          <w:szCs w:val="18"/>
          <w:color w:val="auto"/>
        </w:rPr>
      </w:pPr>
    </w:p>
    <w:p>
      <w:pPr>
        <w:ind w:left="-40" w:right="100" w:firstLine="436"/>
        <w:spacing w:after="0" w:line="282" w:lineRule="auto"/>
        <w:tabs>
          <w:tab w:leader="none" w:pos="74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Restricted Subsidiary supported by any letter of credit issued hereunder or under any Additional Letter of Credit Facility or any other letters of credit or bank guarantees permitted hereunder;</w:t>
      </w:r>
    </w:p>
    <w:p>
      <w:pPr>
        <w:spacing w:after="0" w:line="161" w:lineRule="exact"/>
        <w:rPr>
          <w:rFonts w:ascii="Times New Roman" w:cs="Times New Roman" w:eastAsia="Times New Roman" w:hAnsi="Times New Roman"/>
          <w:sz w:val="18"/>
          <w:szCs w:val="18"/>
          <w:color w:val="auto"/>
        </w:rPr>
      </w:pPr>
    </w:p>
    <w:p>
      <w:pPr>
        <w:ind w:left="-40" w:right="40" w:firstLine="436"/>
        <w:spacing w:after="0" w:line="312" w:lineRule="auto"/>
        <w:tabs>
          <w:tab w:leader="none" w:pos="725" w:val="left"/>
        </w:tabs>
        <w:numPr>
          <w:ilvl w:val="0"/>
          <w:numId w:val="3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Times New Roman" w:cs="Times New Roman" w:eastAsia="Times New Roman" w:hAnsi="Times New Roman"/>
          <w:sz w:val="17"/>
          <w:szCs w:val="17"/>
          <w:u w:val="single" w:color="auto"/>
          <w:color w:val="auto"/>
        </w:rPr>
        <w:t>Section 8.01(i)</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40" w:right="200" w:firstLine="436"/>
        <w:spacing w:after="0" w:line="266" w:lineRule="auto"/>
        <w:tabs>
          <w:tab w:leader="none" w:pos="682"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other Indebtedness, all premiums (if any), interest (including post-petition interest and payment in kind interest), accretion or amortization of original issue discount, fees, expenses and charges with respect to Indebtedness of the Borrower and/or any Restricted Subsidiary hereunder;</w:t>
      </w:r>
    </w:p>
    <w:p>
      <w:pPr>
        <w:spacing w:after="0" w:line="175" w:lineRule="exact"/>
        <w:rPr>
          <w:rFonts w:ascii="Times New Roman" w:cs="Times New Roman" w:eastAsia="Times New Roman" w:hAnsi="Times New Roman"/>
          <w:sz w:val="18"/>
          <w:szCs w:val="18"/>
          <w:color w:val="auto"/>
        </w:rPr>
      </w:pPr>
    </w:p>
    <w:p>
      <w:pPr>
        <w:ind w:left="740" w:hanging="344"/>
        <w:spacing w:after="0"/>
        <w:tabs>
          <w:tab w:leader="none" w:pos="7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0" w:right="40" w:firstLine="436"/>
        <w:spacing w:after="0" w:line="282" w:lineRule="auto"/>
        <w:tabs>
          <w:tab w:leader="none" w:pos="74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and services purchased in the ordinary course of business;</w:t>
      </w:r>
    </w:p>
    <w:p>
      <w:pPr>
        <w:spacing w:after="0" w:line="161"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(other than for borrowed money) subject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left="-40" w:right="400" w:firstLine="436"/>
        <w:spacing w:after="0" w:line="261" w:lineRule="auto"/>
        <w:tabs>
          <w:tab w:leader="none" w:pos="74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 connection with bankers’ acceptances, discounted bills of exchange or the discounting or factoring of receivables for credit management purposes, in each case incurred or undertaken in the ordinary course of business on arm’s-length commercial terms and (ii) the incurrence of Indebtedness attributable to the exercise of appraisal rights or the settlement of any claims or actions (whether actual, contingent or potential) with respect to any acquisition (by merger, consolidation or amalgamation or otherwise) in accordance with the terms hereof;</w:t>
      </w:r>
    </w:p>
    <w:p>
      <w:pPr>
        <w:spacing w:after="0" w:line="179" w:lineRule="exact"/>
        <w:rPr>
          <w:rFonts w:ascii="Times New Roman" w:cs="Times New Roman" w:eastAsia="Times New Roman" w:hAnsi="Times New Roman"/>
          <w:sz w:val="18"/>
          <w:szCs w:val="18"/>
          <w:color w:val="auto"/>
        </w:rPr>
      </w:pPr>
    </w:p>
    <w:p>
      <w:pPr>
        <w:ind w:left="-40" w:right="140" w:firstLine="436"/>
        <w:spacing w:after="0" w:line="266" w:lineRule="auto"/>
        <w:tabs>
          <w:tab w:leader="none" w:pos="665"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20"/>
          </w:cols>
          <w:pgMar w:left="480" w:top="270" w:right="499" w:bottom="1440" w:gutter="0" w:footer="0" w:header="0"/>
        </w:sectPr>
      </w:pPr>
    </w:p>
    <w:bookmarkStart w:id="231" w:name="page232"/>
    <w:bookmarkEnd w:id="231"/>
    <w:p>
      <w:pPr>
        <w:ind w:left="4" w:right="140" w:firstLine="436"/>
        <w:spacing w:after="0" w:line="282" w:lineRule="auto"/>
        <w:tabs>
          <w:tab w:leader="none" w:pos="88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in an aggregate principal amount outstanding at any time not to exceed 100% of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 6.04(a)(x)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320" w:firstLine="436"/>
        <w:spacing w:after="0" w:line="266" w:lineRule="auto"/>
        <w:tabs>
          <w:tab w:leader="none" w:pos="789"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not Loan Parties incurred to fund working capital requirements in an aggregate principal amount at any time outstanding not to exceed the greater of $225,000,000 and 10% of Consolidated Adjusted EBITDA as of the last day of the most recently ended Test Period.</w:t>
      </w:r>
    </w:p>
    <w:p>
      <w:pPr>
        <w:spacing w:after="0" w:line="176"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the accrual of interest or dividends, the accretion of accreted value, the accretion of amortization of original issue discount and the payment or accrual of interest or dividends in the form of additional Indebtedness shall not constitute the creation, incurrence, assumption of Indebtedness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left="4"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and each other Loan Party shall not, nor shall it permit any Restricted Subsidiary to, create, incur, assume or permit or suffer to exist any Lien on or with respect to any property of any kind owned by it, whether now owned or hereafter acquired, or any income or profits therefrom, in each case securing Indebtedness of the Borrower and its Restricted Subsidiaries except:</w:t>
      </w:r>
    </w:p>
    <w:p>
      <w:pPr>
        <w:spacing w:after="0" w:line="68" w:lineRule="exact"/>
        <w:rPr>
          <w:sz w:val="20"/>
          <w:szCs w:val="20"/>
          <w:color w:val="auto"/>
        </w:rPr>
      </w:pPr>
    </w:p>
    <w:p>
      <w:pPr>
        <w:ind w:left="4" w:right="320" w:firstLine="436"/>
        <w:spacing w:after="0" w:line="282" w:lineRule="auto"/>
        <w:tabs>
          <w:tab w:leader="none" w:pos="68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pursuant to the Loan Documents securing the Obligations (including Cash collateralization of Letters of Credit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or other governmental charges which are not overdue for a period of more than 60 days or, if more than 60 days overdue (i) are not at such time required to be paid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(ii) are being contested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(iii) with respect to which the failure to make payment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left="4" w:right="180" w:firstLine="436"/>
        <w:spacing w:after="0" w:line="256" w:lineRule="auto"/>
        <w:tabs>
          <w:tab w:leader="none" w:pos="68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(and rights of set-off) of landlords, sub landlords, construction contractors, banks, carriers, warehousemen, mechanics, repairmen, workmen and materialmen, and other Liens imposed by applicable Requirements of Law, in each case incurred in the ordinary course of business (i) for amounts not yet overdue by more than 60 days, (ii) for amounts that are overdue by more than 60 days (A) that are being contested in good faith by appropriate proceedings, so long as any reserves or other appropriate provisions required by GAAP have been made for any such contested amounts or (B) with respect to which no filing or other action has been taken to enforce such Lien or (iii) with respect to which the failure to make payment would not reasonably be expected to have a Material Adverse Effect;</w:t>
      </w:r>
    </w:p>
    <w:p>
      <w:pPr>
        <w:spacing w:after="0" w:line="187"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 in the ordinary course of business in connection with workers’ compensation, unemployment insurance, health, disability or employee benefits and other types of social security laws and regulations, or otherwise securing obligations incurred under </w:t>
      </w:r>
      <w:r>
        <w:rPr>
          <w:rFonts w:ascii="Times New Roman" w:cs="Times New Roman" w:eastAsia="Times New Roman" w:hAnsi="Times New Roman"/>
          <w:sz w:val="18"/>
          <w:szCs w:val="18"/>
          <w:u w:val="single" w:color="auto"/>
          <w:color w:val="auto"/>
        </w:rPr>
        <w:t>Section 6.01(aa)</w:t>
      </w:r>
      <w:r>
        <w:rPr>
          <w:rFonts w:ascii="Times New Roman" w:cs="Times New Roman" w:eastAsia="Times New Roman" w:hAnsi="Times New Roman"/>
          <w:sz w:val="18"/>
          <w:szCs w:val="18"/>
          <w:color w:val="auto"/>
        </w:rPr>
        <w:t xml:space="preserve">, (ii) in the ordinary course of business to secure the performance of tenders, statutory obligations, warranties, surety, stay, customs and appeal bonds, bids, leases, government contracts, trade contracts (including customer contracts), indemnitees, performance, completion and return-of-money bonds and other similar obligations (including those to secure (x) obligations incurred under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(y) health, safety and environmental obligations and</w:t>
      </w:r>
    </w:p>
    <w:p>
      <w:pPr>
        <w:spacing w:after="0" w:line="3" w:lineRule="exact"/>
        <w:rPr>
          <w:rFonts w:ascii="Times New Roman" w:cs="Times New Roman" w:eastAsia="Times New Roman" w:hAnsi="Times New Roman"/>
          <w:sz w:val="18"/>
          <w:szCs w:val="18"/>
          <w:color w:val="auto"/>
        </w:rPr>
      </w:pPr>
    </w:p>
    <w:p>
      <w:pPr>
        <w:ind w:left="4" w:right="60" w:hanging="4"/>
        <w:spacing w:after="0" w:line="253" w:lineRule="auto"/>
        <w:tabs>
          <w:tab w:leader="none" w:pos="249"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and bank guarantees required or requested by any Governmental Authority in connection with any contract or Requirement of Law) (exclusive of obligations for the payment of borrowed money), (iii) pursuant to pledges and deposits of Cash or Cash Equivalents in the ordinary course of business securing (x) any liability for reimbursement (including in respect of deductibles, self-insurance retention amounts and premiums and adjustments related thereto), premium or indemnification (including obligations in respect of letters of credit, bank guarantees or similar documents or instruments for the benefit of) obligations of insurance brokers or carriers providing</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4"/>
          </w:cols>
          <w:pgMar w:left="436" w:top="270" w:right="459" w:bottom="1440" w:gutter="0" w:footer="0" w:header="0"/>
        </w:sectPr>
      </w:pPr>
    </w:p>
    <w:bookmarkStart w:id="232" w:name="page233"/>
    <w:bookmarkEnd w:id="232"/>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property, casualty, liability or other insurance or self-insurance to the Borrower and its subsidiaries (including deductibles, self-insurance, co-payment, co-insurance and retentions) or (y) leases, sub-leases, licenses or sub-licenses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80" w:lineRule="exact"/>
        <w:rPr>
          <w:sz w:val="20"/>
          <w:szCs w:val="20"/>
          <w:color w:val="auto"/>
        </w:rPr>
      </w:pPr>
    </w:p>
    <w:p>
      <w:pPr>
        <w:ind w:left="4" w:firstLine="436"/>
        <w:spacing w:after="0" w:line="253" w:lineRule="auto"/>
        <w:tabs>
          <w:tab w:leader="none" w:pos="689"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covenants, conditions, site plan agreements, development agreements, operating agreements, cross-easement agreements, reciprocal easement agreements and encumbrances, applicable laws and municipal ordinances, rights-of-way, rights, waivers, reservations, restrictions, encroachments, servitudes for railways, sewers, drains, gas and oil and other pipelines, gas and water mains, electric light and power and telecommunication, telephone or telegraph or cable television conduits, poles, wires and cables and other similar protrusions or encumbrances, agreements and other similar matters of fact or record and matters that would be disclosed by a survey or inspection of any real property and other minor defects or irregularities in title, in each case (x) which do not, in the aggregate, materially interfere with the ordinary conduct of the business of the Borrower and/or its Restricted Subsidiaries, taken as a whole, or materially interfere with the use of the affected property for its intended purpose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have such title or having such Lien would not reasonably be expected to have a Material Adverse Effect;</w:t>
      </w:r>
    </w:p>
    <w:p>
      <w:pPr>
        <w:spacing w:after="0" w:line="206" w:lineRule="exact"/>
        <w:rPr>
          <w:rFonts w:ascii="Times New Roman" w:cs="Times New Roman" w:eastAsia="Times New Roman" w:hAnsi="Times New Roman"/>
          <w:sz w:val="18"/>
          <w:szCs w:val="18"/>
          <w:color w:val="auto"/>
        </w:rPr>
      </w:pPr>
    </w:p>
    <w:p>
      <w:pPr>
        <w:ind w:left="4" w:firstLine="436"/>
        <w:spacing w:after="0" w:line="255" w:lineRule="auto"/>
        <w:tabs>
          <w:tab w:leader="none" w:pos="66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consisting of any (i) interest or title of a lessor, sub-lessor, licensor or sub-licensor under any lease, sub-lease, license, sub-license or similar arrangement of real estate or other property (including any technology or intellectual property) permitted hereunder, (ii) 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or (v) deposit of cash with the owner or lessor of premises leased and operated by the Borrower or any Restricted Subsidiary in the ordinary course of business to secure the performance of obligations under the terms of the lease for such premises;</w:t>
      </w:r>
    </w:p>
    <w:p>
      <w:pPr>
        <w:spacing w:after="0" w:line="188"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solely on any Cash (or Cash Equivalent) earnest money deposits (including as part of any escrow arrangement) made by the Borrower and/or any of its Restricted Subsidiaries in connection with any letter of intent or purchase agreement with respect to any Investment permitted hereunder (or to secure letters of credit, bank guarantees or similar instruments posted in respect thereof), (ii) on advances of Cash or Cash Equivalents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to be applied against the purchase price for such Investment or (iii) consisting of (A) an agreement to Dispose of any property in a Disposition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and/or (B) the pledge of Cash or Cash Equivalents as part of an escrow or similar arrangement required in any Disposition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4" w:firstLine="436"/>
        <w:spacing w:after="0" w:line="258" w:lineRule="auto"/>
        <w:tabs>
          <w:tab w:leader="none" w:pos="69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or purported Liens evidenced by the filing of UCC financing statements or similar financing statements under applicable Requirements of Law relating solely to (i) operating leases or consignment or bailee arrangements entered into in the ordinary course of business, (ii) the sale of accounts receivable in the ordinary course of business for which a UCC financing statement or similar financing statement under applicable Requirements of Law is required and/or (iii) the sale of Receivables Facility Assets and related assets in connection with any Qualified Receivables Facility;</w:t>
      </w:r>
    </w:p>
    <w:p>
      <w:pPr>
        <w:spacing w:after="0" w:line="183"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659"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4"/>
          </w:cols>
          <w:pgMar w:left="436" w:top="270" w:right="459" w:bottom="1440" w:gutter="0" w:footer="0" w:header="0"/>
        </w:sectPr>
      </w:pPr>
    </w:p>
    <w:bookmarkStart w:id="233" w:name="page234"/>
    <w:bookmarkEnd w:id="233"/>
    <w:p>
      <w:pPr>
        <w:ind w:right="160" w:firstLine="436"/>
        <w:spacing w:after="0" w:line="266" w:lineRule="auto"/>
        <w:tabs>
          <w:tab w:leader="none" w:pos="65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in connection with any zoning, building or similar Requirement of Law or right reserved to or vested in any Governmental Authority to control or regulate the use of any dimensions of real property or any structure thereon, including Liens in connection with any condemnation, expropriation or eminent domain proceeding or compulsory purchase order;</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(solely with respect to the permitted extension, refinancing, refunding or replacement of Indebtedness permitted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asset not covered or required to be covered by the Lien securing the Indebtedness that is being refinanced other than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such extensions, refinancings, refundings or replacements of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and (ii) if the Indebtedness being refinanced was subject to intercreditor arrangements in respect of Liens on Collateral, then any refinancing Indebtedness in respect thereof secured by Liens on Collateral shall be subject to intercreditor arrangements not materially less favorable to the Secured Parties, taken as a whole, than the intercreditor arrangements governing the Indebtedness that is refinanced, or the intercreditor arrangements governing the relevant refinancing Indebtedness shall be set forth in an Acceptable Intercreditor Agreement;</w:t>
      </w:r>
    </w:p>
    <w:p>
      <w:pPr>
        <w:spacing w:after="0" w:line="191"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or contractually committed or contemplated as of, the Closing Date and, with respect to each such Lien securing Indebtedness in an aggregate committed or principal amount in excess of $10,000,000, described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(as such Schedule may be updated by the Borrower with the consent of the Administrative Agent (not to be unreasonably withheld, delayed or conditioned) after the Signing Date and on or prior to the Closing Date) and in each case any modification, replacement, refinancing,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additional property other than property required to be covered thereby and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out of Sale and Lease-Back Transactions permitted under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436"/>
        <w:spacing w:after="0" w:line="258"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encumber only the assets (including Capital Stock) acquired, constructed, repaired, replaced or improved with the proceeds of such Indebtedness, or the assets subject to the Sale and LeaseBack Transaction, as applicable, and proceeds and products thereof, replacements, accessions or additions thereto and improvements thereon and customary security deposits with respect thereto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w:t>
      </w:r>
    </w:p>
    <w:p>
      <w:pPr>
        <w:spacing w:after="0" w:line="183"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(i) </w:t>
      </w:r>
      <w:r>
        <w:rPr>
          <w:rFonts w:ascii="Times New Roman" w:cs="Times New Roman" w:eastAsia="Times New Roman" w:hAnsi="Times New Roman"/>
          <w:sz w:val="18"/>
          <w:szCs w:val="18"/>
          <w:u w:val="single" w:color="auto"/>
          <w:color w:val="auto"/>
        </w:rPr>
        <w:t>Section 6.01(n)(1)</w:t>
      </w:r>
      <w:r>
        <w:rPr>
          <w:rFonts w:ascii="Times New Roman" w:cs="Times New Roman" w:eastAsia="Times New Roman" w:hAnsi="Times New Roman"/>
          <w:sz w:val="18"/>
          <w:szCs w:val="18"/>
          <w:color w:val="auto"/>
        </w:rPr>
        <w:t xml:space="preserve"> on the relevant acquired assets or on the Capital Stock and assets of the relevant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(x) extends to or covers any other assets (other than the proceeds or products thereof, replacements, accessions or additions thereto and improvements thereon, it being understood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234" w:name="page235"/>
    <w:bookmarkEnd w:id="234"/>
    <w:p>
      <w:pPr>
        <w:ind w:left="4" w:right="2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individual financings of the type permitted under Section 6.01(m) provided by any lender may be cross-collateralized to other financings of such type provided by such lender or its affiliates) or (y) was created in contemplation of the applicable acquisition of assets or Capital Stock and (ii) Section</w:t>
      </w:r>
    </w:p>
    <w:p>
      <w:pPr>
        <w:spacing w:after="0" w:line="1" w:lineRule="exact"/>
        <w:rPr>
          <w:sz w:val="20"/>
          <w:szCs w:val="20"/>
          <w:color w:val="auto"/>
        </w:rPr>
      </w:pPr>
    </w:p>
    <w:p>
      <w:pPr>
        <w:ind w:left="4" w:right="120"/>
        <w:spacing w:after="0" w:line="260" w:lineRule="auto"/>
        <w:rPr>
          <w:sz w:val="20"/>
          <w:szCs w:val="20"/>
          <w:color w:val="auto"/>
        </w:rPr>
      </w:pPr>
      <w:r>
        <w:rPr>
          <w:rFonts w:ascii="Times New Roman" w:cs="Times New Roman" w:eastAsia="Times New Roman" w:hAnsi="Times New Roman"/>
          <w:sz w:val="18"/>
          <w:szCs w:val="18"/>
          <w:color w:val="auto"/>
        </w:rPr>
        <w:t>6.01(n)(2); provided that if any such Lien is on Collateral, the holders of such Indebtedness (or a representative thereof) shall be party to an Acceptable Intercreditor Agreement;</w:t>
      </w:r>
    </w:p>
    <w:p>
      <w:pPr>
        <w:spacing w:after="0" w:line="181" w:lineRule="exact"/>
        <w:rPr>
          <w:sz w:val="20"/>
          <w:szCs w:val="20"/>
          <w:color w:val="auto"/>
        </w:rPr>
      </w:pPr>
    </w:p>
    <w:p>
      <w:pPr>
        <w:ind w:left="4" w:right="120" w:firstLine="436"/>
        <w:spacing w:after="0" w:line="268" w:lineRule="auto"/>
        <w:tabs>
          <w:tab w:leader="none" w:pos="699"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that are contractual rights of set-off or netting or pledge relating to (A) the establishment of depositary relations with banks or other financial institutions not granted in connection with the issuance of Indebtedness, (B) pooled deposit or sweep accounts of the Borrower and/or any Restricted Subsidiary to permit satisfaction of overdraft or similar obligations incurred in the ordinary course of business of the Borrower and/or any Restricted Subsidiary, (C) purchase orders and other agreements entered into with customers of the Borrower and/or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or similar accounts,</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0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193" w:lineRule="exact"/>
        <w:rPr>
          <w:rFonts w:ascii="Times New Roman" w:cs="Times New Roman" w:eastAsia="Times New Roman" w:hAnsi="Times New Roman"/>
          <w:sz w:val="18"/>
          <w:szCs w:val="18"/>
          <w:color w:val="auto"/>
        </w:rPr>
      </w:pPr>
    </w:p>
    <w:p>
      <w:pPr>
        <w:ind w:left="4" w:right="420" w:firstLine="436"/>
        <w:spacing w:after="0" w:line="266" w:lineRule="auto"/>
        <w:tabs>
          <w:tab w:leader="none" w:pos="69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and Capital Stock of Restricted Subsidiaries that are not Loan Parties (including Capital Stock owned by such Persons) securing Indebtedness or other obligations of Restricted Subsidiaries that are not Loan Parties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not prohibited under this Agreement);</w:t>
      </w:r>
    </w:p>
    <w:p>
      <w:pPr>
        <w:spacing w:after="0" w:line="175"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66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(other than obligations representing Indebtedness for borrowed money) under operating, reciprocal easement or similar agreements entered into in the ordinary course of business of the Borrower and/or their Restricted Subsidiaries;</w:t>
      </w:r>
    </w:p>
    <w:p>
      <w:pPr>
        <w:spacing w:after="0" w:line="161"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7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disclosed in any Mortgage Policy delivered pursuant to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(as applicable) with respect to any Material Real Estate Asset, and any replacement, extension or renewal of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replacement, extension or renewal Lien shall cover any property other than the property that was subject to such Lien prior to such replacement, extension or renewal (and additions thereto, improvements thereon and the proceeds thereof);</w:t>
      </w:r>
    </w:p>
    <w:p>
      <w:pPr>
        <w:spacing w:after="0" w:line="179" w:lineRule="exact"/>
        <w:rPr>
          <w:rFonts w:ascii="Times New Roman" w:cs="Times New Roman" w:eastAsia="Times New Roman" w:hAnsi="Times New Roman"/>
          <w:sz w:val="18"/>
          <w:szCs w:val="18"/>
          <w:color w:val="auto"/>
        </w:rPr>
      </w:pPr>
    </w:p>
    <w:p>
      <w:pPr>
        <w:ind w:left="4" w:right="820" w:firstLine="436"/>
        <w:spacing w:after="0" w:line="282" w:lineRule="auto"/>
        <w:tabs>
          <w:tab w:leader="none" w:pos="65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 is on Collateral, the holders of such Indebtedness (or a representative thereof) shall be party to an Acceptable Intercreditor Agreement;</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99"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securing Indebtedness or other obligations in an aggregate principal amount outstanding at the time of incurrence not to exceed the greater of $1,350,000,000 and 60% of Consolidated Adjusted EBITDA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election of the Borrower with respect to any such Liens on Collateral, the holders of such Indebtedness or other obligations (or a representative thereof) shall be party to an Acceptable Intercreditor Agreement;</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4"/>
          </w:cols>
          <w:pgMar w:left="436" w:top="270" w:right="459" w:bottom="1440" w:gutter="0" w:footer="0" w:header="0"/>
        </w:sectPr>
      </w:pPr>
    </w:p>
    <w:bookmarkStart w:id="235" w:name="page236"/>
    <w:bookmarkEnd w:id="235"/>
    <w:p>
      <w:pPr>
        <w:jc w:val="both"/>
        <w:ind w:firstLine="436"/>
        <w:spacing w:after="0" w:line="266"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Liens on assets securing judgments, awards, attachments and/or decrees and notices of lis pendens and associated rights relating to litigation (including appeal bonds) being contested in good faith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and (ii) any cash deposits securing any settlement of litigation;</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73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(i) leases, licenses, subleases, sub-licenses or cross-licenses granted to others, (ii) assignments of IP Rights granted to a customer of the Borrower or any Restricted Subsidiary or otherwise in the ordinary course of business which do not secure any Indebtedness or (iii) the rights reserved or vested in any Person (including any Governmental Authority) by the terms of any lease, sublease, license, sub-license, franchise, grant or permit held by the Borrower or any of the Restricted Subsidiaries or by a statutory provision, to terminate any such lease, sub-lease, license, sub-license, franchise, grant or permit, or to require annual or periodic payments as a condition to the continuance thereof;</w:t>
      </w:r>
    </w:p>
    <w:p>
      <w:pPr>
        <w:spacing w:after="0" w:line="183"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Securities or other assets that are the subject of repurchase agreements constituting Investments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arising out of such repurchase transaction;</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letters of credit, bank guaranties, surety bonds, performance bonds or similar instruments permitted under </w:t>
      </w:r>
      <w:r>
        <w:rPr>
          <w:rFonts w:ascii="Times New Roman" w:cs="Times New Roman" w:eastAsia="Times New Roman" w:hAnsi="Times New Roman"/>
          <w:sz w:val="18"/>
          <w:szCs w:val="18"/>
          <w:u w:val="single" w:color="auto"/>
          <w:color w:val="auto"/>
        </w:rPr>
        <w:t>Sections 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spacing w:after="0" w:line="176" w:lineRule="exact"/>
        <w:rPr>
          <w:sz w:val="20"/>
          <w:szCs w:val="20"/>
          <w:color w:val="auto"/>
        </w:rPr>
      </w:pPr>
    </w:p>
    <w:p>
      <w:pPr>
        <w:ind w:right="180" w:firstLine="436"/>
        <w:spacing w:after="0" w:line="266" w:lineRule="auto"/>
        <w:tabs>
          <w:tab w:leader="none" w:pos="76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in favor of any Loan Party and/or (ii) granted by any non-Loan Party in favor of any Restricted Subsidiary that is not a Loan Party,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securing intercompany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securing other intercompany obligations not prohibited hereunder;</w:t>
      </w:r>
    </w:p>
    <w:p>
      <w:pPr>
        <w:spacing w:after="0" w:line="1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76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5" w:lineRule="exact"/>
        <w:rPr>
          <w:rFonts w:ascii="Times New Roman" w:cs="Times New Roman" w:eastAsia="Times New Roman" w:hAnsi="Times New Roman"/>
          <w:sz w:val="18"/>
          <w:szCs w:val="18"/>
          <w:color w:val="auto"/>
        </w:rPr>
      </w:pPr>
    </w:p>
    <w:p>
      <w:pPr>
        <w:ind w:right="40" w:firstLine="436"/>
        <w:spacing w:after="0" w:line="255" w:lineRule="auto"/>
        <w:tabs>
          <w:tab w:leader="none" w:pos="785"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 obligations under any Derivative Transaction of the type described in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(ii) obligations of the type described in </w:t>
      </w:r>
      <w:r>
        <w:rPr>
          <w:rFonts w:ascii="Times New Roman" w:cs="Times New Roman" w:eastAsia="Times New Roman" w:hAnsi="Times New Roman"/>
          <w:sz w:val="18"/>
          <w:szCs w:val="18"/>
          <w:u w:val="single" w:color="auto"/>
          <w:color w:val="auto"/>
        </w:rPr>
        <w:t>Section 6.01(f)(i)</w:t>
      </w:r>
      <w:r>
        <w:rPr>
          <w:rFonts w:ascii="Times New Roman" w:cs="Times New Roman" w:eastAsia="Times New Roman" w:hAnsi="Times New Roman"/>
          <w:sz w:val="18"/>
          <w:szCs w:val="18"/>
          <w:color w:val="auto"/>
        </w:rPr>
        <w:t xml:space="preserve"> (other than Qualified Supply Chain Financings), (iii) obligations of the type described in </w:t>
      </w:r>
      <w:r>
        <w:rPr>
          <w:rFonts w:ascii="Times New Roman" w:cs="Times New Roman" w:eastAsia="Times New Roman" w:hAnsi="Times New Roman"/>
          <w:sz w:val="18"/>
          <w:szCs w:val="18"/>
          <w:u w:val="single" w:color="auto"/>
          <w:color w:val="auto"/>
        </w:rPr>
        <w:t>Section 6.01(f)(ii)</w:t>
      </w:r>
      <w:r>
        <w:rPr>
          <w:rFonts w:ascii="Times New Roman" w:cs="Times New Roman" w:eastAsia="Times New Roman" w:hAnsi="Times New Roman"/>
          <w:sz w:val="18"/>
          <w:szCs w:val="18"/>
          <w:color w:val="auto"/>
        </w:rPr>
        <w:t xml:space="preserve"> (for the avoidance of doubt, subject to the cap set forth in the definition of Qualified Supply Chain Financings) and/or (iv) obligations of the type described in </w:t>
      </w:r>
      <w:r>
        <w:rPr>
          <w:rFonts w:ascii="Times New Roman" w:cs="Times New Roman" w:eastAsia="Times New Roman" w:hAnsi="Times New Roman"/>
          <w:sz w:val="18"/>
          <w:szCs w:val="18"/>
          <w:u w:val="single" w:color="auto"/>
          <w:color w:val="auto"/>
        </w:rPr>
        <w:t>Section 6.01(r)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which Liens (A) in each case under this </w:t>
      </w:r>
      <w:r>
        <w:rPr>
          <w:rFonts w:ascii="Times New Roman" w:cs="Times New Roman" w:eastAsia="Times New Roman" w:hAnsi="Times New Roman"/>
          <w:sz w:val="18"/>
          <w:szCs w:val="18"/>
          <w:u w:val="single" w:color="auto"/>
          <w:color w:val="auto"/>
        </w:rPr>
        <w:t>Section 6.02(dd)</w:t>
      </w:r>
      <w:r>
        <w:rPr>
          <w:rFonts w:ascii="Times New Roman" w:cs="Times New Roman" w:eastAsia="Times New Roman" w:hAnsi="Times New Roman"/>
          <w:sz w:val="18"/>
          <w:szCs w:val="18"/>
          <w:color w:val="auto"/>
        </w:rPr>
        <w:t xml:space="preserve">, may be (but are not required to be) secured by all or any of the Collateral so long as the Lien on the Collateral is subject to an Acceptable Intercreditor Agreement and (B)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(to the extent not secured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other than Qualified Supply Chain Financings), may consist of pledges of Cash collateral in an amount not to exceed the greater of $562,500,000 and 25%of Consolidated Adjusted EBITDA as of the last day of the most recently ended Test Period;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236" w:name="page237"/>
    <w:bookmarkEnd w:id="236"/>
    <w:p>
      <w:pPr>
        <w:ind w:left="764" w:hanging="324"/>
        <w:spacing w:after="0"/>
        <w:tabs>
          <w:tab w:leader="none" w:pos="764"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Liens on Capital Stock of Joint Ventures or Unrestricted Subsidiaries securing capital contributions to, or obligations of, such Persons and</w:t>
      </w:r>
    </w:p>
    <w:p>
      <w:pPr>
        <w:spacing w:after="0" w:line="27" w:lineRule="exact"/>
        <w:rPr>
          <w:rFonts w:ascii="Times New Roman" w:cs="Times New Roman" w:eastAsia="Times New Roman" w:hAnsi="Times New Roman"/>
          <w:sz w:val="18"/>
          <w:szCs w:val="18"/>
          <w:color w:val="auto"/>
        </w:rPr>
      </w:pPr>
    </w:p>
    <w:p>
      <w:pPr>
        <w:ind w:left="4" w:right="420" w:hanging="4"/>
        <w:spacing w:after="0" w:line="260" w:lineRule="auto"/>
        <w:tabs>
          <w:tab w:leader="none" w:pos="269"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first refusal and tag, drag and similar rights in joint venture agreements and agreements with respect to non-Wholly-Owned Subsidiaries;</w:t>
      </w:r>
    </w:p>
    <w:p>
      <w:pPr>
        <w:spacing w:after="0" w:line="181"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arising in connection with the defeasance, discharge or redemption of Indebtedness;</w:t>
      </w:r>
    </w:p>
    <w:p>
      <w:pPr>
        <w:spacing w:after="0" w:line="225"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78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Other Secured Debt, in each case, outstanding under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 xml:space="preserve"> (and any cash collateral deposited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holders of such Indebtedness (or a representative thereof) shall be party to an Acceptable Intercreditor Agreement;</w:t>
      </w:r>
    </w:p>
    <w:p>
      <w:pPr>
        <w:spacing w:after="0" w:line="17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not constituting Collateral;</w:t>
      </w:r>
    </w:p>
    <w:p>
      <w:pPr>
        <w:spacing w:after="0" w:line="225" w:lineRule="exact"/>
        <w:rPr>
          <w:rFonts w:ascii="Times New Roman" w:cs="Times New Roman" w:eastAsia="Times New Roman" w:hAnsi="Times New Roman"/>
          <w:sz w:val="18"/>
          <w:szCs w:val="18"/>
          <w:color w:val="auto"/>
        </w:rPr>
      </w:pPr>
    </w:p>
    <w:p>
      <w:pPr>
        <w:ind w:left="4" w:firstLine="436"/>
        <w:spacing w:after="0" w:line="261" w:lineRule="auto"/>
        <w:tabs>
          <w:tab w:leader="none" w:pos="70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Receivables Facility Assets, and any other assets of any Receivables Subsidiary, incurred in connection with a Qualified Receivables Facility and (ii) Liens that may otherwise arise from (or in connection with) a Qualified Receivables Facility, including Liens existing under or by reason of Indebtedness or other contractual requirements of a Receivables Subsidiary or any Standard Securitization Undertaking, in each case in respect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connection with a Qualified Receivables Facility;</w:t>
      </w:r>
    </w:p>
    <w:p>
      <w:pPr>
        <w:spacing w:after="0" w:line="17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70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175"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78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Foreign Subsidiary, Liens and privileges arising mandatorily by any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Liens and privileges extend only to the assets or Capital Stock of such Foreign Subsidiary;</w:t>
      </w:r>
    </w:p>
    <w:p>
      <w:pPr>
        <w:spacing w:after="0" w:line="161" w:lineRule="exact"/>
        <w:rPr>
          <w:rFonts w:ascii="Times New Roman" w:cs="Times New Roman" w:eastAsia="Times New Roman" w:hAnsi="Times New Roman"/>
          <w:sz w:val="18"/>
          <w:szCs w:val="18"/>
          <w:color w:val="auto"/>
        </w:rPr>
      </w:pPr>
    </w:p>
    <w:p>
      <w:pPr>
        <w:ind w:left="4" w:right="840" w:firstLine="436"/>
        <w:spacing w:after="0" w:line="282" w:lineRule="auto"/>
        <w:tabs>
          <w:tab w:leader="none" w:pos="70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or subleases in respect of real property on which facilities owned or leased by the Borrower or any of their Restricted Subsidiaries are located;</w:t>
      </w:r>
    </w:p>
    <w:p>
      <w:pPr>
        <w:spacing w:after="0" w:line="161" w:lineRule="exact"/>
        <w:rPr>
          <w:rFonts w:ascii="Times New Roman" w:cs="Times New Roman" w:eastAsia="Times New Roman" w:hAnsi="Times New Roman"/>
          <w:sz w:val="18"/>
          <w:szCs w:val="18"/>
          <w:color w:val="auto"/>
        </w:rPr>
      </w:pPr>
    </w:p>
    <w:p>
      <w:pPr>
        <w:ind w:left="884" w:hanging="444"/>
        <w:spacing w:after="0"/>
        <w:tabs>
          <w:tab w:leader="none" w:pos="8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in the business of the Borrower and its Restricted Subsidiaries and that do not secure debt for borrowed money;</w:t>
      </w:r>
    </w:p>
    <w:p>
      <w:pPr>
        <w:spacing w:after="0" w:line="22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given to a public or private utility or any Governmental Authority as required in the ordinary course of business;</w:t>
      </w:r>
    </w:p>
    <w:p>
      <w:pPr>
        <w:spacing w:after="0" w:line="225" w:lineRule="exact"/>
        <w:rPr>
          <w:rFonts w:ascii="Times New Roman" w:cs="Times New Roman" w:eastAsia="Times New Roman" w:hAnsi="Times New Roman"/>
          <w:sz w:val="18"/>
          <w:szCs w:val="18"/>
          <w:color w:val="auto"/>
        </w:rPr>
      </w:pPr>
    </w:p>
    <w:p>
      <w:pPr>
        <w:ind w:left="4" w:right="360" w:firstLine="436"/>
        <w:spacing w:after="0" w:line="282" w:lineRule="auto"/>
        <w:tabs>
          <w:tab w:leader="none" w:pos="78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w:t>
      </w:r>
    </w:p>
    <w:p>
      <w:pPr>
        <w:spacing w:after="0" w:line="161"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78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pursuant to Section 107(l) of the Comprehensive Environmental Response, Compensation and Liability Act or similar provision of any applicable law;</w:t>
      </w:r>
    </w:p>
    <w:p>
      <w:pPr>
        <w:spacing w:after="0" w:line="161" w:lineRule="exact"/>
        <w:rPr>
          <w:rFonts w:ascii="Times New Roman" w:cs="Times New Roman" w:eastAsia="Times New Roman" w:hAnsi="Times New Roman"/>
          <w:sz w:val="18"/>
          <w:szCs w:val="18"/>
          <w:color w:val="auto"/>
        </w:rPr>
      </w:pPr>
    </w:p>
    <w:p>
      <w:pPr>
        <w:ind w:left="4" w:right="160" w:firstLine="436"/>
        <w:spacing w:after="0" w:line="282" w:lineRule="auto"/>
        <w:tabs>
          <w:tab w:leader="none" w:pos="789"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the right of setoff in favor of counterparties to contractual agreements with the Borrower or any Restricted Subsidiary in the ordinary course of business;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4"/>
          </w:cols>
          <w:pgMar w:left="436" w:top="270" w:right="459" w:bottom="1440" w:gutter="0" w:footer="0" w:header="0"/>
        </w:sectPr>
      </w:pPr>
    </w:p>
    <w:bookmarkStart w:id="237" w:name="page238"/>
    <w:bookmarkEnd w:id="237"/>
    <w:p>
      <w:pPr>
        <w:ind w:right="240" w:firstLine="436"/>
        <w:spacing w:after="0" w:line="266" w:lineRule="auto"/>
        <w:tabs>
          <w:tab w:leader="none" w:pos="72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granted pursuant to a security agreement between the Borrower or any Restricted Subsidiary and a licensee of IP Rights to secure the damages, if any, incurred by such licensee resulting from the rejection of the license of such licensee in a bankruptcy, reorganization or similar proceeding with respect to the Borrower or such Restricted Subsidiary;</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745"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in connection with rights of dissenting equity holders pursuant to any Requirement of Law in respect of the Transactions, any Permitted Acquisition or other similar Investment;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Permitted Treasury Arrangements;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2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negative pledges) on intellectual property arising from licenses or sublicenses of intellectual property; and</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Parent and its Subsidiaries arising from Separation Agreements and not securing Indebtedness for borrowed money.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the accrual of interest or dividends, the accretion of accreted value, the accretion of amortization of original issue discount and payment or accrual of interest or dividends in the form of additional secured Indebtedness shall not constitute the creation, incurrence, assumption, permission to exist or sufferance of any Lien on assets securing such Indebtedness, whether now owned or hereafter acquired,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Further Negative Pledges</w:t>
      </w:r>
      <w:r>
        <w:rPr>
          <w:rFonts w:ascii="Times New Roman" w:cs="Times New Roman" w:eastAsia="Times New Roman" w:hAnsi="Times New Roman"/>
          <w:sz w:val="18"/>
          <w:szCs w:val="18"/>
          <w:color w:val="auto"/>
        </w:rPr>
        <w:t>. The Borrower and each other Loan Party shall not, nor shall it permit any Restricted Subsidiary that is a Loan Party to, enter into any agreement prohibiting in any material respect the creation or assumption of any Lien upon any of its properties (other than Excluded Assets), whether now owned or hereafter acquired, for the benefit of the Secured Parties with respect to the Loan Document Obligations, except with respect to:</w:t>
      </w:r>
    </w:p>
    <w:p>
      <w:pPr>
        <w:spacing w:after="0" w:line="72" w:lineRule="exact"/>
        <w:rPr>
          <w:sz w:val="20"/>
          <w:szCs w:val="20"/>
          <w:color w:val="auto"/>
        </w:rPr>
      </w:pPr>
    </w:p>
    <w:p>
      <w:pPr>
        <w:ind w:right="100" w:firstLine="436"/>
        <w:spacing w:after="0" w:line="266" w:lineRule="auto"/>
        <w:tabs>
          <w:tab w:leader="none" w:pos="68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any asset (or all of the assets) of and/or the Capital Stock of the Borrower and/or any Restricted Subsidiary which are imposed pursuant to an agreement entered into in connection with any Disposition or other transfer, lease, sub-lease, license or sublicense of such asset (or assets) and/or all or a portion of the Capital Stock of the relevant Person that is permitted or not restricted by this Agreement;</w:t>
      </w:r>
    </w:p>
    <w:p>
      <w:pPr>
        <w:spacing w:after="0" w:line="17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the Loan Documents, any Incremental Equivalent Debt, any Qualified Receivables Facility, any Indebtedness permitted by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 xml:space="preserve"> or any Additional Letter of Credit Facility (and in any Indebtedness permitted under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to the extent relating to any extension, refinancing, refunding or replacement of any of the foregoing);</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any documentation governing any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related Lien permitted under</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to the extent that such restrictions (x) are, taken as a whole, in the good-faith judgment of the Borrower, not materially more restrictive as concerning the Borrower or any Restricted Subsidiary than customary market terms for Indebtedness of such type, (y) are not materially more restrictive, taken as a whole, than the restrictions contained in this Agreement (as determined by the Borrower in good faith) or (z) will not materially impair the Borrower’s obligation or ability to make any payments required hereunder (as determined by the Borrower in good faith);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0"/>
          </w:cols>
          <w:pgMar w:left="440" w:top="270" w:right="479" w:bottom="1440" w:gutter="0" w:footer="0" w:header="0"/>
        </w:sectPr>
      </w:pPr>
    </w:p>
    <w:bookmarkStart w:id="238" w:name="page239"/>
    <w:bookmarkEnd w:id="238"/>
    <w:p>
      <w:pPr>
        <w:ind w:right="120" w:firstLine="436"/>
        <w:spacing w:after="0" w:line="258"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(each of the foregoing, a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restrictions are limited to the relevant Covered Agreement and/or the property or assets secured by such Liens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assets subject to such Covered Agreement);</w:t>
      </w:r>
    </w:p>
    <w:p>
      <w:pPr>
        <w:spacing w:after="0" w:line="183"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 restrictions in the agreements relating thereto that limit the right of the Borrower or any of their Restricted Subsidiaries to Dispose of or encumber the assets subject to such Liens;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distribution or encumbrance of assets or property in joint venture agreements, sale and lease-back</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stock sale agreements and other similar agreements, which limitation is applicable only to the assets that are the subject of such agreements (or the Persons the Capital Stock of which is the subject of such agreement (or any “shell company” parent with respect thereto));</w:t>
      </w:r>
    </w:p>
    <w:p>
      <w:pPr>
        <w:spacing w:after="0" w:line="181" w:lineRule="exact"/>
        <w:rPr>
          <w:rFonts w:ascii="Times New Roman" w:cs="Times New Roman" w:eastAsia="Times New Roman" w:hAnsi="Times New Roman"/>
          <w:sz w:val="18"/>
          <w:szCs w:val="18"/>
          <w:color w:val="auto"/>
        </w:rPr>
      </w:pPr>
    </w:p>
    <w:p>
      <w:pPr>
        <w:ind w:right="20" w:firstLine="436"/>
        <w:spacing w:after="0" w:line="289" w:lineRule="auto"/>
        <w:tabs>
          <w:tab w:leader="none" w:pos="695" w:val="left"/>
        </w:tabs>
        <w:numPr>
          <w:ilvl w:val="0"/>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in contemplation of such acquisition;</w:t>
      </w:r>
    </w:p>
    <w:p>
      <w:pPr>
        <w:spacing w:after="0" w:line="157" w:lineRule="exact"/>
        <w:rPr>
          <w:rFonts w:ascii="Times New Roman" w:cs="Times New Roman" w:eastAsia="Times New Roman" w:hAnsi="Times New Roman"/>
          <w:sz w:val="17"/>
          <w:szCs w:val="17"/>
          <w:color w:val="auto"/>
        </w:rPr>
      </w:pPr>
    </w:p>
    <w:p>
      <w:pPr>
        <w:ind w:firstLine="436"/>
        <w:spacing w:after="0" w:line="261" w:lineRule="auto"/>
        <w:tabs>
          <w:tab w:leader="none" w:pos="69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parent with respect thereto), (ii) relating to such joint venture or its members and/or (iii) otherwise entered into in the ordinary course of business;</w:t>
      </w:r>
    </w:p>
    <w:p>
      <w:pPr>
        <w:spacing w:after="0" w:line="179" w:lineRule="exact"/>
        <w:rPr>
          <w:rFonts w:ascii="Times New Roman" w:cs="Times New Roman" w:eastAsia="Times New Roman" w:hAnsi="Times New Roman"/>
          <w:sz w:val="18"/>
          <w:szCs w:val="18"/>
          <w:color w:val="auto"/>
        </w:rPr>
      </w:pPr>
    </w:p>
    <w:p>
      <w:pPr>
        <w:ind w:right="100" w:firstLine="436"/>
        <w:spacing w:after="0" w:line="266" w:lineRule="auto"/>
        <w:tabs>
          <w:tab w:leader="none" w:pos="6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Cash or other deposits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any net worth or similar requirements, including such restrictions or requirements imposed by Persons under contracts entered into in the ordinary course of business or for whose benefit such Cash or other deposits or net worth requirements exist;</w:t>
      </w:r>
    </w:p>
    <w:p>
      <w:pPr>
        <w:spacing w:after="0" w:line="175"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 set forth in documents which exist on the Closing Date or (ii) which are contemplated to exist as of the Closing Date and,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6.03</w:t>
      </w:r>
      <w:r>
        <w:rPr>
          <w:rFonts w:ascii="Times New Roman" w:cs="Times New Roman" w:eastAsia="Times New Roman" w:hAnsi="Times New Roman"/>
          <w:sz w:val="18"/>
          <w:szCs w:val="18"/>
          <w:color w:val="auto"/>
        </w:rPr>
        <w:t xml:space="preserve"> (as such Schedule may be updated by the Borrower with the consent of the Administrative Agent (not to be unreasonably withheld, delayed or conditioned) after the Signing Date and on or prior to the Closing Date);</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documents governing Indebtedness of any Restricted Subsidiary that is not a Loan Party permitted hereunder;</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in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that is secured by a Permitted Lien if the relevant restriction applies only to the Persons obligated under such Indebtedness and its Restricted Subsidiaries or the assets intended to secure such Indebtedness;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60"/>
          </w:cols>
          <w:pgMar w:left="440" w:top="270" w:right="499" w:bottom="1440" w:gutter="0" w:footer="0" w:header="0"/>
        </w:sectPr>
      </w:pPr>
    </w:p>
    <w:bookmarkStart w:id="239" w:name="page240"/>
    <w:bookmarkEnd w:id="239"/>
    <w:p>
      <w:pPr>
        <w:ind w:right="180" w:firstLine="436"/>
        <w:spacing w:after="0" w:line="266" w:lineRule="auto"/>
        <w:tabs>
          <w:tab w:leader="none" w:pos="74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provisions restricting the granting of a security interest in IP Rights contained in licenses, sublicenses or cross-licenses by the Borrower and its Restricted Subsidiaries of such IP Rights, which licenses, sublicenses and cross-licenses were entered into in the ordinary course of business (in which case such restriction shall relate only to such IP Rights);</w:t>
      </w:r>
    </w:p>
    <w:p>
      <w:pPr>
        <w:spacing w:after="0" w:line="175"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under or as a result of applicable Requirements of Law or the terms of any license, authorization, concession or permit issued or granted by a Governmental Authority;</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with respect to a Restricted Subsidiary that was previously an Unrestricted Subsidiary, pursuant to or by reason of an agreement that such Restricted Subsidiary is a party to or entered into before the date on which such Subsidiary became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anticipation of an Unrestricted Subsidiary becoming a Restricted Subsidiary and any such restriction does not extend to any assets or property of the Borrower or any other Restricted Subsidiary other than the assets and property of such Subsidiary;</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in connection with any Qualified Receivables Facility or similar transaction permitted hereunder;</w:t>
      </w:r>
    </w:p>
    <w:p>
      <w:pPr>
        <w:spacing w:after="0" w:line="225"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any Hedge Agreement, any agreement relating to Banking Services and/or any agreement relating to Permitted Treasury Arrangements; and</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restatement, renewal, increase, supplement, refunding, replacement or refinancing is, in the good faith judgment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Restricted Payments; Restricted Debt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pay or make, directly or indirectly, any Restricted Payment, except that: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2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pay for the repurchase, redemption, retirement or other acquisition or retirement for value of Capital Stock of any subsidiary held by any Permitted Payee:</w:t>
      </w:r>
    </w:p>
    <w:p>
      <w:pPr>
        <w:spacing w:after="0" w:line="53" w:lineRule="exact"/>
        <w:rPr>
          <w:rFonts w:ascii="Times New Roman" w:cs="Times New Roman" w:eastAsia="Times New Roman" w:hAnsi="Times New Roman"/>
          <w:sz w:val="18"/>
          <w:szCs w:val="18"/>
          <w:color w:val="auto"/>
        </w:rPr>
      </w:pPr>
    </w:p>
    <w:p>
      <w:pPr>
        <w:ind w:left="980" w:right="280" w:firstLine="408"/>
        <w:spacing w:after="0" w:line="258" w:lineRule="auto"/>
        <w:tabs>
          <w:tab w:leader="none" w:pos="1676"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Cash and Cash Equivalents (and including, to the extent constituting Restricted Payments, amounts paid in respect of promissory notes issued pursuant to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 xml:space="preserve">), in an aggregate amount not to exceed (1) the greater of $225,000,000 and 10% of Consolidated Adjusted EBITDA as of the last day of the most recently ended Test Period in any Fiscal Year, which, if not used in any Fiscal Year, may be carried forward to subsequent Fiscal Years (until so applied) minus (2) any utilization of the Shared RP Amount in reliance on unused capacity under the immediately preceding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plus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240" w:name="page241"/>
    <w:bookmarkEnd w:id="240"/>
    <w:p>
      <w:pPr>
        <w:ind w:left="540" w:right="40" w:firstLine="408"/>
        <w:spacing w:after="0" w:line="261" w:lineRule="auto"/>
        <w:tabs>
          <w:tab w:leader="none" w:pos="1226"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the proceeds of any sale or issuance of, or of any capital contribution in respect of, the Capital Stock of the Borrower (to the extent such proceeds are contributed to the Borrower or any Restricted Subsidiary in respect of Qualified Capital Stock issued by the Borrower or such Restricted Subsidiary) (other than amounts constituting (x) a Cure Amount or (y) an Available Excluded Contribution Amount); plus</w:t>
      </w:r>
    </w:p>
    <w:p>
      <w:pPr>
        <w:spacing w:after="0" w:line="71"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net proceeds of any key-man life insurance policies; plus</w:t>
      </w:r>
    </w:p>
    <w:p>
      <w:pPr>
        <w:spacing w:after="0" w:line="117" w:lineRule="exact"/>
        <w:rPr>
          <w:rFonts w:ascii="Times New Roman" w:cs="Times New Roman" w:eastAsia="Times New Roman" w:hAnsi="Times New Roman"/>
          <w:sz w:val="18"/>
          <w:szCs w:val="18"/>
          <w:color w:val="auto"/>
        </w:rPr>
      </w:pPr>
    </w:p>
    <w:p>
      <w:pPr>
        <w:ind w:left="540" w:right="140" w:firstLine="408"/>
        <w:spacing w:after="0" w:line="282" w:lineRule="auto"/>
        <w:tabs>
          <w:tab w:leader="none" w:pos="1236" w:val="left"/>
        </w:tabs>
        <w:numPr>
          <w:ilvl w:val="1"/>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amount of any Cash bonuses otherwise payable to any Permitted Payee that are foregone in exchange for the receipt of Capital Stock of the Borrower pursuant to any compensation arrangement, including any deferred compensation plan;</w:t>
      </w:r>
    </w:p>
    <w:p>
      <w:pPr>
        <w:spacing w:after="0" w:line="53" w:lineRule="exact"/>
        <w:rPr>
          <w:rFonts w:ascii="Times New Roman" w:cs="Times New Roman" w:eastAsia="Times New Roman" w:hAnsi="Times New Roman"/>
          <w:sz w:val="18"/>
          <w:szCs w:val="18"/>
          <w:color w:val="auto"/>
        </w:rPr>
      </w:pPr>
    </w:p>
    <w:p>
      <w:pPr>
        <w:ind w:right="20" w:firstLine="419"/>
        <w:spacing w:after="0" w:line="256" w:lineRule="auto"/>
        <w:tabs>
          <w:tab w:leader="none" w:pos="73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in an amount not to exceed (A)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(iii)(A)</w:t>
      </w:r>
      <w:r>
        <w:rPr>
          <w:rFonts w:ascii="Times New Roman" w:cs="Times New Roman" w:eastAsia="Times New Roman" w:hAnsi="Times New Roman"/>
          <w:sz w:val="18"/>
          <w:szCs w:val="18"/>
          <w:color w:val="auto"/>
        </w:rPr>
        <w:t xml:space="preserve"> plus (B)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(iii)(B)</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6.04(b)(vi)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(A) make Cash payments in lieu of the issuance of fractional shares in connection with the exercise of warrants, options or other securities convertible into or exchangeable for Capital Stock of the Borrower, or in connection with dividends, share splits, reverse share splits (or any combination thereof) and mergers, consolidations, amalgamations or other business combinations, and acquisitions and other Investments permitted hereunder, (B) with respect to convertible Indebtedness, (i) make payments of interest and/or principal upon maturity thereof, upon any required repurchase thereof or upon any option redemption thereof, (ii) make payments to honor any conversion request by a holder thereof (including payments in lieu of fractional shares in connection therewith) and (iii) otherwise make payments thereon in accordance with its terms and (C) make Restricted Payments consisting of (x) payments made or expected to be made in respect of withholding or similar Taxes payable by any Permitted Payee and/or (y) repurchases of Capital Stock in consideration of the payments described in </w:t>
      </w:r>
      <w:r>
        <w:rPr>
          <w:rFonts w:ascii="Times New Roman" w:cs="Times New Roman" w:eastAsia="Times New Roman" w:hAnsi="Times New Roman"/>
          <w:sz w:val="18"/>
          <w:szCs w:val="18"/>
          <w:u w:val="single" w:color="auto"/>
          <w:color w:val="auto"/>
        </w:rPr>
        <w:t>sub clause (x)</w:t>
      </w:r>
      <w:r>
        <w:rPr>
          <w:rFonts w:ascii="Times New Roman" w:cs="Times New Roman" w:eastAsia="Times New Roman" w:hAnsi="Times New Roman"/>
          <w:sz w:val="18"/>
          <w:szCs w:val="18"/>
          <w:color w:val="auto"/>
        </w:rPr>
        <w:t xml:space="preserve"> above, including demand repurchases in connection with the exercise of stock options and the issuance of restricted stock units or similar stock based awards;</w:t>
      </w:r>
    </w:p>
    <w:p>
      <w:pPr>
        <w:spacing w:after="0" w:line="86" w:lineRule="exact"/>
        <w:rPr>
          <w:rFonts w:ascii="Times New Roman" w:cs="Times New Roman" w:eastAsia="Times New Roman" w:hAnsi="Times New Roman"/>
          <w:sz w:val="18"/>
          <w:szCs w:val="18"/>
          <w:color w:val="auto"/>
        </w:rPr>
      </w:pPr>
    </w:p>
    <w:p>
      <w:pPr>
        <w:jc w:val="both"/>
        <w:ind w:firstLine="419"/>
        <w:spacing w:after="0" w:line="261" w:lineRule="auto"/>
        <w:tabs>
          <w:tab w:leader="none" w:pos="67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repurchase, redeem, acquire or retire Capital Stock upon (or make provisions for withholdings in connection with), the exercise of warrants, options or other securities convertible into or exchangeable for Capital Stock if such Capital Stock represents all or a portion of the exercise price of, or tax withholdings with respect to, such warrants, options or other securities convertible into or exchangeable for Capital Stock as part of a “cashless” exercise;</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Restricted Payments made as part of, or which are reasonably necessary or appropriate (as determined by the Borrower in good faith) to effect or facilitate, the Separation, including the Restructuring, the Borrower Distribution and the Distribution, or otherwise made pursuant to Separation Agreements and (ii) the payment of the Special Cash Payment and any Transaction Costs;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0560"/>
          </w:cols>
          <w:pgMar w:left="880" w:top="270" w:right="459" w:bottom="1440" w:gutter="0" w:footer="0" w:header="0"/>
        </w:sectPr>
      </w:pPr>
    </w:p>
    <w:bookmarkStart w:id="241" w:name="page242"/>
    <w:bookmarkEnd w:id="241"/>
    <w:p>
      <w:pPr>
        <w:ind w:left="-20" w:right="40" w:firstLine="408"/>
        <w:spacing w:after="0" w:line="266" w:lineRule="auto"/>
        <w:tabs>
          <w:tab w:leader="none" w:pos="7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may make Restricted Payments with respect to any Capital Stock in an amount not to exceed (A) an amount equal to 7.00% per annum of the Market Capitalization of the Borrower (or its direct or indirect parent company, as applicable) and its subsidiaries minus (B) any utilization of the Shared RP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 w:firstLine="408"/>
        <w:spacing w:after="0" w:line="253" w:lineRule="auto"/>
        <w:tabs>
          <w:tab w:leader="none" w:pos="78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(i) redeem, repurchase, defease, discharge, retire or otherwise acquire any Capital Stock (“</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of the Borrower and/or any Restricted Subsidiary in exchange for, or out of the proceeds of the substantially concurrent sale (other than to the Borrower and/or any Restricted Subsidiary) of, Qualified Capital Stock of the Borrower to the extent any such proceeds are contributed to the capital of the Borrower and/or any Restricted Subsidiary in respect of Qualified Capital Stock (“</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(ii) declare and pay dividends on any Treasury Capital Stock out of the proceeds of the substantially concurrent sale or issuance (other than to the Borrower or a Restricted Subsidiary) of any Refunding Capital Stock and (iii) if, immediately prior to the retirement of Treasury Capital Stock, the declaration and payment of dividends thereon by the Borrower was permitted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declaration and payment of dividends on the Refunding Capital Stock in an aggregate amount no greater than the aggregate amount of dividends on such Treasury Capital Stock that was permitted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(other than in connection with the issuance of such Refunding Capital Stock) immediately prior to such redemption, repurchase, defeasance, discharge, retirement or other acquisition;</w:t>
      </w:r>
    </w:p>
    <w:p>
      <w:pPr>
        <w:spacing w:after="0" w:line="83"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68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the Borrower may consummate any transaction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6.06(j)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6.09(d)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20" w:right="200" w:firstLine="408"/>
        <w:spacing w:after="0" w:line="261" w:lineRule="auto"/>
        <w:tabs>
          <w:tab w:leader="none" w:pos="63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in an aggregate amount not to exceed (A) the greater of $900,000,000 and 40% of Consolidated Adjusted EBITDA as of the last day of the most recently ended Test Period minus (B)(1) any utilization of the Shared RP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any utilization of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6.01(mm)</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20" w:right="320" w:firstLine="408"/>
        <w:spacing w:after="0" w:line="261" w:lineRule="auto"/>
        <w:tabs>
          <w:tab w:leader="none" w:pos="68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 provisions of this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60" w:firstLine="408"/>
        <w:spacing w:after="0" w:line="282" w:lineRule="auto"/>
        <w:tabs>
          <w:tab w:leader="none" w:pos="786"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Total Leverage Ratio would not exceed 2.25:1.00, calculated on a Pro Forma Basis;</w:t>
      </w:r>
    </w:p>
    <w:p>
      <w:pPr>
        <w:spacing w:after="0" w:line="53"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any Restricted Payment constituting the distribution or payment of Receivables Fees;</w:t>
      </w:r>
    </w:p>
    <w:p>
      <w:pPr>
        <w:spacing w:after="0" w:line="11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0000"/>
          </w:cols>
          <w:pgMar w:left="1440" w:top="270" w:right="459" w:bottom="1440" w:gutter="0" w:footer="0" w:header="0"/>
        </w:sectPr>
      </w:pPr>
    </w:p>
    <w:bookmarkStart w:id="242" w:name="page243"/>
    <w:bookmarkEnd w:id="242"/>
    <w:p>
      <w:pPr>
        <w:ind w:left="1260" w:hanging="401"/>
        <w:spacing w:after="0"/>
        <w:tabs>
          <w:tab w:leader="none" w:pos="126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may make additional Restricted Payments constituting any part of a Permitted Reorganization;</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6" w:lineRule="auto"/>
        <w:tabs>
          <w:tab w:leader="none" w:pos="130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 distribution, by dividend or otherwise, of the Capital Stock of, or debt owed to any Loan Party or any Restricted Subsidiary by, any Unrestricted Subsidiary (or a Restricted Subsidiary that owns one or more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 and immaterial assets incidental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Capital Stock or debt that represents an Investment by the Borrower or any Restricted Subsidiary shall be deemed to continue to charge (as utilization) the respective clause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pursuant to which such Investment was made;</w:t>
      </w:r>
    </w:p>
    <w:p>
      <w:pPr>
        <w:spacing w:after="0" w:line="79" w:lineRule="exact"/>
        <w:rPr>
          <w:rFonts w:ascii="Times New Roman" w:cs="Times New Roman" w:eastAsia="Times New Roman" w:hAnsi="Times New Roman"/>
          <w:sz w:val="18"/>
          <w:szCs w:val="18"/>
          <w:color w:val="auto"/>
        </w:rPr>
      </w:pPr>
    </w:p>
    <w:p>
      <w:pPr>
        <w:ind w:left="440" w:right="20" w:firstLine="419"/>
        <w:spacing w:after="0" w:line="289" w:lineRule="auto"/>
        <w:tabs>
          <w:tab w:leader="none" w:pos="1358" w:val="left"/>
        </w:tabs>
        <w:numPr>
          <w:ilvl w:val="1"/>
          <w:numId w:val="3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make payments and distributions to satisfy dissenters’ rights (including in connection with, or as a result of, the exercise of appraisal rights and the settlement of any claims or actions (whether actual, contingent or potential)), pursuant to or in connection with any acquisition, merger, consolidation, amalgamation or Disposition that complies with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or any other transaction permitted hereunder;</w:t>
      </w:r>
    </w:p>
    <w:p>
      <w:pPr>
        <w:spacing w:after="0" w:line="49" w:lineRule="exact"/>
        <w:rPr>
          <w:rFonts w:ascii="Times New Roman" w:cs="Times New Roman" w:eastAsia="Times New Roman" w:hAnsi="Times New Roman"/>
          <w:sz w:val="17"/>
          <w:szCs w:val="17"/>
          <w:color w:val="auto"/>
        </w:rPr>
      </w:pPr>
    </w:p>
    <w:p>
      <w:pPr>
        <w:ind w:left="1260" w:hanging="401"/>
        <w:spacing w:after="0"/>
        <w:tabs>
          <w:tab w:leader="none" w:pos="126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payments made for the benefit of the Borrower or any Restricted</w:t>
      </w:r>
    </w:p>
    <w:p>
      <w:pPr>
        <w:spacing w:after="0" w:line="27" w:lineRule="exact"/>
        <w:rPr>
          <w:rFonts w:ascii="Times New Roman" w:cs="Times New Roman" w:eastAsia="Times New Roman" w:hAnsi="Times New Roman"/>
          <w:sz w:val="18"/>
          <w:szCs w:val="18"/>
          <w:color w:val="auto"/>
        </w:rPr>
      </w:pPr>
    </w:p>
    <w:p>
      <w:pPr>
        <w:ind w:left="4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Subsidiary to the extent such payments could have been made by the Borrower or any Restricted Subsidiary because such payments (A) would not otherwise be Restricted Payments and (B) would be permitted by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20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any payments or deliveries in connection with (a) a Permitted Bond Hedge Transaction or (b) Permitted Warrant Transaction or Packaged Rights (i) in cash, in the case of the payment of the premium in entering into any such Permitted Bond Hedge Transaction, and otherwise by delivery of shares of the Borrower’s Qualified Capital Stock or (ii) otherwise, to the extent of a payment or delivery received from a Permitted Bond Hedge Transaction (whether such payment or delivery on the Permitted Warrant Transaction is effected by netting, set-off or otherwise); and</w:t>
      </w:r>
    </w:p>
    <w:p>
      <w:pPr>
        <w:spacing w:after="0" w:line="75"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258"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w:t>
      </w:r>
    </w:p>
    <w:p>
      <w:pPr>
        <w:spacing w:after="0" w:line="175" w:lineRule="exact"/>
        <w:rPr>
          <w:rFonts w:ascii="Times New Roman" w:cs="Times New Roman" w:eastAsia="Times New Roman" w:hAnsi="Times New Roman"/>
          <w:sz w:val="18"/>
          <w:szCs w:val="18"/>
          <w:color w:val="auto"/>
        </w:rPr>
      </w:pPr>
    </w:p>
    <w:p>
      <w:pPr>
        <w:ind w:right="140" w:firstLine="436"/>
        <w:spacing w:after="0" w:line="261"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nor shall it permit any Restricted Subsidiary to, make any voluntary prepayment in Cash on or in respect of principal of or interest on any Restricted Debt, including any sinking fund or similar deposit, on account of the purchase, redemption, retirement, acquisition, cancellation or termination of any Restricted Debt more than one year prior to the scheduled maturity date thereof (collectively, “</w:t>
      </w:r>
      <w:r>
        <w:rPr>
          <w:rFonts w:ascii="Times New Roman" w:cs="Times New Roman" w:eastAsia="Times New Roman" w:hAnsi="Times New Roman"/>
          <w:sz w:val="18"/>
          <w:szCs w:val="18"/>
          <w:b w:val="1"/>
          <w:bCs w:val="1"/>
          <w:color w:val="auto"/>
        </w:rPr>
        <w:t>Restricted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except:</w:t>
      </w:r>
    </w:p>
    <w:p>
      <w:pPr>
        <w:spacing w:after="0" w:line="71"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refinancing, purchase, defeasance, redemption, repurchase, repayment or other acquisition or retirement of any Restricted Debt made by exchange for, or out of the proceeds of, Refinancing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or to enable another Person to make, an “applicable high yield discount obligation” catch-up payment;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78" w:val="left"/>
        </w:tabs>
        <w:numPr>
          <w:ilvl w:val="1"/>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regularly scheduled principal and interest (including any penalty interest, if applicable) and payments of fees, expenses and indemnification obligations as and when due (other than payments with respect to Restricted Debt that are prohibited by the subordination provisions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243" w:name="page244"/>
    <w:bookmarkEnd w:id="243"/>
    <w:p>
      <w:pPr>
        <w:ind w:left="4" w:right="60" w:firstLine="419"/>
        <w:spacing w:after="0" w:line="266" w:lineRule="auto"/>
        <w:tabs>
          <w:tab w:leader="none" w:pos="73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Restricted Debt Payments in an aggregate amount not to exceed (A)(1) the greater of $900,000,000 and 40% of Consolidated Adjusted EBITDA as of the last day of the most recently ended Test Period minus (2) any utilization of unused capacity under the immediately preceding </w:t>
      </w:r>
      <w:r>
        <w:rPr>
          <w:rFonts w:ascii="Times New Roman" w:cs="Times New Roman" w:eastAsia="Times New Roman" w:hAnsi="Times New Roman"/>
          <w:sz w:val="18"/>
          <w:szCs w:val="18"/>
          <w:u w:val="single" w:color="auto"/>
          <w:color w:val="auto"/>
        </w:rPr>
        <w:t>clause (A)(1)</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6.06(q)(ii)</w:t>
      </w:r>
      <w:r>
        <w:rPr>
          <w:rFonts w:ascii="Times New Roman" w:cs="Times New Roman" w:eastAsia="Times New Roman" w:hAnsi="Times New Roman"/>
          <w:sz w:val="18"/>
          <w:szCs w:val="18"/>
          <w:color w:val="auto"/>
        </w:rPr>
        <w:t xml:space="preserve"> plus (B) the Shared RP Amount at such time;</w:t>
      </w:r>
    </w:p>
    <w:p>
      <w:pPr>
        <w:spacing w:after="0" w:line="67" w:lineRule="exact"/>
        <w:rPr>
          <w:rFonts w:ascii="Times New Roman" w:cs="Times New Roman" w:eastAsia="Times New Roman" w:hAnsi="Times New Roman"/>
          <w:sz w:val="18"/>
          <w:szCs w:val="18"/>
          <w:color w:val="auto"/>
        </w:rPr>
      </w:pPr>
    </w:p>
    <w:p>
      <w:pPr>
        <w:ind w:left="4" w:right="140" w:firstLine="419"/>
        <w:spacing w:after="0" w:line="261" w:lineRule="auto"/>
        <w:tabs>
          <w:tab w:leader="none" w:pos="681"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Debt Payments in exchange for, or with proceeds of any issuance of, Qualified Capital Stock of the Borrower and/or any Restricted Subsidiary and/or any capital contribution in respect of Qualified Capital Stock of the Borrower or any Restricted Subsidiary,</w:t>
      </w:r>
    </w:p>
    <w:p>
      <w:pPr>
        <w:ind w:left="4" w:right="120" w:hanging="4"/>
        <w:spacing w:after="0" w:line="255" w:lineRule="auto"/>
        <w:tabs>
          <w:tab w:leader="none" w:pos="288"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as a result of the conversion of all or any portion of any Restricted Debt into Qualified Capital Stock of the Borrower and/or any Restricted Subsidiary and (C) to the extent constituting a Restricted Debt Payment, payment-in-kind interest with respect to any Restricted Debt that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 w:firstLine="419"/>
        <w:spacing w:after="0" w:line="256" w:lineRule="auto"/>
        <w:tabs>
          <w:tab w:leader="none" w:pos="73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in an aggregate amount not to exceed (A)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(vi)(A)</w:t>
      </w:r>
      <w:r>
        <w:rPr>
          <w:rFonts w:ascii="Times New Roman" w:cs="Times New Roman" w:eastAsia="Times New Roman" w:hAnsi="Times New Roman"/>
          <w:sz w:val="18"/>
          <w:szCs w:val="18"/>
          <w:color w:val="auto"/>
        </w:rPr>
        <w:t xml:space="preserve"> plus (B)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(vi)(B)</w:t>
      </w:r>
      <w:r>
        <w:rPr>
          <w:rFonts w:ascii="Times New Roman" w:cs="Times New Roman" w:eastAsia="Times New Roman" w:hAnsi="Times New Roman"/>
          <w:sz w:val="18"/>
          <w:szCs w:val="18"/>
          <w:color w:val="auto"/>
        </w:rPr>
        <w:t xml:space="preserve"> (plus, without duplication of amounts previously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right="460" w:firstLine="419"/>
        <w:spacing w:after="0" w:line="282" w:lineRule="auto"/>
        <w:tabs>
          <w:tab w:leader="none" w:pos="78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Debt Payments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Total Leverage Ratio would not exceed 2.50:1.00, calculated on a Pro Forma Basis;</w:t>
      </w:r>
    </w:p>
    <w:p>
      <w:pPr>
        <w:spacing w:after="0" w:line="53"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83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Debt Payments in exchange for, or with proceeds of any issuance of, Disqualified Capital Stock of the Borrower and/or any Restricted Subsidiary and/or any capital contribution in respect of Disqualified Capital Stock of the Borrower or any Restricted Subsidiary and/or (B) Restricted Debt Payments as a result of the conversion of all or any portion of any Restricted Debt into Disqualified Capital Stock of the Borrower and/or any Restricted Subsidiary;</w:t>
      </w:r>
    </w:p>
    <w:p>
      <w:pPr>
        <w:spacing w:after="0" w:line="71"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73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connection with the Separation or otherwise pursuant to Separation Agreements to the extent consisting of prepayments of intercompany Indebtedness;</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prepayments of Restricted Debt (and related payments of interest) made with Declined Proceeds; and</w:t>
      </w:r>
    </w:p>
    <w:p>
      <w:pPr>
        <w:spacing w:after="0" w:line="117" w:lineRule="exact"/>
        <w:rPr>
          <w:rFonts w:ascii="Times New Roman" w:cs="Times New Roman" w:eastAsia="Times New Roman" w:hAnsi="Times New Roman"/>
          <w:sz w:val="18"/>
          <w:szCs w:val="18"/>
          <w:color w:val="auto"/>
        </w:rPr>
      </w:pPr>
    </w:p>
    <w:p>
      <w:pPr>
        <w:ind w:left="724" w:hanging="301"/>
        <w:spacing w:after="0"/>
        <w:tabs>
          <w:tab w:leader="none" w:pos="724"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in respect of Restricted Debt permitted to be assumed pursuant to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0564"/>
          </w:cols>
          <w:pgMar w:left="876" w:top="270" w:right="459" w:bottom="1440" w:gutter="0" w:footer="0" w:header="0"/>
        </w:sectPr>
      </w:pPr>
    </w:p>
    <w:bookmarkStart w:id="244" w:name="page245"/>
    <w:bookmarkEnd w:id="24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The Borrower and each other Loan Party shall not, nor shall it permit any Restricted Subsidiary to, make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any other Person except:</w:t>
      </w:r>
    </w:p>
    <w:p>
      <w:pPr>
        <w:spacing w:after="0" w:line="99" w:lineRule="exact"/>
        <w:rPr>
          <w:sz w:val="20"/>
          <w:szCs w:val="20"/>
          <w:color w:val="auto"/>
        </w:rPr>
      </w:pPr>
    </w:p>
    <w:p>
      <w:pPr>
        <w:ind w:right="400" w:firstLine="436"/>
        <w:spacing w:after="0" w:line="282" w:lineRule="auto"/>
        <w:tabs>
          <w:tab w:leader="none" w:pos="6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Cash Equivalents or Investment Grade Securities, or investments that were Cash, Cash Equivalents or Investment Grade Securities at the time made;</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on the Closing Date in the Borrower, any Subsidiary and/or any Joint Venture and any modification, replacement, renewal or extension thereof so long as no such modification, replacement, renewal or extension thereof increases the amount of such Investment except by the terms thereof (including as a result of the accrual or accretion of interest or original issue discount or the issuance of payment-in-kind securities) or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(ii) Investments made after the Closing Date among the Borrower and/or one or more Restricted Subsidiaries or in any Person that will, upon such Investment, become a Restricted Subsidiary;</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constituting deposits, prepayments and/or other credits to suppliers or other trade counterparties, (ii) made in connection with obtaining, maintaining or renewing client and customer contracts and/or (iii) in the form of advances made to distributors, suppliers, licensors and licensees, in each case, in the ordinary course of business or,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to the extent necessary to maintain the ordinary course of supplies to the Borrower or any Restricted Subsidiary;</w:t>
      </w:r>
    </w:p>
    <w:p>
      <w:pPr>
        <w:spacing w:after="0" w:line="179"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(i) any Unrestricted Subsidiary (including any Joint Venture that is an Unrestricted Subsidiary) or (ii) any Similar Business (including any Joint Venture engaged in a Similar Business), in an outstanding amount in the aggregate for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not to exceed the greater of $562,500,000 and 25%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Permitted Acquisitions and (ii) any Investment in any Restricted Subsidiary that is not a Loan Party in an amount required to permit such Restricted Subsidiary to consummate a Permitted Acquisition;</w:t>
      </w:r>
    </w:p>
    <w:p>
      <w:pPr>
        <w:spacing w:after="0" w:line="161" w:lineRule="exact"/>
        <w:rPr>
          <w:rFonts w:ascii="Times New Roman" w:cs="Times New Roman" w:eastAsia="Times New Roman" w:hAnsi="Times New Roman"/>
          <w:sz w:val="18"/>
          <w:szCs w:val="18"/>
          <w:color w:val="auto"/>
        </w:rPr>
      </w:pPr>
    </w:p>
    <w:p>
      <w:pPr>
        <w:ind w:right="140" w:firstLine="436"/>
        <w:spacing w:after="0" w:line="256" w:lineRule="auto"/>
        <w:tabs>
          <w:tab w:leader="none" w:pos="66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on, or contractually committed to or contemplated as of, the Closing Date and, with respect to any such Investment in excess of $10,000,000, described on </w:t>
      </w:r>
      <w:r>
        <w:rPr>
          <w:rFonts w:ascii="Times New Roman" w:cs="Times New Roman" w:eastAsia="Times New Roman" w:hAnsi="Times New Roman"/>
          <w:sz w:val="18"/>
          <w:szCs w:val="18"/>
          <w:u w:val="single" w:color="auto"/>
          <w:color w:val="auto"/>
        </w:rPr>
        <w:t>Schedule 6.06</w:t>
      </w:r>
      <w:r>
        <w:rPr>
          <w:rFonts w:ascii="Times New Roman" w:cs="Times New Roman" w:eastAsia="Times New Roman" w:hAnsi="Times New Roman"/>
          <w:sz w:val="18"/>
          <w:szCs w:val="18"/>
          <w:color w:val="auto"/>
        </w:rPr>
        <w:t xml:space="preserve"> (as such Schedule may be updated by the Borrower with the consent of the Administrative Agent (not to be unreasonably withheld, delayed or conditioned) after the Signing Date and on or prior to the Closing Date) and (ii) any modification, replacement, renewal or extension of any Investment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so long as no such modification, renewal or extension thereof increases the amount of such Investment except by the terms thereof (including as a result of the accrual or accretion of interest or original issue discount or the issuance of payment-in-kind securities) or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received in lieu of Cash in connection with any Disposition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any other disposition of assets not constituting a Disposition;</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Permitted Payees to the extent permitted by Requirements of Law, either (i) in an aggregate principal amount not to exceed the greater of $112,500,000 and 5% of Consolidated Adjusted EBITDA as of the last day of the most recently ended Test Period at any one time outstanding, (ii) so long as the proceeds of such loan or advance are substantially contemporaneously contributed to the Borrower for the purchase of such Capital Stock or (iii) so long as no Cash or Cash Equivalents are advanced in connection with such loan or advance;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440" w:top="270" w:right="459" w:bottom="1440" w:gutter="0" w:footer="0" w:header="0"/>
        </w:sectPr>
      </w:pPr>
    </w:p>
    <w:bookmarkStart w:id="245" w:name="page246"/>
    <w:bookmarkEnd w:id="245"/>
    <w:p>
      <w:pPr>
        <w:ind w:left="-20" w:right="400" w:firstLine="436"/>
        <w:spacing w:after="0" w:line="282" w:lineRule="auto"/>
        <w:tabs>
          <w:tab w:leader="none" w:pos="63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consisting of rebates and extensions of credit in the nature of accounts receivable or notes receivable arising from the grant of trade credit in the ordinary course of business;</w:t>
      </w:r>
    </w:p>
    <w:p>
      <w:pPr>
        <w:spacing w:after="0" w:line="161" w:lineRule="exact"/>
        <w:rPr>
          <w:rFonts w:ascii="Times New Roman" w:cs="Times New Roman" w:eastAsia="Times New Roman" w:hAnsi="Times New Roman"/>
          <w:sz w:val="18"/>
          <w:szCs w:val="18"/>
          <w:color w:val="auto"/>
        </w:rPr>
      </w:pPr>
    </w:p>
    <w:p>
      <w:pPr>
        <w:ind w:left="-20" w:firstLine="436"/>
        <w:spacing w:after="0" w:line="258" w:lineRule="auto"/>
        <w:tabs>
          <w:tab w:leader="none" w:pos="63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(or resulting from)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(including guarantees thereof) (other than Indebtedness permitted under </w:t>
      </w:r>
      <w:r>
        <w:rPr>
          <w:rFonts w:ascii="Times New Roman" w:cs="Times New Roman" w:eastAsia="Times New Roman" w:hAnsi="Times New Roman"/>
          <w:sz w:val="18"/>
          <w:szCs w:val="18"/>
          <w:u w:val="single" w:color="auto"/>
          <w:color w:val="auto"/>
        </w:rPr>
        <w:t>Sections 6.01(b)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Permitted Liens, Restricted Payments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Restricted Debt Payments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mergers, consolidations, amalgamations, liquidations, windings up, dissolutions or Dispositions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sub-clause (ii)(y)</w:t>
      </w:r>
      <w:r>
        <w:rPr>
          <w:rFonts w:ascii="Times New Roman" w:cs="Times New Roman" w:eastAsia="Times New Roman" w:hAnsi="Times New Roman"/>
          <w:sz w:val="18"/>
          <w:szCs w:val="18"/>
          <w:color w:val="auto"/>
        </w:rPr>
        <w:t xml:space="preserve"> of the proviso thereto), </w:t>
      </w:r>
      <w:r>
        <w:rPr>
          <w:rFonts w:ascii="Times New Roman" w:cs="Times New Roman" w:eastAsia="Times New Roman" w:hAnsi="Times New Roman"/>
          <w:sz w:val="18"/>
          <w:szCs w:val="18"/>
          <w:u w:val="single" w:color="auto"/>
          <w:color w:val="auto"/>
        </w:rPr>
        <w:t>Section 6.07(c)(ii)</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therein) and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6.09(d)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right="320" w:firstLine="436"/>
        <w:spacing w:after="0" w:line="282" w:lineRule="auto"/>
        <w:tabs>
          <w:tab w:leader="none" w:pos="67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and customary trade arrangements with customers, vendors, suppliers, licensors, sublicensors, licensees and sublicensees;</w:t>
      </w:r>
    </w:p>
    <w:p>
      <w:pPr>
        <w:spacing w:after="0" w:line="161"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3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Capital Stock) received (i) in connection with the bankruptcy, work-out, reorganization or recapitalization of any Person, (ii) in settlement or compromise of delinquent obligations of, or other disputes with or judgments against, customers, trade-creditors, suppliers, licensees and other account debtors arising in the ordinary course of business, including pursuant to any plan of reorganization or similar arrangement upon bankruptcy or insolvency of any customer, trade creditor, supplier, licensee or other account debtor, (iii) in satisfaction of judgments against other Persons, (iv) as a result of foreclosure with respect to any secured Investment or other transfer of title with respect to any secured Investment and/or (v) in settlement, compromise or resolution of litigation, arbitration or other disputes;</w:t>
      </w:r>
    </w:p>
    <w:p>
      <w:pPr>
        <w:spacing w:after="0" w:line="187"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72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of payroll payments or other compensation to present or former employees, directors, members of management, officers, managers or consultants of the Borrower and/or any subsidiary in the ordinary course of business;</w:t>
      </w:r>
    </w:p>
    <w:p>
      <w:pPr>
        <w:spacing w:after="0" w:line="161" w:lineRule="exact"/>
        <w:rPr>
          <w:rFonts w:ascii="Times New Roman" w:cs="Times New Roman" w:eastAsia="Times New Roman" w:hAnsi="Times New Roman"/>
          <w:sz w:val="18"/>
          <w:szCs w:val="18"/>
          <w:color w:val="auto"/>
        </w:rPr>
      </w:pPr>
    </w:p>
    <w:p>
      <w:pPr>
        <w:ind w:left="-20" w:right="220" w:firstLine="436"/>
        <w:spacing w:after="0" w:line="282" w:lineRule="auto"/>
        <w:tabs>
          <w:tab w:leader="none" w:pos="67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therefor is made solely with Qualified Capital Stock of the Borrower or any Restricted Subsidiary, in each case, to the extent not resulting in a Change of Control;</w:t>
      </w:r>
    </w:p>
    <w:p>
      <w:pPr>
        <w:spacing w:after="0" w:line="161" w:lineRule="exact"/>
        <w:rPr>
          <w:rFonts w:ascii="Times New Roman" w:cs="Times New Roman" w:eastAsia="Times New Roman" w:hAnsi="Times New Roman"/>
          <w:sz w:val="18"/>
          <w:szCs w:val="18"/>
          <w:color w:val="auto"/>
        </w:rPr>
      </w:pPr>
    </w:p>
    <w:p>
      <w:pPr>
        <w:ind w:left="-20" w:right="60" w:firstLine="436"/>
        <w:spacing w:after="0" w:line="256" w:lineRule="auto"/>
        <w:tabs>
          <w:tab w:leader="none" w:pos="675"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of any Restricted Subsidiary acquired after the Closing Date, or of any Person acquired by, or merged into or consolidated or amalgamated with, the Borrower or any Restricted Subsidiary after the Closing Date, in each case permitted hereunder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6.06(o)</w:t>
      </w:r>
      <w:r>
        <w:rPr>
          <w:rFonts w:ascii="Times New Roman" w:cs="Times New Roman" w:eastAsia="Times New Roman" w:hAnsi="Times New Roman"/>
          <w:sz w:val="18"/>
          <w:szCs w:val="18"/>
          <w:color w:val="auto"/>
        </w:rPr>
        <w:t xml:space="preserve"> so long as no such modification, replacement, renewal or extension thereof increases the amount of such Investment except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20" w:right="140" w:firstLine="436"/>
        <w:spacing w:after="0" w:line="312" w:lineRule="auto"/>
        <w:tabs>
          <w:tab w:leader="none" w:pos="675" w:val="left"/>
        </w:tabs>
        <w:numPr>
          <w:ilvl w:val="0"/>
          <w:numId w:val="3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made as part of, or which are reasonably necessary or appropriate (as determined by the Borrower in good faith) to effect or facilitate, the Separation, including the Restructuring, the Borrower Distribution and the Distribution, or otherwise pursuant to Separation Agreements;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980"/>
          </w:cols>
          <w:pgMar w:left="460" w:top="270" w:right="459" w:bottom="1440" w:gutter="0" w:footer="0" w:header="0"/>
        </w:sectPr>
      </w:pPr>
    </w:p>
    <w:bookmarkStart w:id="246" w:name="page247"/>
    <w:bookmarkEnd w:id="246"/>
    <w:p>
      <w:pPr>
        <w:ind w:left="4" w:right="660" w:firstLine="436"/>
        <w:spacing w:after="0" w:line="282" w:lineRule="auto"/>
        <w:tabs>
          <w:tab w:leader="none" w:pos="69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made after the Closing Date by the Borrower and/or any of its Restricted Subsidiaries in an aggregate amount at any time outstanding not to exceed:</w:t>
      </w:r>
    </w:p>
    <w:p>
      <w:pPr>
        <w:spacing w:after="0" w:line="53"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$1,350,000,000 and 60% of Consolidated Adjusted EBITDA as of the last day of the most recently ended Test Period, plus</w:t>
      </w:r>
    </w:p>
    <w:p>
      <w:pPr>
        <w:spacing w:after="0" w:line="117" w:lineRule="exact"/>
        <w:rPr>
          <w:rFonts w:ascii="Times New Roman" w:cs="Times New Roman" w:eastAsia="Times New Roman" w:hAnsi="Times New Roman"/>
          <w:sz w:val="18"/>
          <w:szCs w:val="18"/>
          <w:color w:val="auto"/>
        </w:rPr>
      </w:pPr>
    </w:p>
    <w:p>
      <w:pPr>
        <w:ind w:left="444" w:right="660" w:firstLine="419"/>
        <w:spacing w:after="0" w:line="282" w:lineRule="auto"/>
        <w:tabs>
          <w:tab w:leader="none" w:pos="1132"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RP Amount, plus the amount of Restricted Debt Payments that may be made at the time of determination pursuant to </w:t>
      </w:r>
      <w:r>
        <w:rPr>
          <w:rFonts w:ascii="Times New Roman" w:cs="Times New Roman" w:eastAsia="Times New Roman" w:hAnsi="Times New Roman"/>
          <w:sz w:val="18"/>
          <w:szCs w:val="18"/>
          <w:u w:val="single" w:color="auto"/>
          <w:color w:val="auto"/>
        </w:rPr>
        <w:t>Section 6.04(b)(iv)</w:t>
      </w:r>
      <w:r>
        <w:rPr>
          <w:rFonts w:ascii="Times New Roman" w:cs="Times New Roman" w:eastAsia="Times New Roman" w:hAnsi="Times New Roman"/>
          <w:sz w:val="18"/>
          <w:szCs w:val="18"/>
          <w:color w:val="auto"/>
        </w:rPr>
        <w:t>, plus</w:t>
      </w:r>
    </w:p>
    <w:p>
      <w:pPr>
        <w:spacing w:after="0" w:line="53" w:lineRule="exact"/>
        <w:rPr>
          <w:rFonts w:ascii="Times New Roman" w:cs="Times New Roman" w:eastAsia="Times New Roman" w:hAnsi="Times New Roman"/>
          <w:sz w:val="18"/>
          <w:szCs w:val="18"/>
          <w:color w:val="auto"/>
        </w:rPr>
      </w:pPr>
    </w:p>
    <w:p>
      <w:pPr>
        <w:ind w:left="444" w:right="140" w:firstLine="419"/>
        <w:spacing w:after="0" w:line="266" w:lineRule="auto"/>
        <w:tabs>
          <w:tab w:leader="none" w:pos="1182" w:val="left"/>
        </w:tabs>
        <w:numPr>
          <w:ilvl w:val="2"/>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75" w:lineRule="exact"/>
        <w:rPr>
          <w:rFonts w:ascii="Times New Roman" w:cs="Times New Roman" w:eastAsia="Times New Roman" w:hAnsi="Times New Roman"/>
          <w:sz w:val="18"/>
          <w:szCs w:val="18"/>
          <w:color w:val="auto"/>
        </w:rPr>
      </w:pPr>
    </w:p>
    <w:p>
      <w:pPr>
        <w:ind w:left="4" w:right="200" w:firstLine="436"/>
        <w:spacing w:after="0" w:line="256" w:lineRule="auto"/>
        <w:tabs>
          <w:tab w:leader="none" w:pos="669"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(r)(i)</w:t>
      </w:r>
      <w:r>
        <w:rPr>
          <w:rFonts w:ascii="Times New Roman" w:cs="Times New Roman" w:eastAsia="Times New Roman" w:hAnsi="Times New Roman"/>
          <w:sz w:val="18"/>
          <w:szCs w:val="18"/>
          <w:color w:val="auto"/>
        </w:rPr>
        <w:t xml:space="preserve"> plus (ii)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(r)(ii)</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6.04(b)(vi)</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Guarantees of leases or subleases (in each case other than Finance Leases) or of other obligations not constituting Indebtedness,</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lease obligations of suppliers, customers, franchisees and licensees of the Borrower and/or its Restricted Subsidiaries, in each case, in the ordinary course of business and (iii) Investments consisting of Guarantees of any supplier’s obligations in respect of commodity contracts, including Derivative Transactions, solely to the extent such commodities related to the materials or products to be purchased by the Borrower or any Restricted Subsidiary;</w:t>
      </w:r>
    </w:p>
    <w:p>
      <w:pPr>
        <w:spacing w:after="0" w:line="188"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659"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any Person in amounts and for purposes for which Restricted Payments to such Person are permitted under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made as provided above in lieu of any such Restricted Payment shall reduce availability under the applicable Restricted Payment basket under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and Joint Ventures in connection with reorganizations and/or</w:t>
      </w:r>
    </w:p>
    <w:p>
      <w:pPr>
        <w:spacing w:after="0" w:line="225"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restructurings, including any Permitted Reorganization and/or activities related to tax planning (including Investments in non-Cash or non-Cash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reorganization, restructuring and/or related activity, the security interest of the Collateral Agent in the Collateral, taken as a whole, is not materially impaired (including by a material portion of the assets that constitute Collateral immediately prior to such reorganization, restructuring or tax planning activities no longer constituting Collateral) as a result of such reorganization, restructuring or tax planning activities;</w:t>
      </w:r>
    </w:p>
    <w:p>
      <w:pPr>
        <w:spacing w:after="0" w:line="183" w:lineRule="exact"/>
        <w:rPr>
          <w:sz w:val="20"/>
          <w:szCs w:val="20"/>
          <w:color w:val="auto"/>
        </w:rPr>
      </w:pPr>
    </w:p>
    <w:p>
      <w:pPr>
        <w:ind w:left="744" w:hanging="304"/>
        <w:spacing w:after="0"/>
        <w:tabs>
          <w:tab w:leader="none" w:pos="744"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arising under or in connection with any Derivative Transaction of the type permitted under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4" w:right="160" w:firstLine="436"/>
        <w:spacing w:after="0" w:line="266" w:lineRule="auto"/>
        <w:tabs>
          <w:tab w:leader="none" w:pos="69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 in Joint Ventures or Unrestricted Subsidiaries, (B) in connection with the creation, formation and/or acquisition of any Joint Venture or (C) in any Restricted Subsidiary to enable such Restricted Subsidiary to create, form and/or acquire any Joint Venture, in an aggregate outstanding amount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not to exceed in any Fiscal Year the greater of $562,500,000 and</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1004"/>
          </w:cols>
          <w:pgMar w:left="436" w:top="270" w:right="459" w:bottom="1440" w:gutter="0" w:footer="0" w:header="0"/>
        </w:sectPr>
      </w:pPr>
    </w:p>
    <w:bookmarkStart w:id="247" w:name="page248"/>
    <w:bookmarkEnd w:id="24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 of Consolidated Adjusted EBITDA as of the last day of the most recently ended Test Period (with unused amounts, if not used in any Fiscal Year, carried forward to subsequent Fiscal Years (until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is made in any Person that is not a Restricted Subsidiary at the date of making of such Investment and such Person becomes a Restricted Subsidiary after such date, such Investment shall, at the election of the Borrower, be deemed to have been made pursuant to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above and shall cease to have been made under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00" w:firstLine="436"/>
        <w:spacing w:after="0" w:line="282" w:lineRule="auto"/>
        <w:tabs>
          <w:tab w:leader="none" w:pos="69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joint ventures as required by, or made pursuant to, buy/sell arrangements between the joint venture parties set forth in joint venture agreements and similar binding arrangements;</w:t>
      </w:r>
    </w:p>
    <w:p>
      <w:pPr>
        <w:spacing w:after="0" w:line="161" w:lineRule="exact"/>
        <w:rPr>
          <w:rFonts w:ascii="Times New Roman" w:cs="Times New Roman" w:eastAsia="Times New Roman" w:hAnsi="Times New Roman"/>
          <w:sz w:val="18"/>
          <w:szCs w:val="18"/>
          <w:color w:val="auto"/>
        </w:rPr>
      </w:pPr>
    </w:p>
    <w:p>
      <w:pPr>
        <w:ind w:right="360" w:firstLine="436"/>
        <w:spacing w:after="0" w:line="282" w:lineRule="auto"/>
        <w:tabs>
          <w:tab w:leader="none" w:pos="685"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they are permitted to remain unfunded under applicable Requirements of Law;</w:t>
      </w:r>
    </w:p>
    <w:p>
      <w:pPr>
        <w:spacing w:after="0" w:line="162" w:lineRule="exact"/>
        <w:rPr>
          <w:sz w:val="20"/>
          <w:szCs w:val="20"/>
          <w:color w:val="auto"/>
        </w:rPr>
      </w:pPr>
    </w:p>
    <w:p>
      <w:pPr>
        <w:ind w:right="420" w:firstLine="436"/>
        <w:spacing w:after="0" w:line="282" w:lineRule="auto"/>
        <w:tabs>
          <w:tab w:leader="none" w:pos="76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Borrower, any subsidiary and/or any Joint Venture in connection with (i) Permitted Treasury Arrangements and other intercompany cash management arrangements and (ii) related activities in the ordinary course of business;</w:t>
      </w:r>
    </w:p>
    <w:p>
      <w:pPr>
        <w:spacing w:after="0" w:line="161"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any nonqualified deferred compensation plan or arrangement for any Permitted Payee;</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76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by any Unrestricted Subsidiary prior to the date on which such Unrestricted Subsidiary is designated as a Restricted Subsidiary (but for the avoidance of doubt, after such subsidiary was designated as an Unrestricted Subsidiary) so long as the relevant Investment was not made in contemplation of the designation of such Unrestricted Subsidiary as a Restricted Subsidiary;</w:t>
      </w:r>
    </w:p>
    <w:p>
      <w:pPr>
        <w:spacing w:after="0" w:line="175" w:lineRule="exact"/>
        <w:rPr>
          <w:rFonts w:ascii="Times New Roman" w:cs="Times New Roman" w:eastAsia="Times New Roman" w:hAnsi="Times New Roman"/>
          <w:sz w:val="18"/>
          <w:szCs w:val="18"/>
          <w:color w:val="auto"/>
        </w:rPr>
      </w:pPr>
    </w:p>
    <w:p>
      <w:pPr>
        <w:ind w:right="240" w:firstLine="436"/>
        <w:spacing w:after="0" w:line="282" w:lineRule="auto"/>
        <w:tabs>
          <w:tab w:leader="none" w:pos="78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on a Pro Forma Basis, the Total Leverage Ratio does not exceed 2.75:1.00;</w:t>
      </w:r>
    </w:p>
    <w:p>
      <w:pPr>
        <w:spacing w:after="0" w:line="161" w:lineRule="exact"/>
        <w:rPr>
          <w:rFonts w:ascii="Times New Roman" w:cs="Times New Roman" w:eastAsia="Times New Roman" w:hAnsi="Times New Roman"/>
          <w:sz w:val="18"/>
          <w:szCs w:val="18"/>
          <w:color w:val="auto"/>
        </w:rPr>
      </w:pPr>
    </w:p>
    <w:p>
      <w:pPr>
        <w:ind w:right="760" w:firstLine="436"/>
        <w:spacing w:after="0" w:line="282" w:lineRule="auto"/>
        <w:tabs>
          <w:tab w:leader="none" w:pos="765"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sublicensing or contribution of any intellectual property or other IP Rights pursuant to joint marketing, collaboration or other similar arrangements with other Persons;</w:t>
      </w:r>
    </w:p>
    <w:p>
      <w:pPr>
        <w:spacing w:after="0" w:line="161" w:lineRule="exact"/>
        <w:rPr>
          <w:rFonts w:ascii="Times New Roman" w:cs="Times New Roman" w:eastAsia="Times New Roman" w:hAnsi="Times New Roman"/>
          <w:sz w:val="18"/>
          <w:szCs w:val="18"/>
          <w:color w:val="auto"/>
        </w:rPr>
      </w:pPr>
    </w:p>
    <w:p>
      <w:pPr>
        <w:ind w:firstLine="436"/>
        <w:spacing w:after="0" w:line="256" w:lineRule="auto"/>
        <w:tabs>
          <w:tab w:leader="none" w:pos="722"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or relating to any Receivables Subsidiary that, in the good faith determination of the Borrower, are necessary or advisable to effect a Qualified Receivables Facility (including any contribution of replacement or substitute assets to such Subsidiary) or any repurchases in connection therewith (including the contribution or lending of Cash or Cash Equivalents to Subsidiaries to finance the purchase of such assets from the Borrower or any Restricted Subsidiary or to otherwise fund required reserves and Investments of funds held in accounts permitted or required by the arrangements governing such Qualified Receivables Facility or any related Indebtedness) and (ii) any Investment by a Receivables Subsidiary in any other Person, in each case in connection with a Qualified Receivables Facility;</w:t>
      </w:r>
    </w:p>
    <w:p>
      <w:pPr>
        <w:spacing w:after="0" w:line="18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to Qualified Capital Stock of any Indebtedness owed by the Borrower or any Restricted Subsidiary and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36"/>
        <w:spacing w:after="0" w:line="261" w:lineRule="auto"/>
        <w:tabs>
          <w:tab w:leader="none" w:pos="7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Subsidiaries of the Borrower may be established or created (including pursuant to a Delaware LLC Division) if such Borrower and such Restricted Subsidiary comply with the requirements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such new Restricted Subsidiary is created solely for the purpose of consummating a transaction pursuant to an acquisition or other Investment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and such new Restricted Subsidiary at no time holds any</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80"/>
          </w:cols>
          <w:pgMar w:left="440" w:top="270" w:right="479" w:bottom="1440" w:gutter="0" w:footer="0" w:header="0"/>
        </w:sectPr>
      </w:pPr>
    </w:p>
    <w:bookmarkStart w:id="248" w:name="page249"/>
    <w:bookmarkEnd w:id="248"/>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assets or liabilities other than any acquisition or Investment consideration contributed to it contemporaneously with the closing of such transaction, such new Restricted Subsidiary shall not be required to take the actions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until the respective acquisition is consummated (at which time the surviving entity of the respective transaction shall be required to so comply in accordance with the provisions thereof);</w:t>
      </w:r>
    </w:p>
    <w:p>
      <w:pPr>
        <w:spacing w:after="0" w:line="176" w:lineRule="exact"/>
        <w:rPr>
          <w:sz w:val="20"/>
          <w:szCs w:val="20"/>
          <w:color w:val="auto"/>
        </w:rPr>
      </w:pPr>
    </w:p>
    <w:p>
      <w:pPr>
        <w:jc w:val="both"/>
        <w:ind w:right="400" w:firstLine="436"/>
        <w:spacing w:after="0" w:line="266" w:lineRule="auto"/>
        <w:tabs>
          <w:tab w:leader="none" w:pos="70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Borrower or any of their Restricted Subsidiaries;</w:t>
      </w:r>
    </w:p>
    <w:p>
      <w:pPr>
        <w:spacing w:after="0" w:line="175"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70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Borrower or any of its Restricted Subsidiaries;</w:t>
      </w:r>
    </w:p>
    <w:p>
      <w:pPr>
        <w:spacing w:after="0" w:line="175" w:lineRule="exact"/>
        <w:rPr>
          <w:rFonts w:ascii="Times New Roman" w:cs="Times New Roman" w:eastAsia="Times New Roman" w:hAnsi="Times New Roman"/>
          <w:sz w:val="18"/>
          <w:szCs w:val="18"/>
          <w:color w:val="auto"/>
        </w:rPr>
      </w:pPr>
    </w:p>
    <w:p>
      <w:pPr>
        <w:ind w:right="460" w:firstLine="436"/>
        <w:spacing w:after="0" w:line="282" w:lineRule="auto"/>
        <w:tabs>
          <w:tab w:leader="none" w:pos="7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earnest money deposits required in connection with purchase agreements or other acquisitions or Investments otherwise permitted under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any other pledges or deposits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70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Loans repurchased by the Borrower or a Restricted Subsidiary pursuant to and subject to immediate cancellation in accordance with this Agreement and, to the extent permitted (or not prohibited) by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loans or other Indebtedness repurchased, redeemed or retired by the Borrower or a Restricted Subsidiary pursuant to and subject to immediate cancellation in accordance with the terms of such other Indebtedness;</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8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acquisitions of inventory, supplies, materials, services, equipment or similar assets in the ordinary course of business; and</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any Investment in the form of a transfer of actual legal title (or transfer of similar effect) or an exclusive license of Material Intellectual Property by the Borrower or any Restricted Subsidiary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Borrower in good faith) that is only exclusive with respect to a particular type or field (or types or fields) of usage or a certain territory or group of territories.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0"/>
          </w:cols>
          <w:pgMar w:left="440" w:top="270" w:right="459" w:bottom="1440" w:gutter="0" w:footer="0" w:header="0"/>
        </w:sectPr>
      </w:pPr>
    </w:p>
    <w:bookmarkStart w:id="249" w:name="page250"/>
    <w:bookmarkEnd w:id="249"/>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Times New Roman" w:cs="Times New Roman" w:eastAsia="Times New Roman" w:hAnsi="Times New Roman"/>
          <w:sz w:val="18"/>
          <w:szCs w:val="18"/>
          <w:u w:val="single" w:color="auto"/>
          <w:color w:val="auto"/>
        </w:rPr>
        <w:t>Fundamental Changes; Disposition of Assets</w:t>
      </w:r>
      <w:r>
        <w:rPr>
          <w:rFonts w:ascii="Times New Roman" w:cs="Times New Roman" w:eastAsia="Times New Roman" w:hAnsi="Times New Roman"/>
          <w:sz w:val="18"/>
          <w:szCs w:val="18"/>
          <w:color w:val="auto"/>
        </w:rPr>
        <w:t>. The Borrower and each other Loan Party shall not, nor shall it permit any Restricted Subsidiary to, enter into any transaction of merger, consolidation or amalgamation, or liquidate, wind up or dissolve themselves (or suffer any liquidation or dissolution), or make any Disposition of assets having a fair market value in excess of the greater of $562,500,000 and 25% of Consolidated Adjusted EBITDA as of the last day of the most recently ended Test Period in a single transaction or in a series of related transactions, except:</w:t>
      </w:r>
    </w:p>
    <w:p>
      <w:pPr>
        <w:spacing w:after="0" w:line="75" w:lineRule="exact"/>
        <w:rPr>
          <w:sz w:val="20"/>
          <w:szCs w:val="20"/>
          <w:color w:val="auto"/>
        </w:rPr>
      </w:pPr>
    </w:p>
    <w:p>
      <w:pPr>
        <w:ind w:firstLine="436"/>
        <w:spacing w:after="0" w:line="252" w:lineRule="auto"/>
        <w:tabs>
          <w:tab w:leader="none" w:pos="68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Restricted Subsidiary may be merged, consolidated or amalgamated with or into (including pursuant to any successive mergers, consolidations or amalgamations of entities) any other Person (the continuing or surviving person after giving effect to such transaction or successive transactions, the “</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such merger, consolidation or amalgamation by, with or into the Borrower either (A) a Borrower shall be the continuing or surviving Person or a Person that continues as an amalgamated corporation or (B) if the Person formed by or surviving any such merger, consolidation or amalgamation (including any immediate and successive mergers, consolidations or amalgamations of entities) is not the Borrower, either (1) (w) “know your customer” information reasonably requested by the Administrative Agent shall have been delivered by the Borrower (including if such Person qualifies as a “legal entity customer” under the Beneficial Ownership Regulation, a Beneficial Ownership Certificate as to such Successor Borrower), (x) the Successor Borrower shall be an entity organized or existing under the law of the U.S., any state thereof, the District of Columbia, the jurisdiction of organization of a Borrower or a political subdivision thereof, (y) the Successor Borrower shall expressly assume the applicable Loan Document Obligations of the Borrower, in a manner reasonably satisfactory to the Administrative Agent, and (z) except as the Administrative Agent may otherwise agree, each Guarantor, unless it is the other party to such merger, consolidation or amalgamation, shall have executed and delivered a reaffirmation agreement with respect to its obligations under the Loan Guarantee and the other Loan Documents; it being understood and agreed that if the foregoing conditions under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are satisfied, the Successor Borrower will succeed to, and be substituted for, the Borrower under this Agreement and the other Loan Documents, or (2) in the case of a merger, consolidation or amalgamation of an Additional Borrower, such Additional Borrower resigns as a Borrower prior to or substantially concurrently with the consummation of such merger, consolidation or amalgamation in accordance with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(ii) in the case of any such merger, consolidation or amalgamation with or into any Subsidiary Guarantor, either (x) a Borrower or Subsidiary Guarantor shall be the continuing or surviving Person or the continuing or surviving Person shall expressly assume the guarantee obligations of the Subsidiary Guarantor in a manner reasonably satisfactory to the Administrative Agent or (y) the relevant transaction shall be treated as an Investment and otherwise be made in compliance with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of Capital Stock) among the Borrower and/or any Restricted Subsidiary (upon voluntary liquidation or otherwise);</w:t>
      </w:r>
    </w:p>
    <w:p>
      <w:pPr>
        <w:spacing w:after="0" w:line="225" w:lineRule="exact"/>
        <w:rPr>
          <w:rFonts w:ascii="Times New Roman" w:cs="Times New Roman" w:eastAsia="Times New Roman" w:hAnsi="Times New Roman"/>
          <w:sz w:val="18"/>
          <w:szCs w:val="18"/>
          <w:color w:val="auto"/>
        </w:rPr>
      </w:pPr>
    </w:p>
    <w:p>
      <w:pPr>
        <w:ind w:right="20" w:firstLine="436"/>
        <w:spacing w:after="0" w:line="274" w:lineRule="auto"/>
        <w:tabs>
          <w:tab w:leader="none" w:pos="685" w:val="left"/>
        </w:tabs>
        <w:numPr>
          <w:ilvl w:val="0"/>
          <w:numId w:val="3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liquidation or dissolution of any Restricted Subsidiary if the Borrower determines in good faith that such liquidation or dissolution is in the best interests of the Borrower,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otherwise permitted under this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or (B) any Investment permitted under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thereof); and (iii) the Borrower or any Restricted Subsidiary may be converted into another form of entity, in each case, so long as such conversion does not adversely affect the value of the Loan Guarantee or the Collateral, taken as a whole;</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0"/>
          </w:cols>
          <w:pgMar w:left="440" w:top="270" w:right="459" w:bottom="1440" w:gutter="0" w:footer="0" w:header="0"/>
        </w:sectPr>
      </w:pPr>
    </w:p>
    <w:bookmarkStart w:id="250" w:name="page251"/>
    <w:bookmarkEnd w:id="250"/>
    <w:p>
      <w:pPr>
        <w:ind w:left="4" w:right="1000" w:firstLine="436"/>
        <w:spacing w:after="0" w:line="282" w:lineRule="auto"/>
        <w:tabs>
          <w:tab w:leader="none" w:pos="69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Dispositions of inventory or goods held for sale, equipment or other assets in the ordinary course of business (including on an intercompany basis) and (y) the leasing or subleasing of real property in the ordinary course of business;</w:t>
      </w:r>
    </w:p>
    <w:p>
      <w:pPr>
        <w:spacing w:after="0" w:line="161"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68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surplus, obsolete, used or worn out property or other property that, in the good faith judgment of the Borrower, is (A) no longer useful in its business (or in the business of any Restricted Subsidiary of the Borrower) or (B) otherwise economically impracticable or not commercially reasonable to maintain;</w:t>
      </w:r>
    </w:p>
    <w:p>
      <w:pPr>
        <w:spacing w:after="0" w:line="1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6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Cash Equivalents and/or Investment Grade Securities or other assets that were Cash, Cash Equivalents and/or Investment Grade Securities when the relevant original Investment was made;</w:t>
      </w:r>
    </w:p>
    <w:p>
      <w:pPr>
        <w:spacing w:after="0" w:line="16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mergers, amalgamations, consolidations or conveyances that constitute (or if structured as such would constitute, or are made in order to effectuate) Investments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6.06(j)</w:t>
      </w:r>
      <w:r>
        <w:rPr>
          <w:rFonts w:ascii="Times New Roman" w:cs="Times New Roman" w:eastAsia="Times New Roman" w:hAnsi="Times New Roman"/>
          <w:sz w:val="18"/>
          <w:szCs w:val="18"/>
          <w:color w:val="auto"/>
        </w:rPr>
        <w:t xml:space="preserve">), Permitted Liens, Restricted Payments permitted by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6.04(a)(ix)</w:t>
      </w:r>
      <w:r>
        <w:rPr>
          <w:rFonts w:ascii="Times New Roman" w:cs="Times New Roman" w:eastAsia="Times New Roman" w:hAnsi="Times New Roman"/>
          <w:sz w:val="18"/>
          <w:szCs w:val="18"/>
          <w:color w:val="auto"/>
        </w:rPr>
        <w:t xml:space="preserve">) and Sale and Lease-Back Transactions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for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(1) any single Disposition transaction or a series of related Disposition transactions with respect to assets having a fair market value in excess of the greater of $562,500,000 and 25% of Consolidated Adjusted EBITDA as of the last day of the most recently ended Test Period or (2) any other Disposition transactions not excluded from the requirements of this proviso pursuant to the preceding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with respect to assets having a fair market value in excess of the greater of $787,500,000 and 35% of Consolidated Adjusted EBITDA as of the last day of the most recently ended Test Period, for all such transactions on an aggregate basis in any Fiscal Year (in each case other than any Permitted Asset Swap), at least 75% of the consideration for such Disposition (other than the portion of any such Disposition consisting of a Permitted Asset Swap), together with all other Dispositions undertaken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since the Closing Date (on a cumulative basis), shall consist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75% Cash consideration requirement, (u) the amount of any Indebtedness or other liabilities (other than Indebtedness or other liabilities that are expressly subordinated in right of payment to the Loan Document Obligations or that are owed to the Borrower or any Restricted Subsidiary) of the Borrower or any Restricted Subsidiary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Borrower) that are (i) assumed by the transferee of any such assets and for which the Borrower and/or its applicable Restricted Subsidiary have been validly released by all relevant creditors in writing or</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cancelled or terminated in connection with such Disposition, (v) the amount of any trade-in value applied to the purchase price of any replacement assets acquired in connection with such Disposition, (w) future payments to be made in cash or Cash Equivalents owed to the Borrower or a Restricted Subsidiary in the form of licensing, royalty, earnout or milestone payment (or similar deferred cash payments), (x) any Securities or other obligations or assets received by the Borrower or any Restricted Subsidiary from such transferee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(y)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of the proviso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is at that time outstanding, not in excess of the greater of $1,687,500,000 and 75% of Consolidated Adjusted EBITDA as of the last day of the most recently ended Test Period and (z) any Investment, Capital Stock, assets, property or capital or other expenditure of the kind referred to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in each case shall be deemed to be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Net Proceeds of such Disposition shall be applied and/or reinvested as (and to the extent) required by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4"/>
          </w:cols>
          <w:pgMar w:left="436" w:top="270" w:right="459" w:bottom="1440" w:gutter="0" w:footer="0" w:header="0"/>
        </w:sectPr>
      </w:pPr>
    </w:p>
    <w:bookmarkStart w:id="251" w:name="page252"/>
    <w:bookmarkEnd w:id="251"/>
    <w:p>
      <w:pPr>
        <w:ind w:left="4" w:right="20" w:firstLine="436"/>
        <w:spacing w:after="0" w:line="282" w:lineRule="auto"/>
        <w:tabs>
          <w:tab w:leader="none" w:pos="65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5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(or assets of) Joint Ventures or other non-Wholly-Owned Subsidiaries to the extent required by, or made pursuant to, buy/sell arrangements between joint venture or similar parties set forth in the relevant joint venture arrangements and/or similar binding arrangements, or made on a pro rata basis to the owners thereof (or on a greater than pro rata basis to the extent the recipient of such greater amount is the Borrower or a Restricted Subsidiary);</w:t>
      </w:r>
    </w:p>
    <w:p>
      <w:pPr>
        <w:spacing w:after="0" w:line="179"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699"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notes receivable or accounts receivable in the ordinary course of business (including any discount and/or forgiveness thereof) or in connection with the collection or compromise thereof, or as part of any bankruptcy or similar proceeding;</w:t>
      </w:r>
    </w:p>
    <w:p>
      <w:pPr>
        <w:spacing w:after="0" w:line="161" w:lineRule="exact"/>
        <w:rPr>
          <w:rFonts w:ascii="Times New Roman" w:cs="Times New Roman" w:eastAsia="Times New Roman" w:hAnsi="Times New Roman"/>
          <w:sz w:val="18"/>
          <w:szCs w:val="18"/>
          <w:color w:val="auto"/>
        </w:rPr>
      </w:pPr>
    </w:p>
    <w:p>
      <w:pPr>
        <w:ind w:left="4" w:right="80" w:firstLine="436"/>
        <w:spacing w:after="0" w:line="289" w:lineRule="auto"/>
        <w:tabs>
          <w:tab w:leader="none" w:pos="659" w:val="left"/>
        </w:tabs>
        <w:numPr>
          <w:ilvl w:val="1"/>
          <w:numId w:val="3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and/or terminations of, or constituting, leases, subleases, licenses, sublicenses or cross-licenses (including the provision of software under any open source license), the Dispositions or terminations of which (i) do not materially interfere with the business of the Borrower and its Restricted Subsidiaries, (ii) relate to closed facilities or the discontinuation of any product line or (iii) are made in the ordinary course of business;</w:t>
      </w:r>
    </w:p>
    <w:p>
      <w:pPr>
        <w:spacing w:after="0" w:line="157" w:lineRule="exact"/>
        <w:rPr>
          <w:rFonts w:ascii="Times New Roman" w:cs="Times New Roman" w:eastAsia="Times New Roman" w:hAnsi="Times New Roman"/>
          <w:sz w:val="17"/>
          <w:szCs w:val="17"/>
          <w:color w:val="auto"/>
        </w:rPr>
      </w:pPr>
    </w:p>
    <w:p>
      <w:pPr>
        <w:ind w:left="744" w:hanging="304"/>
        <w:spacing w:after="0"/>
        <w:tabs>
          <w:tab w:leader="none" w:pos="744"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termination of any lease, sublease, license or sub-license in the ordinary course of business (and any related Disposition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made to leased real property resulting therefrom), (ii) any expiration of any option agreement in respect of real or personal property and</w:t>
      </w:r>
    </w:p>
    <w:p>
      <w:pPr>
        <w:spacing w:after="0" w:line="9" w:lineRule="exact"/>
        <w:rPr>
          <w:rFonts w:ascii="Times New Roman" w:cs="Times New Roman" w:eastAsia="Times New Roman" w:hAnsi="Times New Roman"/>
          <w:sz w:val="18"/>
          <w:szCs w:val="18"/>
          <w:color w:val="auto"/>
        </w:rPr>
      </w:pPr>
    </w:p>
    <w:p>
      <w:pPr>
        <w:ind w:left="4" w:right="20" w:hanging="4"/>
        <w:spacing w:after="0" w:line="260" w:lineRule="auto"/>
        <w:tabs>
          <w:tab w:leader="none" w:pos="319"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the settlement, release or surrender of contractual rights or litigation claims (including in tort) in the ordinary course of business;</w:t>
      </w:r>
    </w:p>
    <w:p>
      <w:pPr>
        <w:spacing w:after="0" w:line="181"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foreclosure, expropriation, forced disposition, casualty, eminent domain, expropriation or condemnation proceedings (including in lieu thereof or any similar proceeding);</w:t>
      </w:r>
    </w:p>
    <w:p>
      <w:pPr>
        <w:spacing w:after="0" w:line="161"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9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consignments of equipment, inventory or other assets (including leasehold or licensed interests and Settlement Assets, but excluding intellectual property or other IP Rights) (x) with respect to facilities that are temporarily not in use, held for sale or closed or (y) in the ordinary course of business;</w:t>
      </w:r>
    </w:p>
    <w:p>
      <w:pPr>
        <w:spacing w:after="0" w:line="175" w:lineRule="exact"/>
        <w:rPr>
          <w:rFonts w:ascii="Times New Roman" w:cs="Times New Roman" w:eastAsia="Times New Roman" w:hAnsi="Times New Roman"/>
          <w:sz w:val="18"/>
          <w:szCs w:val="18"/>
          <w:color w:val="auto"/>
        </w:rPr>
      </w:pPr>
    </w:p>
    <w:p>
      <w:pPr>
        <w:ind w:left="4" w:right="100" w:firstLine="436"/>
        <w:spacing w:after="0" w:line="312" w:lineRule="auto"/>
        <w:tabs>
          <w:tab w:leader="none" w:pos="699" w:val="left"/>
        </w:tabs>
        <w:numPr>
          <w:ilvl w:val="1"/>
          <w:numId w:val="3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made as part of, or which are reasonably necessary or appropriate (as determined by the Borrower in good faith) to effect or facilitate, the Separation, including the Restructuring, the Borrower Distribution and the Distribution, or otherwise pursuant to Separation Agreements;</w:t>
      </w:r>
    </w:p>
    <w:p>
      <w:pPr>
        <w:spacing w:after="0" w:line="139" w:lineRule="exact"/>
        <w:rPr>
          <w:rFonts w:ascii="Times New Roman" w:cs="Times New Roman" w:eastAsia="Times New Roman" w:hAnsi="Times New Roman"/>
          <w:sz w:val="17"/>
          <w:szCs w:val="17"/>
          <w:color w:val="auto"/>
        </w:rPr>
      </w:pPr>
    </w:p>
    <w:p>
      <w:pPr>
        <w:ind w:left="4" w:firstLine="436"/>
        <w:spacing w:after="0" w:line="256" w:lineRule="auto"/>
        <w:tabs>
          <w:tab w:leader="none" w:pos="699" w:val="left"/>
        </w:tabs>
        <w:numPr>
          <w:ilvl w:val="1"/>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non-core assets and sales of Real Estate Assets, in each case acquired in any acquisition or other Investment permitted hereunder, (II) Dispositions (x) made in order to obtain the approval of any anti-trust authority or otherwise necessary or advisable in the good faith determination of the Borrower to consummate any acquisition or other Investment permitted hereunder or (y) which, within 180 days of the date of such acquisition or Investment, are designated in writing to the Administrative Agent as being held for sale and not for the continued operation of the Borrower or any of their Restricted Subsidiaries or any of their respective businesses or (III) Dispositions of immaterial assets (considered in the aggregate and as reasonably determined by the Borrower in good faith);</w:t>
      </w:r>
    </w:p>
    <w:p>
      <w:pPr>
        <w:spacing w:after="0" w:line="12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64"/>
          </w:cols>
          <w:pgMar w:left="436" w:top="270" w:right="499" w:bottom="1440" w:gutter="0" w:footer="0" w:header="0"/>
        </w:sectPr>
      </w:pPr>
    </w:p>
    <w:bookmarkStart w:id="252" w:name="page253"/>
    <w:bookmarkEnd w:id="252"/>
    <w:p>
      <w:pPr>
        <w:ind w:right="80" w:firstLine="436"/>
        <w:spacing w:after="0" w:line="256" w:lineRule="auto"/>
        <w:tabs>
          <w:tab w:leader="none" w:pos="66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exchanges or swaps, including transactions covered by Section 1031 of the Code (or any comparable provision of any foreign jurisdiction), of property or assets so long as any such exchange or swap is made for fair value (as determined by the Borrower in good faith) for like property or assets or property, assets or services of greater value or usefulness to the business of the Borrower and its Restricted Subsidiaries as a whole, as determined in good faith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any such exchange or swap by any Loan Party, to the extent the property received does not constitute an Excluded Asset, the Collateral Agent has a perfected Lien with the same priority as the Lien held on the property or assets so exchanged or swapped;</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that do not constitute Collateral having a fair market value of not more than, in any Fiscal Year, the greater of</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$225,000,000 and 10% of Consolidated Adjusted EBITDA as of the last day of the most recently ended Test Period, which amounts if not used in any Fiscal Year may be carried forward to subsequent Fiscal Years (until so applied);</w:t>
      </w:r>
    </w:p>
    <w:p>
      <w:pPr>
        <w:spacing w:after="0" w:line="181" w:lineRule="exact"/>
        <w:rPr>
          <w:sz w:val="20"/>
          <w:szCs w:val="20"/>
          <w:color w:val="auto"/>
        </w:rPr>
      </w:pPr>
    </w:p>
    <w:p>
      <w:pPr>
        <w:ind w:right="40" w:firstLine="436"/>
        <w:spacing w:after="0" w:line="255" w:lineRule="auto"/>
        <w:tabs>
          <w:tab w:leader="none" w:pos="65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licensing and cross-licensing (including sub-licensing) arrangements involving any technology, intellectual property or other IP Rights of the Borrower or any Restricted Subsidiary in the ordinary course of business, (ii) Dispositions, abandonments, cancellations or lapses of intellectual property or other IP Rights, including issuances or registrations thereof, or applications for issuances or registrations thereof, in accordance with their statutory terms, or in the ordinary course of business or which, in the good faith determination of the Borrower, are not necessary to the conduct of the business of the Borrower or its Restricted Subsidiaries or are obsolete or no longer economical to maintain in light of their use, and (iii) Dispositions of any technology, intellectual property or other IP Rights of the Borrower or any Restricted Subsidiary involving their customers in the ordinary course of business;</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or unwinds of Derivative Transactions;</w:t>
      </w:r>
    </w:p>
    <w:p>
      <w:pPr>
        <w:spacing w:after="0" w:line="22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Capital Stock of, or sales of Indebtedness or other Securities of, Unrestricted Subsidiaries (or any Restricted Subsidiary that owns one or more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w:t>
      </w:r>
    </w:p>
    <w:p>
      <w:pPr>
        <w:spacing w:after="0" w:line="175" w:lineRule="exact"/>
        <w:rPr>
          <w:rFonts w:ascii="Times New Roman" w:cs="Times New Roman" w:eastAsia="Times New Roman" w:hAnsi="Times New Roman"/>
          <w:sz w:val="18"/>
          <w:szCs w:val="18"/>
          <w:color w:val="auto"/>
        </w:rPr>
      </w:pPr>
    </w:p>
    <w:p>
      <w:pPr>
        <w:ind w:right="200" w:firstLine="436"/>
        <w:spacing w:after="0" w:line="282" w:lineRule="auto"/>
        <w:tabs>
          <w:tab w:leader="none" w:pos="73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Estate Assets and related assets in the ordinary course of business in connection with relocation activities for directors, officers, employees, members of management, managers or consultants, the Borrower and/or any Restricted Subsidiary;</w:t>
      </w:r>
    </w:p>
    <w:p>
      <w:pPr>
        <w:spacing w:after="0" w:line="161"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made to comply with any order or other directive of any Governmental Authority or any applicable Requirement of Law, including Dispositions of any Restricted Subsidiary’s Capital Stock required to qualify directors;</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Disposition or conveyance the sole purpose of which is to reincorporate or reorganize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Restricted Subsidiary is a Loan Party it must satisfy the Collateral and Guarantee Requirement in such other jurisdiction to the extent otherwise required hereunder);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any part of a Permitted Reorganization;</w:t>
      </w:r>
    </w:p>
    <w:p>
      <w:pPr>
        <w:spacing w:after="0" w:line="225" w:lineRule="exact"/>
        <w:rPr>
          <w:sz w:val="20"/>
          <w:szCs w:val="20"/>
          <w:color w:val="auto"/>
        </w:rPr>
      </w:pPr>
    </w:p>
    <w:p>
      <w:pPr>
        <w:ind w:left="760" w:hanging="324"/>
        <w:spacing w:after="0"/>
        <w:tabs>
          <w:tab w:leader="none" w:pos="760"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motor vehicles and information technology equipment purchased at the end of an operating lease and resold thereafter;</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ind w:left="53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w:t>
      </w:r>
    </w:p>
    <w:p>
      <w:pPr>
        <w:sectPr>
          <w:pgSz w:w="11900" w:h="16838" w:orient="portrait"/>
          <w:cols w:equalWidth="0" w:num="1">
            <w:col w:w="10980"/>
          </w:cols>
          <w:pgMar w:left="440" w:top="270" w:right="479" w:bottom="1440" w:gutter="0" w:footer="0" w:header="0"/>
        </w:sectPr>
      </w:pPr>
    </w:p>
    <w:bookmarkStart w:id="253" w:name="page254"/>
    <w:bookmarkEnd w:id="253"/>
    <w:p>
      <w:pPr>
        <w:ind w:right="240" w:firstLine="436"/>
        <w:spacing w:after="0" w:line="282" w:lineRule="auto"/>
        <w:tabs>
          <w:tab w:leader="none" w:pos="78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Dispositions involving assets having a fair market value of not more than, in the aggregate, the greater of $787,500,000 and 35%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76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contemplated on the Closing Date and, with respect to any such Disposition in excess of $10,000,000, described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hereto (as such Schedule may be updated by the Borrower with the consent of the Administrative Agent (not to be unreasonably withheld, delayed or conditioned) after the Signing Date and on or prior to the Closing Date);</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78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or participations therein, or Receivables Facility Assets, or any disposition of the Capital Stock in a Subsidiary all or substantially all of the assets of which are Receivables Facility Assets, or other rights to payment and related assets, in each case in connection with any Qualified Receivables Facility;</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76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722"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netting arrangement of accounts receivable between or among the Borrower and their Restricted Subsidiaries or among Restricted Subsidiaries of the Borrower made in the ordinary course of business;</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78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or in connection with, any Convertible Indebtedness, any Permitted Bond Hedge Transaction, any Permitted Warrant Transaction or any Packaged Right (including upon settlement, repurchase, exchange, termination or unwind thereof);</w:t>
      </w:r>
    </w:p>
    <w:p>
      <w:pPr>
        <w:spacing w:after="0" w:line="161" w:lineRule="exact"/>
        <w:rPr>
          <w:rFonts w:ascii="Times New Roman" w:cs="Times New Roman" w:eastAsia="Times New Roman" w:hAnsi="Times New Roman"/>
          <w:sz w:val="18"/>
          <w:szCs w:val="18"/>
          <w:color w:val="auto"/>
        </w:rPr>
      </w:pPr>
    </w:p>
    <w:p>
      <w:pPr>
        <w:jc w:val="both"/>
        <w:ind w:right="480" w:firstLine="436"/>
        <w:spacing w:after="0" w:line="312" w:lineRule="auto"/>
        <w:tabs>
          <w:tab w:leader="none" w:pos="785" w:val="left"/>
        </w:tabs>
        <w:numPr>
          <w:ilvl w:val="0"/>
          <w:numId w:val="3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 in lieu” or other Disposition of assets to any Governmental Authority that continue in use by the Borrower or any Restricted Subsidiary, so long as such Borrower or any Restricted Subsidiary may obtain title to such asset upon reasonable notice by paying a nominal fee;</w:t>
      </w:r>
    </w:p>
    <w:p>
      <w:pPr>
        <w:spacing w:after="0" w:line="139" w:lineRule="exact"/>
        <w:rPr>
          <w:rFonts w:ascii="Times New Roman" w:cs="Times New Roman" w:eastAsia="Times New Roman" w:hAnsi="Times New Roman"/>
          <w:sz w:val="17"/>
          <w:szCs w:val="17"/>
          <w:color w:val="auto"/>
        </w:rPr>
      </w:pPr>
    </w:p>
    <w:p>
      <w:pPr>
        <w:jc w:val="both"/>
        <w:ind w:right="140" w:firstLine="436"/>
        <w:spacing w:after="0" w:line="261" w:lineRule="auto"/>
        <w:tabs>
          <w:tab w:leader="none" w:pos="70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formation, dissolution, liquidation or Disposition of any Subsidiary that is a Delaware Divided LLC and (ii) any Disposition to effect the formation of any Restricted Subsidiary that is a Delaware Divided LLC which Disposition is not otherwise prohibited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upon formation of a Delaware Divided LLC, the Borrower complies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with respect to such Delaware Divided LLC to the extent applicable; and</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or assets financed with the Available Excluded Contribution Amount or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of the Available Amount.</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that any Collateral is Disposed of as expressly permitted by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to any Person other than a Loan Party, such Collateral shall automatically be sold free and clear of the Liens created by the Loan Documents (which Liens shall be automatically released upon the consummation of such Disposition) and the Collateral Agent and the Administrative Agent shall be authorized to take, and shall take, any actions reasonably requested by the Borrower or otherwise deemed appropriate in order to effect the foregoing.</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any Disposition (or other disposition) in the form of a transfer of actual legal title (or transfer of similar effect) or an exclusive license of Material Intellectual Property by the Borrower or any Restricted Subsidiary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0900"/>
          </w:cols>
          <w:pgMar w:left="440" w:top="270" w:right="559" w:bottom="1440" w:gutter="0" w:footer="0" w:header="0"/>
        </w:sectPr>
      </w:pPr>
    </w:p>
    <w:bookmarkStart w:id="254" w:name="page255"/>
    <w:bookmarkEnd w:id="254"/>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license with respect to Material Intellectual Property shall not be deemed or interpreted to include a transfer or license in the form of a non-exclusive license of IP Rights or any exclusive license of IP Rights entered into for legitimate business purposes (as determined by the Borrower in good faith) that is only exclusive with respect to a particular type or field (or types or fields) of usage or a certain territory or group of territories.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and each other Loan Party shall not, nor shall it permit any Restricted Subsidiary to, directly or indirectly, become or remain liable as lessee or as a guarantor or other surety with respect to any lease of any property (whether real, personal or mixed), whether now owned or hereafter acquired, which the Borrower or the relevant Loan Party or Restricted Subsidiary (a) has sold or transferred or is to sell or to transfer to any other Person (other than the Borrower or any of their Restricted Subsidiaries) and (b) intends to use for substantially the same purpose as the property which has been or is to be sold or transferred by the Borrower or such Loan Party or Restricted Subsidiary to any Person (other than the Borrower or any of their Restricted Subsidiaries) in connection with such lease (such a transaction described herein, a “</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Sale and Lease-Back Transaction shall be permitted so long as either (A) the resulting Indebtedness, if any, is permitted by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(B) (1) such Sale and Lease-Back Transaction is made in exchange for Cash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Cash consideration requirements set forth in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shall apply in determining whether or not the Cash consideration requirements in this clause are satisfied; it being understood that any Designated Non-Cash Consideration received in respect of the relevant Sale and Lease-Back Transaction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proviso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that is at that time outstanding, not in excess of the greater of $1,687,500,000 and 75% of Consolidated Adjusted EBITDA as of the last day of the most recently ended Test Period, in each case, shall be deemed to be Cash), (2) the Borrower or Loan Party or its applicable Restricted Subsidiary would otherwise be permitted to enter into, and remain liable under, the applicable underlying lease and (3) the aggregate fair market value of the assets sold subject to all Sale and Lease-Back Transactions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exceed (i) the greater of $675,000,000 and 30% of Consolidated Adjusted EBITDA as of the last day of the most recently ended Test Period plus (ii) an unlimited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Cash proceeds received in connection therewith are applied to prepay the Loan Document Obligations hereunder as set forth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Borrower and each other Loan Party shall not, nor shall it permit any Restricted Subsidiary to, enter into any transaction (including the purchase, sale, lease or exchange of any property or the rendering of any service) involving payment in excess of the greater of $225,000,000 and 10% of Consolidated Adjusted EBITDA as of the last day of the most recently ended Test Period in any individual transaction with any of their respective Affiliates on terms that are substantially less favorable to such Borrower or such Loan Party or Restricted Subsidiary, as the case may be (as determined by the Borrower in good faith), than those that might be obtained at the time in a comparable arm’s-length transaction from a Person who is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w:t>
      </w:r>
    </w:p>
    <w:p>
      <w:pPr>
        <w:spacing w:after="0" w:line="79" w:lineRule="exact"/>
        <w:rPr>
          <w:sz w:val="20"/>
          <w:szCs w:val="20"/>
          <w:color w:val="auto"/>
        </w:rPr>
      </w:pPr>
    </w:p>
    <w:p>
      <w:pPr>
        <w:ind w:right="40" w:firstLine="436"/>
        <w:spacing w:after="0" w:line="282" w:lineRule="auto"/>
        <w:tabs>
          <w:tab w:leader="none" w:pos="68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Borrower and/or one or more Restricted Subsidiaries and/or Joint Ventures (or any entity that becomes a Restricted Subsidiary or Joint Venture as a result of such transaction) to the extent permitted or not restricted by this Agreement;</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Borrower or any Restricted Subsidiary;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0"/>
          </w:cols>
          <w:pgMar w:left="440" w:top="270" w:right="459" w:bottom="1440" w:gutter="0" w:footer="0" w:header="0"/>
        </w:sectPr>
      </w:pPr>
    </w:p>
    <w:bookmarkStart w:id="255" w:name="page256"/>
    <w:bookmarkEnd w:id="255"/>
    <w:p>
      <w:pPr>
        <w:ind w:right="20" w:firstLine="436"/>
        <w:spacing w:after="0" w:line="256" w:lineRule="auto"/>
        <w:tabs>
          <w:tab w:leader="none" w:pos="68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collective bargaining, employment, indemnification, expense reimbursement or severance agreement or compensatory (including profit sharing) arrangement entered into by the Borrower or any of their Restricted Subsidiaries with any Permitted Payee, (ii) any subscription 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specifically permitted under this Agreement, including: (i) transactions permitted by </w:t>
      </w:r>
      <w:r>
        <w:rPr>
          <w:rFonts w:ascii="Times New Roman" w:cs="Times New Roman" w:eastAsia="Times New Roman" w:hAnsi="Times New Roman"/>
          <w:sz w:val="18"/>
          <w:szCs w:val="18"/>
          <w:u w:val="single" w:color="auto"/>
          <w:color w:val="auto"/>
        </w:rPr>
        <w:t>Sections 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6.06(j)</w:t>
      </w:r>
      <w:r>
        <w:rPr>
          <w:rFonts w:ascii="Times New Roman" w:cs="Times New Roman" w:eastAsia="Times New Roman" w:hAnsi="Times New Roman"/>
          <w:sz w:val="18"/>
          <w:szCs w:val="18"/>
          <w:color w:val="auto"/>
        </w:rPr>
        <w:t xml:space="preserve"> solely to the extent of the cross-reference to this </w:t>
      </w:r>
      <w:r>
        <w:rPr>
          <w:rFonts w:ascii="Times New Roman" w:cs="Times New Roman" w:eastAsia="Times New Roman" w:hAnsi="Times New Roman"/>
          <w:sz w:val="18"/>
          <w:szCs w:val="18"/>
          <w:u w:val="single" w:color="auto"/>
          <w:color w:val="auto"/>
        </w:rPr>
        <w:t>Section 6.09</w:t>
      </w:r>
      <w:r>
        <w:rPr>
          <w:rFonts w:ascii="Times New Roman" w:cs="Times New Roman" w:eastAsia="Times New Roman" w:hAnsi="Times New Roman"/>
          <w:sz w:val="18"/>
          <w:szCs w:val="18"/>
          <w:color w:val="auto"/>
        </w:rPr>
        <w:t xml:space="preserve"> in such provision)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(ii) any Permitted Reorganization and any transaction for the forming of a holding company or reincorporation of the Borrower or any Restricted Subsidiary in a new jurisdiction, (iii) issuances of Capital Stock and issuances and incurrences of Indebtedness not restricted by this Agreement and payments pursuant thereto and (iv) any customary transaction with (including any Investment in or relating to) any Receivables Subsidiary effected as part of any Qualified Receivables Facility;</w:t>
      </w:r>
    </w:p>
    <w:p>
      <w:pPr>
        <w:spacing w:after="0" w:line="187" w:lineRule="exact"/>
        <w:rPr>
          <w:rFonts w:ascii="Times New Roman" w:cs="Times New Roman" w:eastAsia="Times New Roman" w:hAnsi="Times New Roman"/>
          <w:sz w:val="18"/>
          <w:szCs w:val="18"/>
          <w:color w:val="auto"/>
        </w:rPr>
      </w:pPr>
    </w:p>
    <w:p>
      <w:pPr>
        <w:ind w:right="400" w:firstLine="436"/>
        <w:spacing w:after="0" w:line="261" w:lineRule="auto"/>
        <w:tabs>
          <w:tab w:leader="none" w:pos="68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or performance by the Borrower or any Restricted Subsidiary of its obligations under the terms of, any transaction or agreement in existence on the Closing Date and any amendment, modification or extension thereof to the extent such amendment, modification or extension, taken as a whole, is not materially (i) adverse to the Lenders or (ii) more disadvantageous to the Lenders than the relevant transaction in existence on the Closing Date;</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transactions with a Person that is an Affiliate of the Borrower (other than an Unrestricted Subsidiary) solely because the Borrower or any Restricted Subsidiary owns Capital Stock in such Person and (ii) transactions with any Person that is an Affiliate solely because a director or officer of such Person is a director or officer of the Borrower or any Restricted Subsidiary;</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transactions approved by a majority of the disinterested members of the board of directors (or similar governing body) of the Borrower at such time;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or not restricted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transactions among the Loan Parties and their Subsidiaries, in each case to the extent permitted or not restricted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reasonable out-of-pocket costs to, and indemnities provided on behalf of, members of the board of directors (or similar governing body), officers, employees, members of management, managers, consultants and independent contractors of the Borrower and/or any of their Restricted Subsidiaries in the ordinary course of business;</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745"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licensees, Joint Ventures, purchasers or sellers of goods or services or providers of employees or other labor entered into in the ordinary course of business, which are (i) fair to the Borrower and/or its applicable Restricted Subsidiary in the good faith determination of the board of directors (or similar governing body) of the Borrower or the senior management thereof or (ii) on terms not substantially less favorable to the Borrower and/or its applicable Restricted Subsidiary as might reasonably be obtained from a Person other than an Affiliate;</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960"/>
          </w:cols>
          <w:pgMar w:left="440" w:top="270" w:right="499" w:bottom="1440" w:gutter="0" w:footer="0" w:header="0"/>
        </w:sectPr>
      </w:pPr>
    </w:p>
    <w:bookmarkStart w:id="256" w:name="page257"/>
    <w:bookmarkEnd w:id="256"/>
    <w:p>
      <w:pPr>
        <w:ind w:right="200" w:firstLine="436"/>
        <w:spacing w:after="0" w:line="266" w:lineRule="auto"/>
        <w:tabs>
          <w:tab w:leader="none" w:pos="69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of reasonable out-of-pocket costs and expenses related to registration rights and indemnities provided to shareholders under any shareholder agreement and the existence or performance by the Borrower or any Restricted Subsidiary of its obligations under any such registration rights or shareholder agreement;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is fair to such Borrower or such Restricted Subsidiary from a financial point of view or stating that the terms, when taken as a whole, are not substantially less favorable to such Borrower or the applicable Restricted Subsidiary than might be obtained at the time in a comparable arm’s length transaction from a Person who is not an Affiliate;</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agreements in contemplation of, or to effect or facilitate, the Separation (including the Restructuring, the Borrower Distribution, the Distribution, the Special Cash Payment, the payment of Transaction Costs and any other transactions, arrangements and agreements described or referred to in, or contemplated by, the Separation Agreements) or otherwise pursuant to Separation Agreements;</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6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 Unrestricted Subsidiary in the ordinary course of business (including, any cash management or administrative activities related thereto);</w:t>
      </w:r>
    </w:p>
    <w:p>
      <w:pPr>
        <w:spacing w:after="0" w:line="161" w:lineRule="exact"/>
        <w:rPr>
          <w:rFonts w:ascii="Times New Roman" w:cs="Times New Roman" w:eastAsia="Times New Roman" w:hAnsi="Times New Roman"/>
          <w:sz w:val="18"/>
          <w:szCs w:val="18"/>
          <w:color w:val="auto"/>
        </w:rPr>
      </w:pPr>
    </w:p>
    <w:p>
      <w:pPr>
        <w:jc w:val="both"/>
        <w:ind w:right="460" w:firstLine="436"/>
        <w:spacing w:after="0" w:line="266" w:lineRule="auto"/>
        <w:tabs>
          <w:tab w:leader="none" w:pos="67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the Borrower or any Restricted Subsidiary, as lessee, and any Affiliate of the Borrower, as lessor, and any transaction(s) pursuant to that lease, which lease is approved by the board of directors (or equivalent governing body) or senior management of the Borrower in good faith;</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the ordinary course of business pursuant to membership in a purchasing consortium;</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set forth on </w:t>
      </w:r>
      <w:r>
        <w:rPr>
          <w:rFonts w:ascii="Times New Roman" w:cs="Times New Roman" w:eastAsia="Times New Roman" w:hAnsi="Times New Roman"/>
          <w:sz w:val="18"/>
          <w:szCs w:val="18"/>
          <w:u w:val="single" w:color="auto"/>
          <w:color w:val="auto"/>
        </w:rPr>
        <w:t>Schedule 6.09</w:t>
      </w:r>
      <w:r>
        <w:rPr>
          <w:rFonts w:ascii="Times New Roman" w:cs="Times New Roman" w:eastAsia="Times New Roman" w:hAnsi="Times New Roman"/>
          <w:sz w:val="18"/>
          <w:szCs w:val="18"/>
          <w:color w:val="auto"/>
        </w:rPr>
        <w:t xml:space="preserve"> and any renewals or extensions thereof; and</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licensing, sublicensing or contribution of any IP Rights for operational, restructuring, tax planning or other similar purpose to any Restricted Subsidiary.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6.11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Amendments of or Waivers with Respect to Restricted Debt</w:t>
      </w:r>
      <w:r>
        <w:rPr>
          <w:rFonts w:ascii="Times New Roman" w:cs="Times New Roman" w:eastAsia="Times New Roman" w:hAnsi="Times New Roman"/>
          <w:sz w:val="18"/>
          <w:szCs w:val="18"/>
          <w:color w:val="auto"/>
        </w:rPr>
        <w:t xml:space="preserve">. The Borrower and each other Loan Party shall not, nor shall it permit any Restricted Subsidiary to, amend or otherwise modify the terms of any Restricted Debt (or the documentation governing any Restricted Debt) if the effect of such amendment or modification is expressly prohibited by any subordination provisions set forth therein or in any other stand-alone subordination or intercreditor agreement applicable thereto, without first obtaining the consent of the Administrative Agent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1020"/>
          </w:cols>
          <w:pgMar w:left="440" w:top="270" w:right="439" w:bottom="1440" w:gutter="0" w:footer="0" w:header="0"/>
        </w:sectPr>
      </w:pPr>
    </w:p>
    <w:bookmarkStart w:id="257" w:name="page258"/>
    <w:bookmarkEnd w:id="25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First Lien Leverage Ratio</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61" w:lineRule="auto"/>
        <w:tabs>
          <w:tab w:leader="none" w:pos="66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last day of any Test Period ending on or after the last day of the second full Fiscal Quarter ending after the Closing Date, the Borrower shall not permit the First Lien Leverage Ratio to be greater than 3.50:1.00;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on any last day of any Fiscal Quarter ending after the Closing Date there are no Initial Term Loans outstanding, the Borrower shall be required to comply with this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only if the Revolving Facility Testing Condition is satisfied on such day.</w:t>
      </w:r>
    </w:p>
    <w:p>
      <w:pPr>
        <w:spacing w:after="0" w:line="179" w:lineRule="exact"/>
        <w:rPr>
          <w:rFonts w:ascii="Times New Roman" w:cs="Times New Roman" w:eastAsia="Times New Roman" w:hAnsi="Times New Roman"/>
          <w:sz w:val="18"/>
          <w:szCs w:val="18"/>
          <w:color w:val="auto"/>
        </w:rPr>
      </w:pPr>
    </w:p>
    <w:p>
      <w:pPr>
        <w:ind w:left="-20" w:firstLine="436"/>
        <w:spacing w:after="0" w:line="267" w:lineRule="auto"/>
        <w:tabs>
          <w:tab w:leader="none" w:pos="675" w:val="left"/>
        </w:tabs>
        <w:numPr>
          <w:ilvl w:val="0"/>
          <w:numId w:val="3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in this Agreement (including </w:t>
      </w:r>
      <w:r>
        <w:rPr>
          <w:rFonts w:ascii="Times New Roman" w:cs="Times New Roman" w:eastAsia="Times New Roman" w:hAnsi="Times New Roman"/>
          <w:sz w:val="17"/>
          <w:szCs w:val="17"/>
          <w:u w:val="single" w:color="auto"/>
          <w:color w:val="auto"/>
        </w:rPr>
        <w:t>Article 8</w:t>
      </w:r>
      <w:r>
        <w:rPr>
          <w:rFonts w:ascii="Times New Roman" w:cs="Times New Roman" w:eastAsia="Times New Roman" w:hAnsi="Times New Roman"/>
          <w:sz w:val="17"/>
          <w:szCs w:val="17"/>
          <w:color w:val="auto"/>
        </w:rPr>
        <w:t xml:space="preserve">), if the Borrower reasonably expects to fail (or has failed) to comply with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above for any Fiscal Quarter, the Borrower shall have the right (the “</w:t>
      </w:r>
      <w:r>
        <w:rPr>
          <w:rFonts w:ascii="Times New Roman" w:cs="Times New Roman" w:eastAsia="Times New Roman" w:hAnsi="Times New Roman"/>
          <w:sz w:val="17"/>
          <w:szCs w:val="17"/>
          <w:b w:val="1"/>
          <w:bCs w:val="1"/>
          <w:color w:val="auto"/>
        </w:rPr>
        <w:t>Cure Right</w:t>
      </w:r>
      <w:r>
        <w:rPr>
          <w:rFonts w:ascii="Times New Roman" w:cs="Times New Roman" w:eastAsia="Times New Roman" w:hAnsi="Times New Roman"/>
          <w:sz w:val="17"/>
          <w:szCs w:val="17"/>
          <w:color w:val="auto"/>
        </w:rPr>
        <w:t xml:space="preserve">”) (at any time during such Fiscal Quarter or thereafter until the date that is 15 Business Days after the date on which financial statements for such Fiscal Quarter are required to be delivered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applicable) to (x) issue Permitted Equity for Cash or otherwise receive Cash contributions in respect of Permitted Equity; (y) utilize </w:t>
      </w:r>
      <w:r>
        <w:rPr>
          <w:rFonts w:ascii="Times New Roman" w:cs="Times New Roman" w:eastAsia="Times New Roman" w:hAnsi="Times New Roman"/>
          <w:sz w:val="17"/>
          <w:szCs w:val="17"/>
          <w:u w:val="single" w:color="auto"/>
          <w:color w:val="auto"/>
        </w:rPr>
        <w:t>clauses (a)(iii)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(a)(iv)</w:t>
      </w:r>
      <w:r>
        <w:rPr>
          <w:rFonts w:ascii="Times New Roman" w:cs="Times New Roman" w:eastAsia="Times New Roman" w:hAnsi="Times New Roman"/>
          <w:sz w:val="17"/>
          <w:szCs w:val="17"/>
          <w:color w:val="auto"/>
        </w:rPr>
        <w:t xml:space="preserve"> of the Available Amount or (z) use Net Proceeds received from the incurrence of any Indebtedness which is by its terms subordinated in right of payment to the Obligations (such amounts, the “</w:t>
      </w:r>
      <w:r>
        <w:rPr>
          <w:rFonts w:ascii="Times New Roman" w:cs="Times New Roman" w:eastAsia="Times New Roman" w:hAnsi="Times New Roman"/>
          <w:sz w:val="17"/>
          <w:szCs w:val="17"/>
          <w:b w:val="1"/>
          <w:bCs w:val="1"/>
          <w:color w:val="auto"/>
        </w:rPr>
        <w:t>Cure Amount</w:t>
      </w:r>
      <w:r>
        <w:rPr>
          <w:rFonts w:ascii="Times New Roman" w:cs="Times New Roman" w:eastAsia="Times New Roman" w:hAnsi="Times New Roman"/>
          <w:sz w:val="17"/>
          <w:szCs w:val="17"/>
          <w:color w:val="auto"/>
        </w:rPr>
        <w:t xml:space="preserve">”), and thereupon the Borrower’s compliance with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shall be recalculated by increasing Consolidated Adjusted EBITDA (notwithstanding the absence of a related addback in the definition of “Consolidated Adjusted EBITDA”), solely for the purpose of determining compliance with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as of the end of such Fiscal Quarter and for applicable subsequent periods that include such Fiscal Quarter, by an amount equal to the Cure Amount. If, after giving effect to the foregoing recalculation (but not, for the avoidance of doubt, except as expressly set forth below, taking into account any immediate repayment of Indebtedness in connection therewith), the requirements of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would be satisfied, then the requirements of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shall be deemed satisfied as of the end of the relevant Fiscal Quarter with the same effect as though there had been no failure to comply therewith at such date, and the applicable breach or default of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that had occurred (or would have occurred) shall be deemed cured for the purposes of this Agreement. Notwithstanding anything herein to the contrary, (i) in each four consecutive Fiscal Quarter period there shall be at least two Fiscal Quarters (which may, but are not required to be, consecutive) in which the Cure Right is not exercised, (ii) during the term of this Agreement, the Cure Right shall not be exercised more than five times (with one additional Cure Right permitted to be exercised following any Extension pursuant to </w:t>
      </w:r>
      <w:r>
        <w:rPr>
          <w:rFonts w:ascii="Times New Roman" w:cs="Times New Roman" w:eastAsia="Times New Roman" w:hAnsi="Times New Roman"/>
          <w:sz w:val="17"/>
          <w:szCs w:val="17"/>
          <w:u w:val="single" w:color="auto"/>
          <w:color w:val="auto"/>
        </w:rPr>
        <w:t>Section 2.23</w:t>
      </w:r>
      <w:r>
        <w:rPr>
          <w:rFonts w:ascii="Times New Roman" w:cs="Times New Roman" w:eastAsia="Times New Roman" w:hAnsi="Times New Roman"/>
          <w:sz w:val="17"/>
          <w:szCs w:val="17"/>
          <w:color w:val="auto"/>
        </w:rPr>
        <w:t xml:space="preserve">), (iii) the Cure Amount shall be no greater than the amount required for the purpose of complying with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xml:space="preserve"> (or to be in pro forma compliance with any financial covenant with respect to any other Indebtedness that is being cured), (iv) upon the Administrative Agent’s receipt of a written notice from the Borrower that the Borrower intends to exercise the Cure Right (a “</w:t>
      </w:r>
      <w:r>
        <w:rPr>
          <w:rFonts w:ascii="Times New Roman" w:cs="Times New Roman" w:eastAsia="Times New Roman" w:hAnsi="Times New Roman"/>
          <w:sz w:val="17"/>
          <w:szCs w:val="17"/>
          <w:b w:val="1"/>
          <w:bCs w:val="1"/>
          <w:color w:val="auto"/>
        </w:rPr>
        <w:t>Notice of Intent to Cure</w:t>
      </w:r>
      <w:r>
        <w:rPr>
          <w:rFonts w:ascii="Times New Roman" w:cs="Times New Roman" w:eastAsia="Times New Roman" w:hAnsi="Times New Roman"/>
          <w:sz w:val="17"/>
          <w:szCs w:val="17"/>
          <w:color w:val="auto"/>
        </w:rPr>
        <w:t xml:space="preserve">”), until the 15th Business Day following the date on which financial statements for the Fiscal Quarter to which such Notice of Intent to Cure relates are required to be delivered pursuant to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as applicable, neither the Administrative Agent (nor any sub-agent therefor) nor any Lender shall exercise any right to accelerate the Loans or terminate the Revolving Credit Commitments or any Additional Commitments, and none of the Administrative Agent (nor any sub-agent therefor) nor any Lender or Secured Party shall exercise any right to foreclose on or take possession of the Collateral or any other right or remedy under the Loan Documents, in each case solely on the basis of the relevant Event of Default under </w:t>
      </w: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(v) for any fiscal quarter in which any Cure Amount is</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980"/>
          </w:cols>
          <w:pgMar w:left="460" w:top="270" w:right="459" w:bottom="1440" w:gutter="0" w:footer="0" w:header="0"/>
        </w:sectPr>
      </w:pPr>
    </w:p>
    <w:bookmarkStart w:id="258" w:name="page259"/>
    <w:bookmarkEnd w:id="258"/>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included as an increase to Consolidated Adjusted EBITDA as a result of any exercise of the Cure Right, such Cure Amount shall be (A) counted solely as an increase to Consolidated Adjusted EBITDA (and not as a reduction of any other Indebtedness (by netting or otherwise) for the purpose of determining compliance with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any subsequent fiscal quarter, any portion of the Cure Amount that is actually applied to repay Indebtedness may be taken into account as a reduction of such Indebtedness so prepaid)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disregarded for all other purposes, including the purpose of determining whether any financial ratio-based condition has been satisfied, the Applicable Rate or the Commitment Fee Rate or the availability of any carve-out set forth in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of this Agreement and (vi) no Revolving Lender or Issuing Bank shall be required to make any Revolving Loan or issue, amend, extend the expiry date of or increase the amount of a Letter of Credit if an Event of Default under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exists during the 15 Business Day period during which the Borrower may exercise a Cure Right above unless and until the Cure Amount is actually received.</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LOAN GUARANTEE</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Guarantee of the Loan Document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terms of each Counterpart Agreement, the Guarantors jointly and severally hereby irrevocably and unconditionally guarantee to the Collateral Agent for the ratable benefit of the Secured Parties the due and punctual payment in full of all Obligations (other than Excluded Swap Obligations) when the same shall become due, whether at stated maturity, by required prepayment, declaration, acceleration, demand or otherwise (including amounts that would become due but for the operation of the automatic stay under Section 362(a) of the Bankruptcy Code or other Debtor Relief Laws)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Contribution by Guarantors; Indemnification; Subordination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60" w:firstLine="436"/>
        <w:spacing w:after="0" w:line="255" w:lineRule="auto"/>
        <w:tabs>
          <w:tab w:leader="none" w:pos="6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desire to allocate among themselves (collectively, the “</w:t>
      </w:r>
      <w:r>
        <w:rPr>
          <w:rFonts w:ascii="Times New Roman" w:cs="Times New Roman" w:eastAsia="Times New Roman" w:hAnsi="Times New Roman"/>
          <w:sz w:val="18"/>
          <w:szCs w:val="18"/>
          <w:b w:val="1"/>
          <w:bCs w:val="1"/>
          <w:color w:val="auto"/>
        </w:rPr>
        <w:t>Contributing Guarantors</w:t>
      </w:r>
      <w:r>
        <w:rPr>
          <w:rFonts w:ascii="Times New Roman" w:cs="Times New Roman" w:eastAsia="Times New Roman" w:hAnsi="Times New Roman"/>
          <w:sz w:val="18"/>
          <w:szCs w:val="18"/>
          <w:color w:val="auto"/>
        </w:rPr>
        <w:t>”), in a fair and equitable manner, their obligations arising under the Loan Guarantee. Accordingly, in the event any payment or distribution (including the sale of any assets) is made on any date by a Guarantor (a “</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xml:space="preserve">”) under the Loan Guarantee or any other Loan Document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The allocation among Contributing Guarantors of their obligations as set forth in this Agreement shall not be construed in any way to limit the liability of any Contributing Guarantor hereunder or under any other Loan Document. Any Contributing Guarantor making a payment under this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shall be subrogated to the rights of the Funding Guarantor under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below to the extent of such payment.</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such rights of indemnity and subrogation as the Guarantors may have under applicable law, the Borrower agrees that (i) in the event a payment in respect of any Obligation of such Borrower shall be made by any Guarantor under the Loan Guarantee, such Borrower shall indemnify such Guarantor for the full amount of such payment and such Guarantor shall be subrogated to the rights of the Person to whom such payment shall have been made to the extent of such payment and (ii) in the event any assets of any Guarantor shall be sold pursuant to any Loan Document to satisfy in whole or in part an Obligation owed to any Secured Party by such Borrower, such Borrower shall indemnify such Guarantor in an amount equal to the greater of the book value or the fair market value of the assets so sold.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0980"/>
          </w:cols>
          <w:pgMar w:left="440" w:top="270" w:right="479" w:bottom="1440" w:gutter="0" w:footer="0" w:header="0"/>
        </w:sectPr>
      </w:pPr>
    </w:p>
    <w:bookmarkStart w:id="259" w:name="page260"/>
    <w:bookmarkEnd w:id="259"/>
    <w:p>
      <w:pPr>
        <w:ind w:right="120" w:firstLine="436"/>
        <w:spacing w:after="0" w:line="257" w:lineRule="auto"/>
        <w:tabs>
          <w:tab w:leader="none" w:pos="685"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 provision of this Agreement to the contrary, all rights of the Guarantors under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 and all other rights of the Guarantors of indemnity, contribution or subrogation under applicable law or otherwise shall be fully subordinated to the payment in full in cash of the Loan Document Obligations. No failure on the part of the Borrower or any Guarantor to make the payments required by </w:t>
      </w:r>
      <w:r>
        <w:rPr>
          <w:rFonts w:ascii="Times New Roman" w:cs="Times New Roman" w:eastAsia="Times New Roman" w:hAnsi="Times New Roman"/>
          <w:sz w:val="18"/>
          <w:szCs w:val="18"/>
          <w:u w:val="single" w:color="auto"/>
          <w:color w:val="auto"/>
        </w:rPr>
        <w:t>Sections</w:t>
      </w:r>
    </w:p>
    <w:p>
      <w:pPr>
        <w:spacing w:after="0" w:line="1"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any other payments required under Requirements of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8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Payment by Subsidiary Guarantors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terms of each Counterpart Agreement, the Subsidiary Guarantors hereby jointly and severally agree, in furtherance of the foregoing and not in limitation of any other right which any Secured Party may have at law or in equity against any Subsidiary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analogous provisions of other Debtor Relief Laws), the Subsidiary Guarantors will upon demand pay, or cause to be paid, in Cash, to the Collateral Agent for the benefit of the Secured Parties, an amount equal to the sum of the unpaid principal amount of all Guaranteed Obligations then due as aforesaid, accrued and unpaid interest on such Guaranteed Obligations (including interest which, but for the Borrower’s becoming the subject of a case or proceeding under any Debtor Relief Law, would have accrued on such Guaranteed Obligations, whether or not a claim is allowed against the Borrower for such interest in the related bankruptcy case) and all other Guaranteed Obligations then owed to Secured Parties as aforesaid.</w:t>
      </w:r>
    </w:p>
    <w:p>
      <w:pPr>
        <w:spacing w:after="0" w:line="194"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To the extent permitted under applicable law, each Guarantor agrees that its obligations hereunder are irrevocable, absolute, independent and unconditional and shall not be affected by any circumstance which constitutes a legal or equitable discharge of a guarantor or surety other than satisfaction in full of the Guaranteed Obligations. In furtherance of the foregoing and without limiting the generality thereof, each Guarantor agrees as follows:</w:t>
      </w:r>
    </w:p>
    <w:p>
      <w:pPr>
        <w:spacing w:after="0" w:line="72" w:lineRule="exact"/>
        <w:rPr>
          <w:sz w:val="20"/>
          <w:szCs w:val="20"/>
          <w:color w:val="auto"/>
        </w:rPr>
      </w:pPr>
    </w:p>
    <w:p>
      <w:pPr>
        <w:ind w:right="160" w:firstLine="436"/>
        <w:spacing w:after="0" w:line="282" w:lineRule="auto"/>
        <w:tabs>
          <w:tab w:leader="none" w:pos="68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Guarantee is a guarantee of payment and performance when due and not of collection. This Loan Guarantee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Requirements of Law, the Collateral Agent may enforce this Loan Guarantee upon the occurrence of an Event of Default notwithstanding the existence of any dispute between the Borrower and any Secured Party with respect to the existence of such Event of Default;</w:t>
      </w:r>
    </w:p>
    <w:p>
      <w:pPr>
        <w:spacing w:after="0" w:line="175" w:lineRule="exact"/>
        <w:rPr>
          <w:rFonts w:ascii="Times New Roman" w:cs="Times New Roman" w:eastAsia="Times New Roman" w:hAnsi="Times New Roman"/>
          <w:sz w:val="18"/>
          <w:szCs w:val="18"/>
          <w:color w:val="auto"/>
        </w:rPr>
      </w:pPr>
    </w:p>
    <w:p>
      <w:pPr>
        <w:ind w:right="240" w:firstLine="436"/>
        <w:spacing w:after="0" w:line="261" w:lineRule="auto"/>
        <w:tabs>
          <w:tab w:leader="none" w:pos="68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79" w:lineRule="exact"/>
        <w:rPr>
          <w:rFonts w:ascii="Times New Roman" w:cs="Times New Roman" w:eastAsia="Times New Roman" w:hAnsi="Times New Roman"/>
          <w:sz w:val="18"/>
          <w:szCs w:val="18"/>
          <w:color w:val="auto"/>
        </w:rPr>
      </w:pPr>
    </w:p>
    <w:p>
      <w:pPr>
        <w:ind w:right="360" w:firstLine="436"/>
        <w:spacing w:after="0" w:line="256" w:lineRule="auto"/>
        <w:tabs>
          <w:tab w:leader="none" w:pos="69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Collateral Agent or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1000"/>
          </w:cols>
          <w:pgMar w:left="440" w:top="270" w:right="459" w:bottom="1440" w:gutter="0" w:footer="0" w:header="0"/>
        </w:sectPr>
      </w:pPr>
    </w:p>
    <w:bookmarkStart w:id="260" w:name="page261"/>
    <w:bookmarkEnd w:id="260"/>
    <w:p>
      <w:pPr>
        <w:ind w:left="4" w:right="300" w:firstLine="436"/>
        <w:spacing w:after="0" w:line="276" w:lineRule="auto"/>
        <w:tabs>
          <w:tab w:leader="none" w:pos="689" w:val="left"/>
        </w:tabs>
        <w:numPr>
          <w:ilvl w:val="1"/>
          <w:numId w:val="3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Secured Party, upon such terms as it deems appropriate, without notice or demand and without affecting the validity or enforceability hereof or giving rise to any reduction, limitation, impairment, discharge or termination of any Guarantor’s liability hereunder, from time to time may</w:t>
      </w:r>
    </w:p>
    <w:p>
      <w:pPr>
        <w:ind w:left="4" w:right="620" w:hanging="4"/>
        <w:spacing w:after="0" w:line="265" w:lineRule="auto"/>
        <w:tabs>
          <w:tab w:leader="none" w:pos="219" w:val="left"/>
        </w:tabs>
        <w:numPr>
          <w:ilvl w:val="0"/>
          <w:numId w:val="3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ind w:left="324" w:hanging="324"/>
        <w:spacing w:after="0"/>
        <w:tabs>
          <w:tab w:leader="none" w:pos="324"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and accept other guaranties of the Guaranteed Obligations and take and hold security for the payment hereof or the Guaranteed Obligations;</w:t>
      </w:r>
    </w:p>
    <w:p>
      <w:pPr>
        <w:spacing w:after="0" w:line="9" w:lineRule="exact"/>
        <w:rPr>
          <w:rFonts w:ascii="Times New Roman" w:cs="Times New Roman" w:eastAsia="Times New Roman" w:hAnsi="Times New Roman"/>
          <w:sz w:val="18"/>
          <w:szCs w:val="18"/>
          <w:color w:val="auto"/>
        </w:rPr>
      </w:pPr>
    </w:p>
    <w:p>
      <w:pPr>
        <w:ind w:left="4" w:right="60" w:hanging="4"/>
        <w:spacing w:after="0" w:line="251" w:lineRule="auto"/>
        <w:tabs>
          <w:tab w:leader="none" w:pos="309"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Hedge Agreement or agreement relating to Banking Services Obligations and any applicable security agreement, including foreclosure on any such security pursuant to one or more judicial or nonjudicial sales, whether or not every aspect of any such sale is commercially reasonable, and even though such action operates to impair or extinguish any right of reimbursement or subrogation or other right or remedy of any Guarantor against the Borrower or any security for the Guaranteed Obligations; and (vi) exercise any other rights available to it under the Loan Documents or any agreement relating to Derivative Transactions or Banking Services Obligations; and</w:t>
      </w:r>
    </w:p>
    <w:p>
      <w:pPr>
        <w:spacing w:after="0" w:line="192" w:lineRule="exact"/>
        <w:rPr>
          <w:rFonts w:ascii="Times New Roman" w:cs="Times New Roman" w:eastAsia="Times New Roman" w:hAnsi="Times New Roman"/>
          <w:sz w:val="18"/>
          <w:szCs w:val="18"/>
          <w:color w:val="auto"/>
        </w:rPr>
      </w:pPr>
    </w:p>
    <w:p>
      <w:pPr>
        <w:ind w:left="4" w:firstLine="436"/>
        <w:spacing w:after="0" w:line="252" w:lineRule="auto"/>
        <w:tabs>
          <w:tab w:leader="none" w:pos="669"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Guarantee and the obligations of the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or any agreements relating to Derivative Transactions or Banking Services, at law, in equity or otherwise) with respect to the Guaranteed Obligations or any agreement relating thereto, or with respect to any other guarantee of or security for the payment or performance of the Guaranteed Obligations; (ii) any rescission, waiver, amendment or modification of, or any consent to departure from, any of the terms or provisions (including provisions relating to events of default) hereof, any of the other Loan Documents, any agreements relating to Derivative Transactions or Banking Services or any agreement or instrument executed pursuant thereto, or of any other guarantee or security for the Guaranteed Obligations, in each case whether or not in accordance with the terms hereof or such Loan Document, such agreement relating to Derivatives Transactions or Banking Services or any agreement relating to such other guarantee or security; (iii) to the extent permitted by applicable law, the Guaranteed Obligations, or any agreement relating thereto, at any time being found to be illegal, invalid or unenforceable in any respect; (iv) the application of payments received from any source (other than payments received pursuant to the other Loan Documents, any agreements relating to Derivative Transactions or Banking Services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 any Secured Party’s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4"/>
          </w:cols>
          <w:pgMar w:left="436" w:top="270" w:right="459" w:bottom="1440" w:gutter="0" w:footer="0" w:header="0"/>
        </w:sectPr>
      </w:pPr>
    </w:p>
    <w:bookmarkStart w:id="261" w:name="page262"/>
    <w:bookmarkEnd w:id="26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(vii) to the extent permitted by applicable law, any defenses, set-offs or counterclaims which the Borrower may allege or assert against any Secured Party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xml:space="preserve">. To the extent permitted by applicable law, each Guarantor hereby waives, for the benefit of the Secured Parties: (a) any right to require any Secured Party,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any Secured Party in favor of the Borrower or any other Person, or (iv) pursue any other remedy in the power of any Secured Party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satisfaction in full of the Guaranteed Obligations; (c) any 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gross negligence, willful misconduct or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agreements relating to Derivative Transactions or Banking Services or any agreement or instrument related thereto, notices of any renewal, extension or modification of the Guaranteed Obligations or any agreement related thereto, notices of any extension of credit to the Borrower and notices of any of the matters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8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Guarantors’ Rights of Subrogation, Contribution, etc.</w:t>
      </w:r>
      <w:r>
        <w:rPr>
          <w:rFonts w:ascii="Times New Roman" w:cs="Times New Roman" w:eastAsia="Times New Roman" w:hAnsi="Times New Roman"/>
          <w:sz w:val="18"/>
          <w:szCs w:val="18"/>
          <w:color w:val="auto"/>
        </w:rPr>
        <w:t xml:space="preserve"> Until the Termination Date, each Guarantor hereby waives, to the extent permitted by applicable law, any claim, right or remedy, direct or indirect, that such Guarantor now has or may hereafter have against the Borrower or any other Guarantor or any of its assets in connection with this Loan Guarantee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the Borrower with respect to the Guaranteed Obligations, (b) any right to enforce, or to participate in, any claim, right or remedy that any Secured Party now has or may hereafter have against the Borrower, and (c) any benefit of, and any right to participate in, any collateral or security now or hereafter held by any Secured Party. In addition, until the Termination Date, each Guarantor shall withhold exercise of any right of contribution such Guarantor may have against any other guarantor (including any other Guarantor) of the Guaranteed Obligations, including any such right of contribution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hereof. Each Guarantor further agrees that, to the extent the waiver or agreement to withhold the</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1000"/>
          </w:cols>
          <w:pgMar w:left="440" w:top="270" w:right="459" w:bottom="1440" w:gutter="0" w:footer="0" w:header="0"/>
        </w:sectPr>
      </w:pPr>
    </w:p>
    <w:bookmarkStart w:id="262" w:name="page263"/>
    <w:bookmarkEnd w:id="26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other Guarantor or against any collateral or security, and any rights of contribution such Guarantor may have against any such other guarantor, shall be junior and subordinate to any rights any Secured Party may have against the Borrower, to all right, title and interest any Secured Party may have in any such collateral or security, and to any right any Secured Party may have against such other guarantor. If any amount shall be paid to any Guarantor on account of any such subrogation, reimbursement, indemnification or contribution rights at any time prior to the Termination Date, such amount shall be held in trust for the Collateral Agent on behalf of the Secured Parties and shall forthwith be paid over to the Collateral Agent for the benefit of the Secured Parties to be credited and applied against the Guaranteed Obligations, whether matured or unmatured, in accordance with the terms hereof.</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Subordination of Other Obligations</w:t>
      </w:r>
      <w:r>
        <w:rPr>
          <w:rFonts w:ascii="Times New Roman" w:cs="Times New Roman" w:eastAsia="Times New Roman" w:hAnsi="Times New Roman"/>
          <w:sz w:val="18"/>
          <w:szCs w:val="18"/>
          <w:color w:val="auto"/>
        </w:rPr>
        <w:t>. Any Indebtedness of the Borrower or any Subsidiary Guarantor now or hereafter owed to any Guarantor (the “</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Collateral Agent on behalf of the Secured Parties and shall forthwith be paid over to the Collateral Agent for the benefit of the Secured Parties to be credited and applied against the Guaranteed Obligations but without affecting, impairing or limiting in any manner the liability of the Obligee Guarantor under any other provision hereof.</w:t>
      </w:r>
    </w:p>
    <w:p>
      <w:pPr>
        <w:spacing w:after="0" w:line="187" w:lineRule="exact"/>
        <w:rPr>
          <w:sz w:val="20"/>
          <w:szCs w:val="20"/>
          <w:color w:val="auto"/>
        </w:rPr>
      </w:pPr>
    </w:p>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7.08. </w:t>
      </w:r>
      <w:r>
        <w:rPr>
          <w:rFonts w:ascii="Times New Roman" w:cs="Times New Roman" w:eastAsia="Times New Roman" w:hAnsi="Times New Roman"/>
          <w:sz w:val="17"/>
          <w:szCs w:val="17"/>
          <w:u w:val="single" w:color="auto"/>
          <w:color w:val="auto"/>
        </w:rPr>
        <w:t>Continuing Guarantee</w:t>
      </w:r>
      <w:r>
        <w:rPr>
          <w:rFonts w:ascii="Times New Roman" w:cs="Times New Roman" w:eastAsia="Times New Roman" w:hAnsi="Times New Roman"/>
          <w:sz w:val="17"/>
          <w:szCs w:val="17"/>
          <w:color w:val="auto"/>
        </w:rPr>
        <w:t>. This Loan Guarantee is a continuing guarantee and shall remain in effect until the Termination Date. Each Guarantor hereby irrevocably waives any right to revoke this Loan Guarantee as to future transactions giving rise to any Guaranteed Obligations.</w:t>
      </w:r>
    </w:p>
    <w:p>
      <w:pPr>
        <w:spacing w:after="0" w:line="14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Authority of Subsidiary Guarantors or Borrower</w:t>
      </w:r>
      <w:r>
        <w:rPr>
          <w:rFonts w:ascii="Times New Roman" w:cs="Times New Roman" w:eastAsia="Times New Roman" w:hAnsi="Times New Roman"/>
          <w:sz w:val="18"/>
          <w:szCs w:val="18"/>
          <w:color w:val="auto"/>
        </w:rPr>
        <w:t>. It is not necessary for any Secured Party to inquire into the capacity or powers of any Subsidiary Guarantor or the Borrower or the officers, directors or any Agents acting or purporting to act on behalf of any of them.</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Financial Condition of Borrower</w:t>
      </w:r>
      <w:r>
        <w:rPr>
          <w:rFonts w:ascii="Times New Roman" w:cs="Times New Roman" w:eastAsia="Times New Roman" w:hAnsi="Times New Roman"/>
          <w:sz w:val="18"/>
          <w:szCs w:val="18"/>
          <w:color w:val="auto"/>
        </w:rPr>
        <w:t>. Any Credit Extension may be made to the Borrower or continued from time to time, and any agreements relating to Derivative Transactions or Banking Services may be entered into from time to time, in each case without notice to or authorization from any Guarantor regardless of the financial or other condition of the Borrower at the time of any such grant or continuation or at the time such agreement relating to Derivatives Transactions or Banking Services is entered into, as the case may be. No Secured Party shall have any obligation to disclose or discuss with any Subsidiary Guarantor its assessment, or any Subsidiary Guarantor’s assessment, of the financial condition of the Borrower. Each Subsidiary Guarantor has adequate means to obtain information from the Borrower on a continuing basis concerning the financial condition of such Borrower and its ability to perform its obligations under the Loan Documents and agreements relating to Derivative Transactions and Banking Services, and each Subsidiary Guarantor assumes the responsibility for being and keeping informed of the financial condition of such Borrower and of all circumstances bearing upon the risk of nonpayment of the Guaranteed Obligations. Each Subsidiary Guarantor hereby waives and relinquishes any duty on the part of any Secured Party to disclose any matter, fact or thing relating to the business, operations or conditions of the Borrower now known or hereafter known by any Secured Party.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70" w:right="459" w:bottom="1440" w:gutter="0" w:footer="0" w:header="0"/>
        </w:sectPr>
      </w:pPr>
    </w:p>
    <w:bookmarkStart w:id="263" w:name="page264"/>
    <w:bookmarkEnd w:id="2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7.11. </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2" w:lineRule="auto"/>
        <w:tabs>
          <w:tab w:leader="none" w:pos="685"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Termination Date, no Subsidiary Guarantor shall, without the prior written consent of the Collateral Agent acting pursuant to the instructions of the Required Lenders, commence or join with any other Person in commencing any bankruptcy, reorganization or insolvency case, application or proceeding of or against the Borrower or any other Subsidiary Guarantor. The obligations of the Subsidiary Guarantors hereunder shall not be reduced, limited, impaired, discharged, deferred, suspended or terminated by any case, application or proceeding, voluntary or involuntary, involving the bankruptcy, insolvency, receivership, reorganization, liquidation or arrangement of the Borrower or any other Subsidiary Guarantor or by any defense which the Borrower or any other Subsidiary Guarantor may have by reason of the order, decree or decision of any court or administrative body resulting from any such proceeding. Each Guarantor acknowledges and agrees that any interest on any portion of the Guaranteed Obligations which accrues after the commencement of any case, application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application or proceeding, such interest as would have accrued on such portion of the Guaranteed Obligations if such case, application or proceeding had not been commenced) shall be included in the Guaranteed Obligations because it is the intention of the Guarantors and the Secured Parties that the Guaranteed Obligations which are guaranteed by Guarantors pursuant hereto should be determined without regard to any rule of law or order which may relieve the Borrower of any portion of such Guaranteed Obligations. The Guarantors will permit any trustee in bankruptcy, receiver, debtor in possession, assignee for the benefit of creditors or similar Person to pay the Collateral Agent, or allow the claim of the Collateral Agent in respect of, any such interest accruing after the date on which such case, application or proceeding is commenced.</w:t>
      </w:r>
    </w:p>
    <w:p>
      <w:pPr>
        <w:spacing w:after="0" w:line="196" w:lineRule="exact"/>
        <w:rPr>
          <w:sz w:val="20"/>
          <w:szCs w:val="20"/>
          <w:color w:val="auto"/>
        </w:rPr>
      </w:pPr>
    </w:p>
    <w:p>
      <w:pPr>
        <w:ind w:right="100" w:firstLine="436"/>
        <w:spacing w:after="0" w:line="261" w:lineRule="auto"/>
        <w:tabs>
          <w:tab w:leader="none" w:pos="685"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all or any portion of the Guaranteed Obligations are paid by the Borrower, the obligations of the Subsidiary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Discharge of Loan Guarantee upon Sale of Subsidiary Guarantor</w:t>
      </w:r>
      <w:r>
        <w:rPr>
          <w:rFonts w:ascii="Times New Roman" w:cs="Times New Roman" w:eastAsia="Times New Roman" w:hAnsi="Times New Roman"/>
          <w:sz w:val="18"/>
          <w:szCs w:val="18"/>
          <w:color w:val="auto"/>
        </w:rPr>
        <w:t>. If all of the Capital Stock of any Subsidiary Guarantor or any of its successors in interest hereunder shall be sold or otherwise Disposed of (including by merger, amalgamation or consolidation) in accordance with the terms and conditions hereof, the Loan Guarantee of such Subsidiary Guarantor or such successor in interest, as the case may be, hereunder shall automatically be discharged and released without any further action by any Secured Party or any other Person effective as of the time of such sale or other Disposition.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w:t>
      </w:r>
    </w:p>
    <w:p>
      <w:pPr>
        <w:spacing w:after="0" w:line="121" w:lineRule="exact"/>
        <w:rPr>
          <w:sz w:val="20"/>
          <w:szCs w:val="20"/>
          <w:color w:val="auto"/>
        </w:rPr>
      </w:pPr>
    </w:p>
    <w:p>
      <w:pPr>
        <w:ind w:firstLine="436"/>
        <w:spacing w:after="0" w:line="254" w:lineRule="auto"/>
        <w:tabs>
          <w:tab w:leader="none" w:pos="685"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xml:space="preserve">. Failure by the Borrower to pay (i) any installment of principal of any Loan (other than any installment of principal of any Loan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prior to the applicable Maturity Date) when due, whether at stated maturity, by acceleration, by notice of voluntary prepayment, by mandatory prepayment or otherwise; (ii) any installment of principal of any Loan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prior to the applicable Maturity Date within five Business Days after the date due; or (iii) any interest on any Loan, any fee or other non-principal amount due hereunder within five Business Days after the date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if the Borrower has made, on the due date or before the expiry of any grace period, a payment in an amount that is not less than the amount set forth in a calculation, if any, received from the Administrative Agent, and any such payment was less than the amount due and owing under this Agreement (an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then such underpayment will not become (i) a Default unless and until such underpayment remains outstanding after the third Business Day after the date (if any) on which the Borrower receives written notice from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00"/>
          </w:cols>
          <w:pgMar w:left="440" w:top="270" w:right="459" w:bottom="1440" w:gutter="0" w:footer="0" w:header="0"/>
        </w:sectPr>
      </w:pPr>
    </w:p>
    <w:bookmarkStart w:id="264" w:name="page265"/>
    <w:bookmarkEnd w:id="264"/>
    <w:p>
      <w:pPr>
        <w:ind w:left="4" w:right="1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of an underpayment setting forth the amount of the deficiency (such date of notice receipt by the Borrower, the “</w:t>
      </w:r>
      <w:r>
        <w:rPr>
          <w:rFonts w:ascii="Times New Roman" w:cs="Times New Roman" w:eastAsia="Times New Roman" w:hAnsi="Times New Roman"/>
          <w:sz w:val="17"/>
          <w:szCs w:val="17"/>
          <w:u w:val="single" w:color="auto"/>
          <w:color w:val="auto"/>
        </w:rPr>
        <w:t>underpayment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notice date</w:t>
      </w:r>
      <w:r>
        <w:rPr>
          <w:rFonts w:ascii="Times New Roman" w:cs="Times New Roman" w:eastAsia="Times New Roman" w:hAnsi="Times New Roman"/>
          <w:sz w:val="17"/>
          <w:szCs w:val="17"/>
          <w:color w:val="auto"/>
        </w:rPr>
        <w:t xml:space="preserve">”) or (ii) an Event of Default (and </w:t>
      </w:r>
      <w:r>
        <w:rPr>
          <w:rFonts w:ascii="Times New Roman" w:cs="Times New Roman" w:eastAsia="Times New Roman" w:hAnsi="Times New Roman"/>
          <w:sz w:val="17"/>
          <w:szCs w:val="17"/>
          <w:u w:val="single" w:color="auto"/>
          <w:color w:val="auto"/>
        </w:rPr>
        <w:t>Section 2.13(e)</w:t>
      </w:r>
      <w:r>
        <w:rPr>
          <w:rFonts w:ascii="Times New Roman" w:cs="Times New Roman" w:eastAsia="Times New Roman" w:hAnsi="Times New Roman"/>
          <w:sz w:val="17"/>
          <w:szCs w:val="17"/>
          <w:color w:val="auto"/>
        </w:rPr>
        <w:t xml:space="preserve"> shall not apply) unless and until such underpayment remains outstanding after the later of</w:t>
      </w:r>
    </w:p>
    <w:p>
      <w:pPr>
        <w:spacing w:after="0" w:line="1" w:lineRule="exact"/>
        <w:rPr>
          <w:sz w:val="20"/>
          <w:szCs w:val="20"/>
          <w:color w:val="auto"/>
        </w:rPr>
      </w:pPr>
    </w:p>
    <w:p>
      <w:pPr>
        <w:ind w:left="264" w:hanging="264"/>
        <w:spacing w:after="0"/>
        <w:tabs>
          <w:tab w:leader="none" w:pos="264"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third Business Day after such underpayment notice date and (y) the applicable grace period otherwise contained in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or</w:t>
      </w:r>
    </w:p>
    <w:p>
      <w:pPr>
        <w:spacing w:after="0" w:line="206"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1"/>
          <w:numId w:val="3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Default in Other Agreements</w:t>
      </w:r>
      <w:r>
        <w:rPr>
          <w:rFonts w:ascii="Times New Roman" w:cs="Times New Roman" w:eastAsia="Times New Roman" w:hAnsi="Times New Roman"/>
          <w:sz w:val="17"/>
          <w:szCs w:val="17"/>
          <w:color w:val="auto"/>
        </w:rPr>
        <w:t xml:space="preserve">. (i) Failure by the Borrower or any of its Restricted Subsidiaries (other than any Receivables Subsidiary) to pay when due any principal of or interest on or any other amount payable in respect of one or more items of Indebtedness (other than (A) Indebtedness referred to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and (B) Indebtedness held exclusively by an Affiliate of a Loan Party) with an aggregate outstanding principal amount exceeding the Threshold Amount, in each case beyond the applicable notice period and grace period, if any, provided therefor; or (ii) breach or default by the Borrower or any of its Restricted Subsidiaries (other than any Receivables Subsidiary) with respect to any other term of (A) one or more items of Indebtedness with an aggregate outstanding principal amount exceeding the Threshold Amount or (B) any loan agreement, mortgage, indenture or other agreement relating to such item(s) of Indebtedness (other than, for the avoidance of doubt, (x) with respect to Indebtedness consisting of Hedging Obligations, termination events or equivalent events pursuant to the terms of the relevant Hedge Agreement or (y)(I) any event that permits holders of any convertible or exchangeable Indebtedness of the Borrower or any of its Restricted Subsidiaries to convert or exchange such Indebtedness or (II) the conversion or exchange of such convertible Indebtedness, in either case, into common stock of the Borrower (or other securities or property following a merger event, reclassification or other change of the common stock of the Borrower), cash or a combination thereof), in each case beyond the applicable notice period and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paragraph</w:t>
      </w:r>
    </w:p>
    <w:p>
      <w:pPr>
        <w:spacing w:after="0" w:line="9" w:lineRule="exact"/>
        <w:rPr>
          <w:rFonts w:ascii="Times New Roman" w:cs="Times New Roman" w:eastAsia="Times New Roman" w:hAnsi="Times New Roman"/>
          <w:sz w:val="17"/>
          <w:szCs w:val="17"/>
          <w:color w:val="auto"/>
        </w:rPr>
      </w:pPr>
    </w:p>
    <w:p>
      <w:pPr>
        <w:ind w:left="4" w:right="20" w:hanging="4"/>
        <w:spacing w:after="0" w:line="251" w:lineRule="auto"/>
        <w:tabs>
          <w:tab w:leader="none" w:pos="259" w:val="left"/>
        </w:tabs>
        <w:numPr>
          <w:ilvl w:val="0"/>
          <w:numId w:val="36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shall not apply to secured Indebtedness that becomes due as a result of the voluntary sale or transfer of the property securing such Indebtedness if such sale or transfer is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with respect to any breach or default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with respect to a financial covenant in any such Indebtedness, such breach or default shall only constitute an Event of Default hereunder if such breach or default has resulted in the acceleration of such Indebtedness and the termination of commitments thereunder, (y)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only constitute an Event of Default hereunder if such failure, breach or default is unremedied and is not waived by the holders of such Indebtedness prior to any termination of the Commitments or acceleration of the Loans pursuant to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(z) for the avoidance of doubt,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not result in a Default or Event of Default hereunder while any notice period or grace period, if applicable to such failure, breach or default, remains in effect; or</w:t>
      </w:r>
    </w:p>
    <w:p>
      <w:pPr>
        <w:spacing w:after="0" w:line="193" w:lineRule="exact"/>
        <w:rPr>
          <w:rFonts w:ascii="Times New Roman" w:cs="Times New Roman" w:eastAsia="Times New Roman" w:hAnsi="Times New Roman"/>
          <w:sz w:val="18"/>
          <w:szCs w:val="18"/>
          <w:u w:val="single" w:color="auto"/>
          <w:color w:val="auto"/>
        </w:rPr>
      </w:pPr>
    </w:p>
    <w:p>
      <w:pPr>
        <w:ind w:left="4" w:right="60" w:firstLine="436"/>
        <w:spacing w:after="0" w:line="254" w:lineRule="auto"/>
        <w:tabs>
          <w:tab w:leader="none" w:pos="689"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Failure of any Loan Party, as required by the relevant provision, to perform or comply with any term or condition contained in </w:t>
      </w:r>
      <w:r>
        <w:rPr>
          <w:rFonts w:ascii="Times New Roman" w:cs="Times New Roman" w:eastAsia="Times New Roman" w:hAnsi="Times New Roman"/>
          <w:sz w:val="18"/>
          <w:szCs w:val="18"/>
          <w:u w:val="single" w:color="auto"/>
          <w:color w:val="auto"/>
        </w:rPr>
        <w:t>Section 5.01(e)(i)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Default or Event of Default shall be automatically deemed to be cured by (x) the cure or waiver of the underlying Default or Event of Default with respect to which such notice was required or (y) upon subsequent delivery of the relevant notice of Default or Event of Default, unless a Responsible Officer of the Borrower had actual knowledge that such Default or Event of Default had occurred and was continuing and should have reasonably known in the course of his or her duties that failure to provide such notice would constitute an Event of Default),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(as it applies to the preservation of the existence of the Borrower) or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notwithstanding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no breach or default by any Loan Party under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will constitute an Event of Default with respect to any Term Loans (other than Initial Term Loans) unless and until the Required Revolving Lenders have accelerated the Revolving Loans, terminated the commitments under the Revolving Facility and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0984"/>
          </w:cols>
          <w:pgMar w:left="436" w:top="270" w:right="479" w:bottom="1440" w:gutter="0" w:footer="0" w:header="0"/>
        </w:sectPr>
      </w:pPr>
    </w:p>
    <w:bookmarkStart w:id="265" w:name="page266"/>
    <w:bookmarkEnd w:id="265"/>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demanded repayment of, or otherwise accelerated, the Indebtedness or other obligations under the Revolving Facility and have not rescinded such demand, termination or acceleration (the “</w:t>
      </w:r>
      <w:r>
        <w:rPr>
          <w:rFonts w:ascii="Times New Roman" w:cs="Times New Roman" w:eastAsia="Times New Roman" w:hAnsi="Times New Roman"/>
          <w:sz w:val="18"/>
          <w:szCs w:val="18"/>
          <w:b w:val="1"/>
          <w:bCs w:val="1"/>
          <w:color w:val="auto"/>
        </w:rPr>
        <w:t>Financial Covenant Standstill</w:t>
      </w:r>
      <w:r>
        <w:rPr>
          <w:rFonts w:ascii="Times New Roman" w:cs="Times New Roman" w:eastAsia="Times New Roman" w:hAnsi="Times New Roman"/>
          <w:sz w:val="18"/>
          <w:szCs w:val="18"/>
          <w:color w:val="auto"/>
        </w:rPr>
        <w:t xml:space="preserve">”) and (B) without limiting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it is understood and agreed that any breach of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(or any other financial covenant) is subject to cure as provided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 xml:space="preserve">, and after receipt of a Notice of Intent to Cure as set forth in </w:t>
      </w:r>
      <w:r>
        <w:rPr>
          <w:rFonts w:ascii="Times New Roman" w:cs="Times New Roman" w:eastAsia="Times New Roman" w:hAnsi="Times New Roman"/>
          <w:sz w:val="18"/>
          <w:szCs w:val="18"/>
          <w:u w:val="single" w:color="auto"/>
          <w:color w:val="auto"/>
        </w:rPr>
        <w:t>Section 6.15(b)</w:t>
      </w:r>
      <w:r>
        <w:rPr>
          <w:rFonts w:ascii="Times New Roman" w:cs="Times New Roman" w:eastAsia="Times New Roman" w:hAnsi="Times New Roman"/>
          <w:sz w:val="18"/>
          <w:szCs w:val="18"/>
          <w:color w:val="auto"/>
        </w:rPr>
        <w:t xml:space="preserve">, no Event of Default shall arise under </w:t>
      </w:r>
      <w:r>
        <w:rPr>
          <w:rFonts w:ascii="Times New Roman" w:cs="Times New Roman" w:eastAsia="Times New Roman" w:hAnsi="Times New Roman"/>
          <w:sz w:val="18"/>
          <w:szCs w:val="18"/>
          <w:u w:val="single" w:color="auto"/>
          <w:color w:val="auto"/>
        </w:rPr>
        <w:t>Section 6.15(a)</w:t>
      </w:r>
      <w:r>
        <w:rPr>
          <w:rFonts w:ascii="Times New Roman" w:cs="Times New Roman" w:eastAsia="Times New Roman" w:hAnsi="Times New Roman"/>
          <w:sz w:val="18"/>
          <w:szCs w:val="18"/>
          <w:color w:val="auto"/>
        </w:rPr>
        <w:t xml:space="preserve"> until the 15th Business Day after the day on which financial statements are required to be delivered for the relevant Fiscal Quarter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and then only to the extent the Cure Amount has not been received on or prior to such date; or</w:t>
      </w:r>
    </w:p>
    <w:p>
      <w:pPr>
        <w:spacing w:after="0" w:line="187" w:lineRule="exact"/>
        <w:rPr>
          <w:sz w:val="20"/>
          <w:szCs w:val="20"/>
          <w:color w:val="auto"/>
        </w:rPr>
      </w:pPr>
    </w:p>
    <w:p>
      <w:pPr>
        <w:ind w:right="40" w:firstLine="436"/>
        <w:spacing w:after="0" w:line="255" w:lineRule="auto"/>
        <w:tabs>
          <w:tab w:leader="none" w:pos="69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shall be untrue in any material respect as of the date made or deemed made and such untrue representation, warranty or certification shall remain untrue for a period of 45 days after notice from the Administrative Agent to the Borrower (which notice shall only be given at the direction of the Required Lenders); it being understood and agreed that any breach of representation, warranty or certification resulting from any UCC (or equivalent) continuation statement not being timely filed shall not result in an Event of Default under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or any other provision of any Loan Document; or</w:t>
      </w:r>
    </w:p>
    <w:p>
      <w:pPr>
        <w:spacing w:after="0" w:line="188"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xml:space="preserve">. Default by any Loan Party in the performance of or compliance with any term contained herein or in any of the other Loan Documents, other than any such term referred to in any other Section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which default has not been remedied or waived within 60 days after receipt by the Borrower of any written notice thereof from the Administrative Agent to the Borrower (which notice shall only be given at the direction of the Required Lenders); or</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6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(i) The entry by a court of competent jurisdiction of a decree or order for relief in respect of the Borrower or any of its Restricted Subsidiaries (other than any Immaterial Subsidiary) (any such Person, a “</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xml:space="preserve">”) in an involuntary case under any Debtor Relief Law now or hereafter in effect, which decree or order is not stayed or dismissed; or any other similar relief shall be granted under any applicable federal, state or local law, which relief is not stayed or dismissed; or (ii) the commencement of an involuntary case against any Specified Person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any Specified Person, or over all or a substantial part of its property; or the involuntary appointment of an interim receiver, trustee or other custodian of any Specified Person for all or a substantial part of its property, which remains, in any case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undismissed, unvacated, unbonded and unstayed pending appeal for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event described in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result in a Default or Event of Default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until the end of such applicable 60 consecutive day period; or</w:t>
      </w:r>
    </w:p>
    <w:p>
      <w:pPr>
        <w:spacing w:after="0" w:line="194"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(i) The entry against any Specified Person of an order for relief, the commencement by any Specified Person of a voluntary case under any Debtor Relief Law, or the consent by any Specified Person to the entry of an order for relief in an involuntary case or to the conversion of an involuntary case to a voluntary case, under any Debtor Relief Law, or the consent by any Specified Person to the appointment of or taking possession by a receiver, receiver and manager, trustee or other custodian for all or a substantial part of its property; (ii) the making by any Specified Person of a general assignment for the benefit of creditors; or (iii) the admission by any Specified Person in writing of its inability to pay its debts as such debts become due;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0"/>
          </w:cols>
          <w:pgMar w:left="440" w:top="270" w:right="459" w:bottom="1440" w:gutter="0" w:footer="0" w:header="0"/>
        </w:sectPr>
      </w:pPr>
    </w:p>
    <w:bookmarkStart w:id="266" w:name="page267"/>
    <w:bookmarkEnd w:id="266"/>
    <w:p>
      <w:pPr>
        <w:ind w:left="-20" w:firstLine="436"/>
        <w:spacing w:after="0" w:line="254" w:lineRule="auto"/>
        <w:tabs>
          <w:tab w:leader="none" w:pos="67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Judgments and Attachments</w:t>
      </w:r>
      <w:r>
        <w:rPr>
          <w:rFonts w:ascii="Times New Roman" w:cs="Times New Roman" w:eastAsia="Times New Roman" w:hAnsi="Times New Roman"/>
          <w:sz w:val="18"/>
          <w:szCs w:val="18"/>
          <w:color w:val="auto"/>
        </w:rPr>
        <w:t xml:space="preserve">. The entry of one or more final money judgments against any Specified Person or any of its assets involving in the aggregate at any time an amount in excess of the Threshold Amount (in either case to the extent not adequately covered by indemnity from a third party as to which the indemnifying party has been notified and not denied its indemnification obligations, self-insurance (if applicable) or insurance as to which the relevant third party insurance company has been notified and not denied coverage), which judgment remains (A) unpaid with respect to any amount or installment then-payable, for a period of 60 consecutive days following the date such judgment becomes final or, if later, following the due date for such amount or installment and (B) undischarged, unvacated, unbonded and unstayed pending appeal for a period of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event described in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result in a Default or Event of Default hereunder until the end of such applicable 60 consecutive day period; or</w:t>
      </w:r>
    </w:p>
    <w:p>
      <w:pPr>
        <w:spacing w:after="0" w:line="191" w:lineRule="exact"/>
        <w:rPr>
          <w:rFonts w:ascii="Times New Roman" w:cs="Times New Roman" w:eastAsia="Times New Roman" w:hAnsi="Times New Roman"/>
          <w:sz w:val="18"/>
          <w:szCs w:val="18"/>
          <w:color w:val="auto"/>
        </w:rPr>
      </w:pPr>
    </w:p>
    <w:p>
      <w:pPr>
        <w:ind w:left="-20" w:right="100" w:firstLine="436"/>
        <w:spacing w:after="0" w:line="266" w:lineRule="auto"/>
        <w:tabs>
          <w:tab w:leader="none" w:pos="63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The occurrence of one or more ERISA Events, which individually or in the aggregate result in liability of the Borrower or any of their Restricted Subsidiaries in an aggregate amount which would reasonably be expected to result in a Material Adverse Effect and the same shall remain undischarged for a period of 30 consecutive days; or</w:t>
      </w:r>
    </w:p>
    <w:p>
      <w:pPr>
        <w:spacing w:after="0" w:line="175"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occurrence of a Change of Control; or</w:t>
      </w:r>
    </w:p>
    <w:p>
      <w:pPr>
        <w:spacing w:after="0" w:line="225" w:lineRule="exact"/>
        <w:rPr>
          <w:rFonts w:ascii="Times New Roman" w:cs="Times New Roman" w:eastAsia="Times New Roman" w:hAnsi="Times New Roman"/>
          <w:sz w:val="18"/>
          <w:szCs w:val="18"/>
          <w:color w:val="auto"/>
        </w:rPr>
      </w:pPr>
    </w:p>
    <w:p>
      <w:pPr>
        <w:ind w:left="-20" w:right="20" w:firstLine="436"/>
        <w:spacing w:after="0" w:line="252" w:lineRule="auto"/>
        <w:tabs>
          <w:tab w:leader="none" w:pos="67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xml:space="preserve">. At any time after the execution and delivery thereof (i) any material Loan Guarantee for any reason ceasing to be in full force and effect (other than in accordance with its terms or as a result of the occurrence of the Termination Date) or being declared by a court of competent jurisdiction to be null and void or the repudiation in writing by any Loan Party of its obligations thereunder (in each case other than as a result of the discharge of such Loan Party in accordance with the terms thereof), (ii) this Agreement or any material Collateral Document or any Lien on a material portion of the Collateral ceasing to be in full force and effect (other than by reason of a release of Collateral or any Lien in accordance with the terms of the Loan Documents, the occurrence of the Termination Date or any other termination of such Collateral Document, or termination or release of such Lien, in accordance with the terms of the Loan Documents) or being declared by a court of competent jurisdiction to be null and void or (iii) other than in any bona fide, good faith dispute as to the scope of Collateral or whether any Lien has been, or is required to be, released, the contesting by any Loan Party in writing of the validity or enforceability of any material provision of any Loan Document (or any Lien on a material portion of the Collateral purported to be created by the Collateral Documents) or denial by any Loan Party in writing that it has any further liability (other than by reason of the occurrence of the Termination Date or any other termination of any Loan Document, or termination or release of any Lien, in accordance with the terms thereof), including with respect to future advances by the Lenders, under any Loan Document to which it is a party; it being understood and agreed that an Agent no longer having possession of any Collateral actually delivered to it or any UCC (or equivalent) continuation statement not being timely filed shall not result in an Event of Default under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or any other provision of any Loan Document; or</w:t>
      </w:r>
    </w:p>
    <w:p>
      <w:pPr>
        <w:spacing w:after="0" w:line="195"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3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Loan Document Obligations ceasing or the assertion in writing by any Loan Party that the Loan Document Obligations cease to constitute senior indebtedness under the subordination provisions of any document or instrument evidencing any permitted subordinated Junior Indebtedness in excess of the Threshold Amount (in each case, to the extent required by such subordination provision) or any such subordination provision being invalidated by a court of competent jurisdiction in a final non-appealable order or otherwise ceasing, for any reason, to be valid, binding and enforceable obligations of the parties thereto;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80"/>
          </w:cols>
          <w:pgMar w:left="460" w:top="270" w:right="459" w:bottom="1440" w:gutter="0" w:footer="0" w:header="0"/>
        </w:sectPr>
      </w:pPr>
    </w:p>
    <w:bookmarkStart w:id="267" w:name="page268"/>
    <w:bookmarkEnd w:id="267"/>
    <w:p>
      <w:pPr>
        <w:ind w:left="4" w:right="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then, and in every such Event of Default (other than (x) an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or (y) any Event of Default arising under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and at any time thereafter during the continuance of such Event of Default, the Administrative Agent may, and at the request of the Required Lenders shall, by notice to the Borrower, take any of the following actions, at the same or different times: (i) terminate the Revolving Credit Commitments, and thereupon such Commitments shall terminate immediately along with the obligation of Issuing Banks to issue any Letter of Credit, (ii) terminate the Initial Term Loan Commitments, and thereupon such Commitments shall terminate immediately,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(iv) require that the Borrower deposit in the LC Collateral Account an additional amount in Cash as reasonably requested by the Issuing Banks (not to exceed 100% of the relevant face amount) of the then outstanding LC Exposure (minus the amount then on deposit in the LC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upon the occurrence of an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and (B) during the continuance of any Event of Default arising under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after giving effect to the proviso to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(X) in the case of an Event of Default under</w:t>
      </w:r>
    </w:p>
    <w:p>
      <w:pPr>
        <w:spacing w:after="0" w:line="10" w:lineRule="exact"/>
        <w:rPr>
          <w:sz w:val="20"/>
          <w:szCs w:val="20"/>
          <w:color w:val="auto"/>
        </w:rPr>
      </w:pPr>
    </w:p>
    <w:p>
      <w:pPr>
        <w:ind w:left="4" w:right="140"/>
        <w:spacing w:after="0" w:line="265" w:lineRule="auto"/>
        <w:rPr>
          <w:sz w:val="20"/>
          <w:szCs w:val="20"/>
          <w:color w:val="auto"/>
        </w:rPr>
      </w:pPr>
      <w:r>
        <w:rPr>
          <w:rFonts w:ascii="Times New Roman" w:cs="Times New Roman" w:eastAsia="Times New Roman" w:hAnsi="Times New Roman"/>
          <w:sz w:val="17"/>
          <w:szCs w:val="17"/>
          <w:u w:val="single" w:color="auto"/>
          <w:color w:val="auto"/>
        </w:rPr>
        <w:t>Section 6.15(a)</w:t>
      </w:r>
      <w:r>
        <w:rPr>
          <w:rFonts w:ascii="Times New Roman" w:cs="Times New Roman" w:eastAsia="Times New Roman" w:hAnsi="Times New Roman"/>
          <w:sz w:val="17"/>
          <w:szCs w:val="17"/>
          <w:color w:val="auto"/>
        </w:rPr>
        <w:t>, solely upon the request of the Required Initial Lenders or, if the Initial Term Loans are no longer outstanding, the Required Revolving Lenders (but not the Required Lenders or any other Lender or group of Lenders), the Administrative Agent shall, by notice to the Borrower,</w:t>
      </w:r>
    </w:p>
    <w:p>
      <w:pPr>
        <w:ind w:left="4" w:hanging="4"/>
        <w:spacing w:after="0" w:line="251" w:lineRule="auto"/>
        <w:tabs>
          <w:tab w:leader="none" w:pos="259"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terminate the Revolving Credit Commitments, and thereupon such Revolving Credit Commitments shall terminate immediately, (2) declare the Revolving Loans and the Initial Term Loans then outstanding to be due and payable in whole (or in part, in which case any principal not so declared to be due and payable may thereafter be declared to be due and payable), and thereupon the principal of the Revolving Loans and the Initial Term Loans so declared to be due and payable, together with accrued interest thereon and all fees and other obligations of the Borrower accrued hereunder in respect of the Revolving Loans and the Initial Term Loans, shall become due and payable immediately, without presentment, demand, protest or other notice in respect thereof of any kind, all of which are hereby waived by the Borrower and (3) require that Borrower deposit in the LC Collateral Account an additional amount in Cash as reasonably requested by the Issuing Banks (not to exceed 100% of the relevant face amount) of the then outstanding LC Exposure (minus the amount then on deposit in the LC Collateral Account) and (Y) subject to the Financial Covenant Standstill, the Administrative Agent may, and at the request of the Required Lenders shall, by notice to the Borrower, declare the other Loans then outstanding to be due and payable in whole (or in part, in which case any principal not so declared to be due and payable may thereafter be declared to be due and payable), and thereupon the principal of the other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Upon the occurrence and during the continuance of an Event of Default, subject to any applicable intercreditor agreement, the Administrative Agent may, and at the request of the Required Lenders shall, exercise any rights and remedies provided to such Administrative Agent under the Loan Documents or at law or equity, including all remedies provided under the UCC. Notwithstanding anything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the contrary, neither the Required Lenders nor the Administrative Agent may take any remedial action in respect of a Default or Event of Default under the Loan Documents after the date that is two years after the earlier of (x) notice to the Administrative Agent of such Default or Event of Default or (y) disclosure to the Administrative Agent and the Lenders of the applicable event leading to</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84"/>
          </w:cols>
          <w:pgMar w:left="436" w:top="270" w:right="479" w:bottom="1440" w:gutter="0" w:footer="0" w:header="0"/>
        </w:sectPr>
      </w:pPr>
    </w:p>
    <w:bookmarkStart w:id="268" w:name="page269"/>
    <w:bookmarkEnd w:id="268"/>
    <w:p>
      <w:pPr>
        <w:ind w:left="4"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Default or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a press release, a filing with the SEC or a posting to the applicable Platform for the Facilities shall constitute notice to the Administrative Agent and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two year limitation shall not apply if prior to the expiration of such two year period (i) the Administrative Agent has commenced any remedial action in respect of any such Default or Event of Default, (ii) the Administrative Agent has provided the Borrower with a reservation of rights letter with respect to such Default or Event of Default or (iii) a Responsible Officer of the Borrower had actual knowledge of such Default or Event of Default and failed to notify the Administrative Agent as required hereby.</w:t>
      </w:r>
    </w:p>
    <w:p>
      <w:pPr>
        <w:spacing w:after="0" w:line="200" w:lineRule="exact"/>
        <w:rPr>
          <w:sz w:val="20"/>
          <w:szCs w:val="20"/>
          <w:color w:val="auto"/>
        </w:rPr>
      </w:pPr>
    </w:p>
    <w:p>
      <w:pPr>
        <w:spacing w:after="0" w:line="20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THE ADMINISTRATIVE AGENT AND THE COLLATERAL AGENT</w:t>
      </w:r>
    </w:p>
    <w:p>
      <w:pPr>
        <w:spacing w:after="0" w:line="20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(a) Each of the Lenders and the Issuing Banks, on behalf of itself and its applicable Affiliates and in their respective capacities as such and as Secured Parties in respect of any Secured Hedging Obligations or Banking Services Obligations, as applicable, hereby irrevocably appoints JPM (or any successor appointed pursuant hereto) as Administrative Agent and authorizes the Administrative Agent to take such actions on its behalf, including execution of the other Loan Documents and any other documents with respect to the rights of the Secured Parties and the Collateral as contemplated by this Agreement and the other Loan Documents, and to exercise such powers as are delegated to the Administrative Agent by the terms of the Loan Documents, together with such actions and powers as are reasonably incidental thereto.</w:t>
      </w:r>
    </w:p>
    <w:p>
      <w:pPr>
        <w:spacing w:after="0" w:line="187" w:lineRule="exact"/>
        <w:rPr>
          <w:sz w:val="20"/>
          <w:szCs w:val="20"/>
          <w:color w:val="auto"/>
        </w:rPr>
      </w:pPr>
    </w:p>
    <w:p>
      <w:pPr>
        <w:ind w:left="4" w:firstLine="436"/>
        <w:spacing w:after="0" w:line="252" w:lineRule="auto"/>
        <w:tabs>
          <w:tab w:leader="none" w:pos="699"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Issuing Banks acknowledge that there may be a constant flow of information (including information which may be subject to confidentiality obligations in favor of the Loan Parties) between the Loan Parties and their Affiliates, on the one hand, and JPM and its Affiliates, on the other hand. Without limiting the foregoing, the Loan Parties or their Affiliates may provide information, including updates to previously provided information to JPM and/or its Affiliates acting in different capacities, including as Lender, Arranger or potential securities investor, independent of such entity’s role as administrative agent hereunder. The Lenders acknowledge that neither JPM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or Issuing Banks by the Administrative Agent herein or in any other Loan Document, the Administrative Agent shall not have any duty or responsibility to provide, and shall not be liable for the failure to provide, any Lender or Issuing Bank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Issuing Banks, or any formal or informal committee or ad hoc group of such Lenders and Issuing Banks, including at the direction of a Loan Party.</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Lender and each Issuing Bank represents and warrants that (1) the Loan Documents set forth the terms of a commercial lending facility,</w:t>
      </w:r>
    </w:p>
    <w:p>
      <w:pPr>
        <w:spacing w:after="0" w:line="27" w:lineRule="exact"/>
        <w:rPr>
          <w:sz w:val="20"/>
          <w:szCs w:val="20"/>
          <w:color w:val="auto"/>
        </w:rPr>
      </w:pPr>
    </w:p>
    <w:p>
      <w:pPr>
        <w:ind w:left="4" w:right="120" w:hanging="4"/>
        <w:spacing w:after="0" w:line="253" w:lineRule="auto"/>
        <w:tabs>
          <w:tab w:leader="none" w:pos="259"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984"/>
          </w:cols>
          <w:pgMar w:left="436" w:top="270" w:right="479" w:bottom="1440" w:gutter="0" w:footer="0" w:header="0"/>
        </w:sectPr>
      </w:pPr>
    </w:p>
    <w:bookmarkStart w:id="269" w:name="page270"/>
    <w:bookmarkEnd w:id="26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claim under the federal or state securities law), (3)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 Loans hereunder and (4)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Each of the Secured Parties hereby irrevocably appoints and authorizes JPM (or any successor appointed pursuant hereto) as Collateral Agent to act as the agent of (and to hold any security interest created by the Loan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Each Secured Party agrees that any such actions by the Collateral Agent shall bind such Secured Party.</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Any Person serving as the Administrative Agent and/or Collateral Agent hereunder shall have the same rights and powers in its capacity as a Lender as any other Lender and may exercise the same as though it were not the Administrative Agent and/or the Collateral Agent, and the term “Lender” or “Lenders” shall, unless otherwise expressly indicated, unless the context otherwise requires or unless such Person is in fact not a Lender, include each Person serving as the Administrative Agent and/or Collateral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and/or the Collateral Agent hereunder. The Lenders acknowledge that, pursuant to such activities, the Administrative Agent, the Collateral Agent or any of their respective Affiliates may receive information regarding any Loan Party or any of its Affiliates (including information that may be subject to confidentiality obligations in favor of such Loan Party or such Affiliate) and acknowledge that neither Administrative Agent nor the Collateral Agent shall be under any obligation to provide such information to them.</w:t>
      </w:r>
    </w:p>
    <w:p>
      <w:pPr>
        <w:spacing w:after="0" w:line="194"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None of the Administrative Agent nor the Collateral Agent shall have any duties or obligations except those expressly set forth in the Loan Documents. Without limiting the generality of the foregoing, (a) none of the Administrative Agent nor the Collateral Agent shall be subject to any fiduciary or other implied duties, regardless of whether a Default or Event of Default exists, and the use of the term “agent” herein and in the other Loan Documents with reference to the Administrative Agent or the Collateral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none of the Administrative Agent nor the Collateral Agent shall have any duty to take any discretionary action or exercise any discretionary power, except discretionary rights and powers that are expressly contemplated by the Loan Documents and which the Administrative Agent and/or the Collateral Agent is required to exercise in writing as directed by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1000"/>
          </w:cols>
          <w:pgMar w:left="440" w:top="270" w:right="459" w:bottom="1440" w:gutter="0" w:footer="0" w:header="0"/>
        </w:sectPr>
      </w:pPr>
    </w:p>
    <w:bookmarkStart w:id="270" w:name="page271"/>
    <w:bookmarkEnd w:id="270"/>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Required Lenders or Required Revolving Lenders (or such other number or percentage of the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Administrative Agent nor the Collateral Agent shall be required to take any action that, in its opinion or the opinion of its counsel, may expose such Administrative Agent or the Collateral Agent, as applicable, to liability or that is contrary to any Loan Document or applicable Requirements of Law and (c) except as expressly set forth in the Loan Documents, none of the Administrative Agent nor the Collateral Agent shall have any duty to disclose, and shall not be liable for the failure to disclose, any information relating to the Borrower or any of its Restricted Subsidiaries that is communicated to or obtained by the Person serving as the Administrative Agent and/or Collateral Agent or any of its Affiliates in any capacity. None of the Administrative Agent nor the Collateral Agent shall be liable to the Lenders or any other Secured Party for any action taken or not taken by it with the consent or at the request of the Required Lenders or Required Revolving Lenders (or such other number or percentage of the Lenders as shall be necessary, or as such Administrative Agent or the Collateral Agent, as applicable, shall believe in good faith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in the absence of its own gross negligence or willful misconduct, as determined by the final judgment of a court of competent jurisdiction, in connection with its duties expressly set forth herein. None of the Administrative Agent nor the Collateral Agent shall be deemed to have knowledge of any Default or Event of Default unless and until written notice thereof stating that such notice is a notice of Default or Event of Default is given to such Administrative Agent or the Collateral Agent by the Borrower or any Lender, and neither Administrative Agent nor the Collateral Agent shall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(vi) the satisfaction of any condition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such Administrative Agent or (vii) any property, book or record of any Loan Party or any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paragraph is solely for the benefit of each of the Administrative Agent and the Collateral Agent and not any Lender.</w:t>
      </w:r>
    </w:p>
    <w:p>
      <w:pPr>
        <w:spacing w:after="0" w:line="20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Collateral Agent shall act as the “collateral agent” under the Loan Documents, and each of the Lenders (including in its capacities as a potential provider of Secured Hedging Obligations or Banking Services Obligations) and the Swingline Lender and each Issuing Bank hereby irrevocably appoints and authorizes the Collateral Agent to act as the agent of such Lender, Swingline Lender and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and any co-agents, sub-agents and attorneys-in-fact appointed by the Collateral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Enforcement</w:t>
      </w:r>
      <w:r>
        <w:rPr>
          <w:rFonts w:ascii="Times New Roman" w:cs="Times New Roman" w:eastAsia="Times New Roman" w:hAnsi="Times New Roman"/>
          <w:sz w:val="18"/>
          <w:szCs w:val="18"/>
          <w:color w:val="auto"/>
        </w:rPr>
        <w:t>. Each Lender agrees that, except with the written consent of the Administrative Agent, it will not take any enforcement action hereunder or under any other Loan Document, accelerate the Loan Document Obligations under any Loan Document, or exercise any right that it might otherwise have under applicable law or otherwise to credit bid at any foreclosure sale, UCC sale, any sale under Section 363 of the Bankruptcy Code or other similar Dispositions of Collateral.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00"/>
          </w:cols>
          <w:pgMar w:left="440" w:top="270" w:right="459" w:bottom="1440" w:gutter="0" w:footer="0" w:header="0"/>
        </w:sectPr>
      </w:pPr>
    </w:p>
    <w:bookmarkStart w:id="271" w:name="page272"/>
    <w:bookmarkEnd w:id="27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however, except as otherwise expressly limited herein, a Lender may take action to preserve or enforce its rights against a Loan Party where a deadline or limitation period is applicable that would, absent such action, bar enforcement of the Loan Document Obligations held by such Lender, including the filing of a proof of claim in a case under the Bankruptcy Code.</w:t>
      </w:r>
    </w:p>
    <w:p>
      <w:pPr>
        <w:spacing w:after="0" w:line="17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contained herein or in any of the other Loan Documents, the Borrower, the Collateral Agent, the Administrative Agent and each Secured Party agree that (i) no Secured Party shall have any right individually to realize upon any of the Collateral or to enforce the Loan Guarantee; it being understood and agreed that all powers, rights and remedies hereunder and under the other Loan Documents may be exercised solely by the Administrative Agent and/or the Collateral Agent on behalf of the Secured Parties in accordance with the terms hereof or thereof and (ii) in the event of a foreclosure by the Collateral Agent on any of the Collateral pursuant to a public or private sale or in the event of any other Disposition (including pursuant to Section 363 of the Bankruptcy Code), (A) the Collateral Agent, as agent for and representative of the Secured Parties, shall be entitled, for the purpose of bidding and making settlement or payment of the purchase price for all or any portion of the Collateral sold at any such sale, to use and apply all or any portion of the Loan Document Obligations as a credit on account of the purchase price for any Collateral payable by the Collateral Agent at such Disposition and (B) the Administrative Agent, the Collateral Agent or any Lender may be the purchaser or licensor of all or any portion of such Collateral at any such Disposition.</w:t>
      </w:r>
    </w:p>
    <w:p>
      <w:pPr>
        <w:spacing w:after="0" w:line="194"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Each of the Lenders hereby irrevocably authorizes (and by entering into a Hedge Agreement with respect to any Secured Hedging Obligation and/or by entering into documentation in connection with any Banking Services Obligation, each of the other Secured Parties hereby authorizes and shall be deemed to authorize) the Collateral Agent, on behalf of all Secured Parties, to take any of the following actions upon the instruction of the Required Lenders:</w:t>
      </w:r>
    </w:p>
    <w:p>
      <w:pPr>
        <w:spacing w:after="0" w:line="72" w:lineRule="exact"/>
        <w:rPr>
          <w:sz w:val="20"/>
          <w:szCs w:val="20"/>
          <w:color w:val="auto"/>
        </w:rPr>
      </w:pPr>
    </w:p>
    <w:p>
      <w:pPr>
        <w:ind w:right="300" w:firstLine="436"/>
        <w:spacing w:after="0" w:line="312" w:lineRule="auto"/>
        <w:tabs>
          <w:tab w:leader="none" w:pos="685" w:val="left"/>
        </w:tabs>
        <w:numPr>
          <w:ilvl w:val="0"/>
          <w:numId w:val="3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to the Disposition of all or any portion of the Collateral free and clear of the Liens securing the Obligations in connection with any Disposition pursuant to the applicable provisions of the Bankruptcy Code (or other applicable Debtor Relief Law), including Section 363 thereof;</w:t>
      </w:r>
    </w:p>
    <w:p>
      <w:pPr>
        <w:spacing w:after="0" w:line="139" w:lineRule="exact"/>
        <w:rPr>
          <w:rFonts w:ascii="Times New Roman" w:cs="Times New Roman" w:eastAsia="Times New Roman" w:hAnsi="Times New Roman"/>
          <w:sz w:val="17"/>
          <w:szCs w:val="17"/>
          <w:color w:val="auto"/>
        </w:rPr>
      </w:pPr>
    </w:p>
    <w:p>
      <w:pPr>
        <w:ind w:right="180" w:firstLine="436"/>
        <w:spacing w:after="0" w:line="266" w:lineRule="auto"/>
        <w:tabs>
          <w:tab w:leader="none" w:pos="6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Bankruptcy Code (or other applicable Debtor Relief Law), including under Section 363 thereof;</w:t>
      </w:r>
    </w:p>
    <w:p>
      <w:pPr>
        <w:spacing w:after="0" w:line="175"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8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UCC (or other applicable Debtor Relief Law), including pursuant to Sections 9-610 or 9-620 of the UCC;</w:t>
      </w:r>
    </w:p>
    <w:p>
      <w:pPr>
        <w:spacing w:after="0" w:line="17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0980"/>
          </w:cols>
          <w:pgMar w:left="440" w:top="270" w:right="479" w:bottom="1440" w:gutter="0" w:footer="0" w:header="0"/>
        </w:sectPr>
      </w:pPr>
    </w:p>
    <w:bookmarkStart w:id="272" w:name="page273"/>
    <w:bookmarkEnd w:id="2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 estimate the amount of any contingent or unliquidated Obligations of such Lender or other Secured Party;</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it being understood that no Lender shall be required to fund any new amount in connection with any purchase of all or any portion of the Collateral by the Collateral Agent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without its prior written consent.</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Each Secured Party agrees that the Collateral Agent is under no obligation to credit bid any part of the Obligations or to purchase or retain or acquire any portion of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credit bid or purchase described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paragraph, the Obligations owed to all of the Secured Parties (other than with respect to contingent or unliquidated liabilities as set forth in the next succeeding paragraph) may be, and shall be, credit bid by the Collateral Agent on a ratable basis. For the avoidance of doubt, nothing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limit any rights of any of the Borrower or its Subsidiaries under Section 363(k) of the Bankruptcy Code (or the corresponding provisions of any other applicable Debtor Relief Law).</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respect to any contingent or unliquidated claim that is an Obligation, the Collateral Agent is hereby authorized by the Secured Parties, but is not required, to estimate the amount thereof for purposes of any credit bid or purchase described in the second preceding paragraph so long as the estimation of the amount or liquidation of such claim would not unduly delay the ability of the Collateral Agent to credit bid the Obligations or purchase the Collateral in the relevant Disposition. In the event that the Collateral Agent, in its sole and absolute discretion, elects not to estimate any such contingent or unliquidated claim or any such claim cannot be estimated without unduly delaying the ability of the Collateral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Secured Party whose Obligations are credit bid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third preceding paragraph shall be entitled to receive interests in the Collateral or any other asset acquired in connection with such credit bid (or in the Capital Stock of the acquisition vehicle or vehicles that are used to consummate such acquisition) on a ratable basis in accordance with the percentage obtained by dividing (x) the amount of the Obligations of such Secured Party that were credit bid in such credit bid or other Disposition by (y) the aggregate amount of all Obligations that were credit bid in such credit bid or other Disposition.</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each Secured Party agrees that the Collateral Agent (irrespective of whether the principal of any Loan or LC Exposure is then due and payable as herein expressed or by declaration or otherwise and irrespective of whether the Collateral Agent shall have made any demand on the Borrower) shall be entitled and empowered, by intervention in such proceeding or otherwise:</w:t>
      </w:r>
    </w:p>
    <w:p>
      <w:pPr>
        <w:spacing w:after="0" w:line="72" w:lineRule="exact"/>
        <w:rPr>
          <w:sz w:val="20"/>
          <w:szCs w:val="20"/>
          <w:color w:val="auto"/>
        </w:rPr>
      </w:pPr>
    </w:p>
    <w:p>
      <w:pPr>
        <w:ind w:left="440" w:right="20" w:firstLine="419"/>
        <w:spacing w:after="0" w:line="256" w:lineRule="auto"/>
        <w:tabs>
          <w:tab w:leader="none" w:pos="1078"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or LC Exposure and all other Loan Document Obligations that are owing and unpaid and to file such other documents as may be necessary or advisable in order to have the claims of the Lenders, the Issuing Banks, the Collateral Agent and the Administrative Agent (including any claim for the reasonable compensation, expenses, disbursements and advances of the Lenders, the Issuing Banks, the Collateral Agent and the Administrative Agent and their respective agents and counsel and all other amounts to the extent due to the Lenders, the Collateral Agent and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allowed in such judicial proceeding; and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980"/>
          </w:cols>
          <w:pgMar w:left="440" w:top="270" w:right="479" w:bottom="1440" w:gutter="0" w:footer="0" w:header="0"/>
        </w:sectPr>
      </w:pPr>
    </w:p>
    <w:bookmarkStart w:id="273" w:name="page274"/>
    <w:bookmarkEnd w:id="27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to collect and receive any monies or other property payable or deliverable on any such claims and to distribute the same.</w:t>
      </w:r>
    </w:p>
    <w:p>
      <w:pPr>
        <w:spacing w:after="0" w:line="225"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Any custodian, receiver, assignee, trustee, liquidator, sequestrator or other similar official in any such judicial proceeding is hereby authorized by each Lender and each Issuing Bank to make such payments to the Collateral Agent and/or the Administrative Agent and, in the event that the Collateral Agent and/or the Administrative Agent consents to the making of such payments directly to the Lenders and the Issuing Banks, to pay to such Administrative Agent any amount due for the reasonable compensation, expenses, disbursements and advances of the Collateral Agent and such Administrative Agent and their respective agents and counsel, and any other amount due to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Collateral Agent or the Administrative Agent to authorize or consent to or accept or adopt on behalf of any Lender or any Issuing Bank any plan of reorganization, arrangement, adjustment or composition affecting the Loan Document Obligations or the rights of any Lender or any Issuing Bank or to authorize the Collateral Agent or the Administrative Agent to vote in respect of the claim of any Lender or any Issuing Bank in any such proceeding.</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and the Collateral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or such Issuing Bank unless such Administrative Agent has received notice to the contrary from such Lender or Issuing Bank prior to the making of such Loan or the issuance of such Letter of Credit. Each of the Administrative Agent and the Collateral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Any of the Administrative Agent and the Collateral Agent may perform any and all of its duties and exercise its rights and powers by or through any one or more subAgents appointed by it. The Administrative Agent, the Collateral Agent and any such sub-agent may perform any and all of their respective duties and exercise their respective rights and powers through their respective Related Parties. The exculpatory provisions of this Article shall apply to any such sub-agent and to the Related Parties of the Administrative Agent, the Collateral Agent and any such sub-agent and shall apply to their respective activities in connection with the syndication of the credit facilities provided for herein as well as activities as the Administrative Agent and/or the Collateral Agent.</w:t>
      </w:r>
    </w:p>
    <w:p>
      <w:pPr>
        <w:spacing w:after="0" w:line="187"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The Administrative Agent or the Collateral Agent may resign at any time by giving thirty days’ written notice to the Lenders (or such shorter period as the Required Lenders may agree), the Issuing Banks and the Borrower. If the Administrative Agent or the Collateral Agent is a Defaulting Lender or an Affiliate of a Defaulting Lender, either the Required Lenders or the Borrower may, upon thirty days’ notice, remove such Administrative Agent or the Collateral Agent, as applicable. Upon receipt of any such notice of resignation or delivery of any such notice of removal, the Required Lenders shall have the right, with the consent of the Borrower (not to be unreasonably withheld or delayed), to appoint a successor Administrative Agent and/or Collateral Agent which shall be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1000"/>
          </w:cols>
          <w:pgMar w:left="440" w:top="270" w:right="459" w:bottom="1440" w:gutter="0" w:footer="0" w:header="0"/>
        </w:sectPr>
      </w:pPr>
    </w:p>
    <w:bookmarkStart w:id="274" w:name="page275"/>
    <w:bookmarkEnd w:id="27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commercial bank, trust company or other Person reasonably acceptable to the Borrower with offices in the 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existence and continuation of a Specified Event of Default, no consent of the Borrower shall be required. If no successor shall have been appointed as provided above and accepted such appointment within thirty days after the retiring Administrative Agent and/or Collateral Agent gives notice of its resignation or such Administrative Agent and/or Collateral Agent receives notice of removal, then (a) in the case of a retirement, the retiring Administrative Agent and/or Collateral Agent may (but shall not be obligated to), on behalf of the Lenders and the Issuing Banks, appoint a successor Administrative Agent and/or Collateral Agent meeting the qualifications set forth above (including, for the avoidance of doubt, consent of the Borrower) or (b) in the case of a removal, the Borrower may, after consulting with the Required Lenders, appoint a successor Administrative Agent and/or Collateral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retirement, if the Administrative Agent and/or the Collateral Agent notifies the Borrower, the Lenders and the Issuing Banks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such notice and (i) the retiring or removed Administrative Agent and/or Collateral Agent shall be discharged from its duties and obligations hereunder and under the other Loan Documents (except that in the case of the Collateral Agent, of any collateral security held by the Collateral Agent in its capacity as collateral agent for the Secured Parties for perfection purposes, the retiring Collateral Agent shall continue to hold such collateral security until such time as a successor Collateral Agent is appointed) and (ii) all payments, communications and determinations required to be made by, to or through such Administrative Agent and/or the Collateral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and/or Collateral Agent, as provided for above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Upon the acceptance of its appointment as a successor Administrative Agent and/or Collateral Agent, such successor Administrative Agent and/or Collateral Agent shall succeed to and become vested with all the rights, powers, privileges and duties of the retiring or removed Administrative Agent and/or Collateral Agent (other than any rights to indemnity payments owed to the retiring Administrative Agent and/or Collateral Agent), and the retiring or removed Administrative Agent and/or Collateral Agent shall be discharged from its duties and obligations hereunder (other than its obligations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hereof). The fees payable by the Borrower to a successor Administrative Agent and/or Collateral Agent shall be the same as those payable to its predecessor unless otherwise agreed between the Borrower and such successor Administrative Agent and/or Collateral Agent. After the Administrative Agent’s and/or the Collateral Agent’s resignation or removal hereunder, the provisions of this Article and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continue in effect for the benefit of such retiring or removed Administrative Agent and/or Collateral Agent, its sub-Agents and their respective Related Parties in respect of any action taken or omitted to be taken by any of them while the relevant Person was acting as Administrative Agent and/or Collateral Agent (including for this purpose holding any collateral security following the retirement or removal of the Collateral Agent). Notwithstanding anything to the contrary herein, no Disqualified Institution (nor any Affiliate thereof) may be appointed as a successor Administrative Agent or Collateral Agent.</w:t>
      </w:r>
    </w:p>
    <w:p>
      <w:pPr>
        <w:spacing w:after="0" w:line="202" w:lineRule="exact"/>
        <w:rPr>
          <w:sz w:val="20"/>
          <w:szCs w:val="20"/>
          <w:color w:val="auto"/>
        </w:rPr>
      </w:pPr>
    </w:p>
    <w:p>
      <w:pPr>
        <w:jc w:val="both"/>
        <w:ind w:right="60" w:firstLine="440"/>
        <w:spacing w:after="0" w:line="272" w:lineRule="auto"/>
        <w:rPr>
          <w:sz w:val="20"/>
          <w:szCs w:val="20"/>
          <w:color w:val="auto"/>
        </w:rPr>
      </w:pPr>
      <w:r>
        <w:rPr>
          <w:rFonts w:ascii="Times New Roman" w:cs="Times New Roman" w:eastAsia="Times New Roman" w:hAnsi="Times New Roman"/>
          <w:sz w:val="17"/>
          <w:szCs w:val="17"/>
          <w:color w:val="auto"/>
        </w:rPr>
        <w:t>Any resignation or removal of the Administrative Agent hereunder shall also constitute its resignation as the Swingline Lender effective as of the date of effectiveness of its removal or resignation as Administrative Agent as provided above. In the event of any such resignation as Swingline Lender, the Borrower shall be entitled to appoint any Revolving Lender that is willing to accept such appointment as successor Swingline Lender hereunder.</w:t>
      </w:r>
    </w:p>
    <w:p>
      <w:pPr>
        <w:spacing w:after="0" w:line="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Upon the acceptance of any appointment as Swingline Lender hereunder by a successor Swingline Lender, such successor Swingline Lender shall thereupon succeed to and become vested with all the rights, powers, privileges and duties of the resigning Swingline Lender and the resigning Swingline Lender shall be discharged from its duties and obligations in such capacity hereunder. In the event the Swingline Lender resigns, the Borrower shall promptly repay all outstanding Swingline Loans on the effective date of such resignation (which repayment may be effectuated with the proceeds of a Borrowing).</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0"/>
          </w:cols>
          <w:pgMar w:left="440" w:top="270" w:right="459" w:bottom="1440" w:gutter="0" w:footer="0" w:header="0"/>
        </w:sectPr>
      </w:pPr>
    </w:p>
    <w:bookmarkStart w:id="275" w:name="page276"/>
    <w:bookmarkEnd w:id="275"/>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and each Issuing Bank acknowledges that it has, independently and without reliance upon the Administrative Agent, the Collateral Agent or any other Lender or any of their Related Parties and based on such documents and information (which may contain material non-public information) as it has deemed appropriate, made its own credit analysis and decision to enter into this Agreement. Each Lender and each Issuing Bank also acknowledges that it will, independently and without reliance upon the Administrative Agent,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or the Collateral Agent herein, neither Administrative Agent nor the Collateral Agent shall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the Collateral Agent or any of its Related Parties.</w:t>
      </w:r>
    </w:p>
    <w:p>
      <w:pPr>
        <w:spacing w:after="0" w:line="19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Notwithstanding anything to the contrary herein, the Arrangers shall not have any right, power, obligation, liability, responsibility or duty under this Agreement, except in their respective capacities, as applicable, as the Administrative Agent, the Collateral Agent, an Issuing Bank or a Lender 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Release of Loan Guarantees; Collateral</w:t>
      </w:r>
      <w:r>
        <w:rPr>
          <w:rFonts w:ascii="Times New Roman" w:cs="Times New Roman" w:eastAsia="Times New Roman" w:hAnsi="Times New Roman"/>
          <w:sz w:val="18"/>
          <w:szCs w:val="18"/>
          <w:color w:val="auto"/>
        </w:rPr>
        <w:t>. Each Secured Party irrevocably authorizes and instructs the Administrative Agent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to, and the Administrative Agent and the Collateral Agent shall:</w:t>
      </w:r>
    </w:p>
    <w:p>
      <w:pPr>
        <w:spacing w:after="0" w:line="99" w:lineRule="exact"/>
        <w:rPr>
          <w:sz w:val="20"/>
          <w:szCs w:val="20"/>
          <w:color w:val="auto"/>
        </w:rPr>
      </w:pPr>
    </w:p>
    <w:p>
      <w:pPr>
        <w:ind w:firstLine="436"/>
        <w:spacing w:after="0" w:line="252" w:lineRule="auto"/>
        <w:tabs>
          <w:tab w:leader="none" w:pos="685"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release any Lien on any property granted to or held by the Collateral Agent under any Loan Document (i) upon the occurrence of the Termination Date, (ii) that is, or is to be, sold, transferred or otherwise Disposed of as part of or in connection with any sale, transfer or other Disposition or Investment permitted under the Loan Documents (or other disposition not restricted hereby) (A) to a Person that is not a Loan Party or (B) to a Person that is a Loan Party, if (x) such release is a Requirement of Law in connection with such sale, transfer or other Disposition or (y) such transferee Loan Party grants a perfected Lien on such property to the Collateral Agent in compliance with the Collateral and Guarantee Requirement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during such longer period as agreed to by the Collateral Agent, (iii) that does not constitute Collateral (or ceases to constitute Collateral) (including by being or becoming an Excluded Asset), (iv) if the property subject to such Lien is owned by a Subsidiary Guarantor, upon the release of such Subsidiary Guarantor from its Loan Guarantee otherwise in accordance with the Loan Documents, (v) as required under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or (vi) if approved, authorized or ratified in writing by the Required Lenders (or such other number or percentage of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and each Secured Party hereby consents to any release or re-assignment contemplated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any steps any Agent may take or request to give effect to such release or re-assignment under the governing law of such Lien;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00"/>
          </w:cols>
          <w:pgMar w:left="440" w:top="270" w:right="459" w:bottom="1440" w:gutter="0" w:footer="0" w:header="0"/>
        </w:sectPr>
      </w:pPr>
    </w:p>
    <w:bookmarkStart w:id="276" w:name="page277"/>
    <w:bookmarkEnd w:id="276"/>
    <w:p>
      <w:pPr>
        <w:ind w:left="4" w:right="20" w:firstLine="436"/>
        <w:spacing w:after="0" w:line="269" w:lineRule="auto"/>
        <w:tabs>
          <w:tab w:leader="none" w:pos="699" w:val="left"/>
        </w:tabs>
        <w:numPr>
          <w:ilvl w:val="1"/>
          <w:numId w:val="3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release any Subsidiary Guarantor from its obligations under the Loan Guarantee (i) if such Person ceases to be a Restricted Subsidiary (or becomes an Excluded Subsidiary as a result of a single transaction or series of related transactions or any event or other circumstance permitted hereunder (other than solely by reason of such Subsidiary Guarantor becoming an Excluded Subsidiary of the type described in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definition thereof unless either (x) it is no longer a direct or indirect Subsidiary of the Borrower or (y) such Subsidiary Guarantor ceases to be a Wholly-Owned Subsidiary as a result of a sale, issuance or transfer of Capital Stock to (A) a third party that is not an Affiliate of the Borrower or</w:t>
      </w:r>
    </w:p>
    <w:p>
      <w:pPr>
        <w:spacing w:after="0" w:line="2" w:lineRule="exact"/>
        <w:rPr>
          <w:rFonts w:ascii="Times New Roman" w:cs="Times New Roman" w:eastAsia="Times New Roman" w:hAnsi="Times New Roman"/>
          <w:sz w:val="17"/>
          <w:szCs w:val="17"/>
          <w:color w:val="auto"/>
        </w:rPr>
      </w:pPr>
    </w:p>
    <w:p>
      <w:pPr>
        <w:ind w:left="4" w:right="200" w:hanging="4"/>
        <w:spacing w:after="0" w:line="255" w:lineRule="auto"/>
        <w:tabs>
          <w:tab w:leader="none" w:pos="289"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Affiliate of the Borrower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and its Subsidiaries and not for the primary purpose of evading the Collateral and Guarantee Requirement (as determined by the Borrower in good faith))) and/or (ii) upon the occurrence of the Termination Date;</w:t>
      </w:r>
    </w:p>
    <w:p>
      <w:pPr>
        <w:spacing w:after="0" w:line="185" w:lineRule="exact"/>
        <w:rPr>
          <w:rFonts w:ascii="Times New Roman" w:cs="Times New Roman" w:eastAsia="Times New Roman" w:hAnsi="Times New Roman"/>
          <w:sz w:val="18"/>
          <w:szCs w:val="18"/>
          <w:color w:val="auto"/>
        </w:rPr>
      </w:pPr>
    </w:p>
    <w:p>
      <w:pPr>
        <w:ind w:left="4" w:right="100" w:firstLine="436"/>
        <w:spacing w:after="0" w:line="272" w:lineRule="auto"/>
        <w:tabs>
          <w:tab w:leader="none" w:pos="689" w:val="left"/>
        </w:tabs>
        <w:numPr>
          <w:ilvl w:val="1"/>
          <w:numId w:val="3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subordinate (and, in the case of </w:t>
      </w:r>
      <w:r>
        <w:rPr>
          <w:rFonts w:ascii="Times New Roman" w:cs="Times New Roman" w:eastAsia="Times New Roman" w:hAnsi="Times New Roman"/>
          <w:sz w:val="17"/>
          <w:szCs w:val="17"/>
          <w:u w:val="single" w:color="auto"/>
          <w:color w:val="auto"/>
        </w:rPr>
        <w:t>Section 6.02(uu)</w:t>
      </w:r>
      <w:r>
        <w:rPr>
          <w:rFonts w:ascii="Times New Roman" w:cs="Times New Roman" w:eastAsia="Times New Roman" w:hAnsi="Times New Roman"/>
          <w:sz w:val="17"/>
          <w:szCs w:val="17"/>
          <w:color w:val="auto"/>
        </w:rPr>
        <w:t xml:space="preserve">, release) any Lien on any property granted to or held by the Collateral Agent under any Loan Document to the holder of any Lien on such property that is permitted by </w:t>
      </w:r>
      <w:r>
        <w:rPr>
          <w:rFonts w:ascii="Times New Roman" w:cs="Times New Roman" w:eastAsia="Times New Roman" w:hAnsi="Times New Roman"/>
          <w:sz w:val="17"/>
          <w:szCs w:val="17"/>
          <w:u w:val="single" w:color="auto"/>
          <w:color w:val="auto"/>
        </w:rPr>
        <w:t>Sections 6.02(c)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6.02(x)</w:t>
      </w:r>
      <w:r>
        <w:rPr>
          <w:rFonts w:ascii="Times New Roman" w:cs="Times New Roman" w:eastAsia="Times New Roman" w:hAnsi="Times New Roman"/>
          <w:sz w:val="17"/>
          <w:szCs w:val="17"/>
          <w:color w:val="auto"/>
        </w:rPr>
        <w:t>, 6.02</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6.02(z)(i)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6.02(bb)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6.02(cc)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6.02(dd)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6.02(gg)</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left="4" w:right="32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6.02(ii)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6.02(mm)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6.02(uu)</w:t>
      </w:r>
      <w:r>
        <w:rPr>
          <w:rFonts w:ascii="Times New Roman" w:cs="Times New Roman" w:eastAsia="Times New Roman" w:hAnsi="Times New Roman"/>
          <w:sz w:val="17"/>
          <w:szCs w:val="17"/>
          <w:color w:val="auto"/>
        </w:rPr>
        <w:t xml:space="preserve"> (and any Refinancing Indebtedness in respect of any thereof to the extent such Refinancing Indebtedness is permitted to be secured under </w:t>
      </w:r>
      <w:r>
        <w:rPr>
          <w:rFonts w:ascii="Times New Roman" w:cs="Times New Roman" w:eastAsia="Times New Roman" w:hAnsi="Times New Roman"/>
          <w:sz w:val="17"/>
          <w:szCs w:val="17"/>
          <w:u w:val="single" w:color="auto"/>
          <w:color w:val="auto"/>
        </w:rPr>
        <w:t>Section 6.02(k)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 release of a Lien on a deposit, securities or similar account (or related assets) there shall be no requirement that any cash pooling and/or treasury service provider hold a subsequent Lien on such account or asset; and</w:t>
      </w:r>
    </w:p>
    <w:p>
      <w:pPr>
        <w:spacing w:after="0" w:line="168" w:lineRule="exact"/>
        <w:rPr>
          <w:rFonts w:ascii="Times New Roman" w:cs="Times New Roman" w:eastAsia="Times New Roman" w:hAnsi="Times New Roman"/>
          <w:sz w:val="17"/>
          <w:szCs w:val="17"/>
          <w:color w:val="auto"/>
        </w:rPr>
      </w:pPr>
    </w:p>
    <w:p>
      <w:pPr>
        <w:jc w:val="both"/>
        <w:ind w:left="4" w:right="260" w:firstLine="436"/>
        <w:spacing w:after="0" w:line="261" w:lineRule="auto"/>
        <w:tabs>
          <w:tab w:leader="none" w:pos="699"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subordination, intercreditor, collateral trust and/or similar agreements (and any amendments thereto) with respect to Indebtedness (including any Acceptable Intercreditor Agreement and any amendment thereto) that is (i) required or permitted to be subordinated hereunder or pari passu with the Liens securing the Loan Document Obligations and/or (ii) secured by Liens, and with respect to which Indebtedness and/or Liens, this Agreement contemplates an intercreditor, subordination, collateral trust or similar agreement.</w:t>
      </w:r>
    </w:p>
    <w:p>
      <w:pPr>
        <w:spacing w:after="0" w:line="180"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the request of the Collateral Agent or the Administrative Agent at any time, the Required Lenders will confirm in writing the Collateral Agent’s and/or the Administrative Agent’s authority to release or subordinate its interest in particular types or items of property, or to release any Loan Party from its obligations under the Loan Guarantee or its Lien on any Collateral pursuant to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the Administrative Agent and the Collateral Agent will (and each Lender and each Issuing Bank hereby authorizes the Administrative Agent and the Collateral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Guarantee, in each case in accordance with the terms of the Loan Documents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The parties hereto acknowledge and agree that each of the Administrative Agent and the Collateral Agent may rely conclusively as to any of the matters described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(including as to its authority hereunder and thereunder) on a certificate or similar instrument provided to it by any Loan Party without further inquiry or investigation, which certificate shall be delivered to the Administrative Agent and/or the Collateral Agent by the Loan Parties upon request.</w:t>
      </w:r>
    </w:p>
    <w:p>
      <w:pPr>
        <w:spacing w:after="0" w:line="19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Each of the Administrative Agent and the Collateral Agent is authorized (and directed) to enter into any Acceptable Intercreditor Agreement and any other intercreditor, subordination, collateral trust or similar agreement contemplated hereby with respect to any (a) Indebtedness (i) that is (A) required or permitted to be subordinated hereunder or pari passu with or senior to the Liens securing the Loan Document Obligations and/or (B) secured by Liens and (ii) with</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4"/>
          </w:cols>
          <w:pgMar w:left="436" w:top="270" w:right="459" w:bottom="1440" w:gutter="0" w:footer="0" w:header="0"/>
        </w:sectPr>
      </w:pPr>
    </w:p>
    <w:bookmarkStart w:id="277" w:name="page278"/>
    <w:bookmarkEnd w:id="277"/>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respect to which Indebtedness and/or Liens, this Agreement contemplates an intercreditor, subordination, collateral trust or similar agreement (any such other intercreditor, subordination, collateral trust and/or similar agreement, an “</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and/or (b) Secured Hedging Obligations and/or Banking Services Obligations, whether or not constituting Indebtedness, and each Secured Party acknowledges that any Acceptable Intercreditor Agreement and any Additional Agreement is binding upon them. Each Secured Party hereby agrees that it will be bound by, and will not take any action contrary to, the provisions of any Acceptable Intercreditor Agreement or any Additional Agreement and (c) authorizes and instructs each of the Administrative Agent and the Collateral Agent to enter into any Additional Agreement (including any Acceptable Intercreditor Agreement) and to subject the Liens on the Collateral securing the Obligations to the provisions thereof. The foregoing provisions are intended as an inducement to the Secured Parties to extend credit to the Borrower, and the Secured Parties are intended third-party beneficiaries of such provisions and the provisions of any Acceptable Intercreditor Agreement and/or any other Additional Agreement.</w:t>
      </w:r>
    </w:p>
    <w:p>
      <w:pPr>
        <w:spacing w:after="0" w:line="18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Indemnification by Lenders</w:t>
      </w:r>
      <w:r>
        <w:rPr>
          <w:rFonts w:ascii="Times New Roman" w:cs="Times New Roman" w:eastAsia="Times New Roman" w:hAnsi="Times New Roman"/>
          <w:sz w:val="18"/>
          <w:szCs w:val="18"/>
          <w:color w:val="auto"/>
        </w:rPr>
        <w:t xml:space="preserve">. To the extent that the Administrative Agent or the Collateral Agent (or any Affiliate of the foregoing) is not reimbursed and indemnified by the Borrower in accordance with the terms of this Agreement, the Lenders will reimburse and indemnify the Administrative Agent and the Collateral Agent (and any Affiliate of the foregoing)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the Collateral Agent (or any Affiliate of the foregoing) in performing its duties hereunder or under any other Loan Document or in any way relating to or arising out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claims, actions, judgments, suits, costs, expenses or disbursements resulting from such Administrative Agent’s or the Collateral Agent’s (or such Affiliate’s) gross negligence or willful misconduct (as determined by a court of competent jurisdiction in a final and non-appealable decision).</w:t>
      </w:r>
    </w:p>
    <w:p>
      <w:pPr>
        <w:spacing w:after="0" w:line="19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Requirements of Law, the Administrative Agent may withhold from any payment to any Lender (which term shall include any Issuing Bank for purposes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such Administrative Agent of a change in circumstance which rendered the exemption from, or reduction of, withholding Tax ineffective), such Lender shall indemnify fully and hold harmless such Administrative Agent (to the extent that such Administrative Agent has not already been reimbursed by a Loan Party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without limiting or expanding the obligation of any Loan Party to do so) for all amounts paid, directly or indirectly, by such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such Administrative Agent shall be conclusive absent manifest error. The agreements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the termination of this Agreement and the repayment, satisfaction or discharge of all other Loan Document Obligations.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0980"/>
          </w:cols>
          <w:pgMar w:left="440" w:top="270" w:right="479" w:bottom="1440" w:gutter="0" w:footer="0" w:header="0"/>
        </w:sectPr>
      </w:pPr>
    </w:p>
    <w:bookmarkStart w:id="278" w:name="page279"/>
    <w:bookmarkEnd w:id="27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9.12.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It is understood by all parties hereto that the Administrative Agent may (but shall not be obligated to) deliver calculations to the Borrower from time to time of amounts under this Agreement, and that the Administrative Agent shall have no liability with respect thereto. If the Administrative Agent identifies or becomes aware of an update or revision to any calculation previously delivered, the Administrative Agent may (but shall not be obligated to, unless directed by the Required Lenders) deliver an updated or revised calculation with respect to any amount due hereunder. For avoidance of doubt, if there is a dispute as to the amount due and owing, any calculation or any updated or revised calculation of the Administrative Agent shall control absent manifest error.</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36"/>
        <w:spacing w:after="0" w:line="266" w:lineRule="auto"/>
        <w:tabs>
          <w:tab w:leader="none" w:pos="685" w:val="left"/>
        </w:tabs>
        <w:numPr>
          <w:ilvl w:val="1"/>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20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1"/>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such Loan Party in the care of the Borrower at:</w:t>
      </w:r>
    </w:p>
    <w:p>
      <w:pPr>
        <w:spacing w:after="0" w:line="11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Media Group, Inc.</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904 Sylvan Avenue</w:t>
      </w:r>
    </w:p>
    <w:p>
      <w:pPr>
        <w:spacing w:after="0" w:line="9" w:lineRule="exact"/>
        <w:rPr>
          <w:rFonts w:ascii="Times New Roman" w:cs="Times New Roman" w:eastAsia="Times New Roman" w:hAnsi="Times New Roman"/>
          <w:sz w:val="18"/>
          <w:szCs w:val="18"/>
          <w:color w:val="auto"/>
        </w:rPr>
      </w:pPr>
    </w:p>
    <w:p>
      <w:pPr>
        <w:ind w:left="980" w:right="72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Englewood Cliffs, New Jersey 07632 [***]</w:t>
      </w: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General Counsel</w:t>
      </w:r>
    </w:p>
    <w:p>
      <w:pPr>
        <w:spacing w:after="0" w:line="98"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copy to (which shall not constitute notice to any Loan Party):</w:t>
      </w:r>
    </w:p>
    <w:p>
      <w:pPr>
        <w:spacing w:after="0" w:line="117" w:lineRule="exact"/>
        <w:rPr>
          <w:rFonts w:ascii="Times New Roman" w:cs="Times New Roman" w:eastAsia="Times New Roman" w:hAnsi="Times New Roman"/>
          <w:sz w:val="18"/>
          <w:szCs w:val="18"/>
          <w:color w:val="auto"/>
        </w:rPr>
      </w:pPr>
    </w:p>
    <w:p>
      <w:pPr>
        <w:ind w:left="980" w:right="7880"/>
        <w:spacing w:after="0" w:line="25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Davis Polk &amp; Wardwell LLP 450 Lexington Avenue New York, New York 10017</w:t>
      </w:r>
    </w:p>
    <w:p>
      <w:pPr>
        <w:spacing w:after="0" w:line="1"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Hilary Dengel and Robert F. Smith</w:t>
      </w:r>
    </w:p>
    <w:p>
      <w:pPr>
        <w:spacing w:after="0" w:line="9"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hilary.dengel@davispolk.com and robert.smith@davispolk.com</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the address or addresses separately provided to the Borrower or the Lenders, as applicable;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Collateral Agent, to the address or addresses separately provided to the Borrower or the Lenders, as applicable;</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68"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Issuing Bank, to it at the address separately provided to the Borrower; if to the Swingline Lender, at the address separately provided to the Borrower;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2"/>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to it at its address or email address set forth in its Administrative Questionnaire.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60"/>
          </w:cols>
          <w:pgMar w:left="440" w:top="270" w:right="499" w:bottom="1440" w:gutter="0" w:footer="0" w:header="0"/>
        </w:sectPr>
      </w:pPr>
    </w:p>
    <w:bookmarkStart w:id="279" w:name="page280"/>
    <w:bookmarkEnd w:id="279"/>
    <w:p>
      <w:pPr>
        <w:ind w:left="4" w:firstLine="436"/>
        <w:spacing w:after="0" w:line="267" w:lineRule="auto"/>
        <w:tabs>
          <w:tab w:leader="none" w:pos="699" w:val="left"/>
        </w:tabs>
        <w:numPr>
          <w:ilvl w:val="1"/>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the Collateral Agent or the Borrower (on behalf of any Loan Party) may, in its discretion, agree to accept notices and other communications to it hereunder by electronic communications pursuant to procedures set forth herein or otherwise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7"/>
          <w:szCs w:val="17"/>
          <w:u w:val="single" w:color="auto"/>
          <w:color w:val="auto"/>
        </w:rPr>
        <w:t>clause (b)</w:t>
      </w:r>
    </w:p>
    <w:p>
      <w:pPr>
        <w:spacing w:after="0" w:line="5"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37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notification that such notice or communication is available and identifying the website address therefor.</w:t>
      </w:r>
    </w:p>
    <w:p>
      <w:pPr>
        <w:spacing w:after="0" w:line="206" w:lineRule="exact"/>
        <w:rPr>
          <w:rFonts w:ascii="Times New Roman" w:cs="Times New Roman" w:eastAsia="Times New Roman" w:hAnsi="Times New Roman"/>
          <w:sz w:val="18"/>
          <w:szCs w:val="18"/>
          <w:u w:val="single" w:color="auto"/>
          <w:color w:val="auto"/>
        </w:rPr>
      </w:pPr>
    </w:p>
    <w:p>
      <w:pPr>
        <w:jc w:val="both"/>
        <w:ind w:left="4" w:right="240" w:firstLine="436"/>
        <w:spacing w:after="0" w:line="266" w:lineRule="auto"/>
        <w:tabs>
          <w:tab w:leader="none" w:pos="689" w:val="left"/>
        </w:tabs>
        <w:numPr>
          <w:ilvl w:val="1"/>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53" w:lineRule="auto"/>
        <w:tabs>
          <w:tab w:leader="none" w:pos="68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thereto therefrom shall in any event be effective unless the same is permitted by this Section, and then such waiver or consent shall be effective only in the specific instance and for the purpose for which it is given. Without limiting the generality of the foregoing, to the extent permitted by law, the making of a Loan or the issuance of any Letter of Credit shall not be construed as a waiver of any Default or Event of Default, regardless of whether the Administrative Agent, any Lender or any Issuing Bank may have had notice or knowledge of such Default or Event of Default at the time.</w:t>
      </w:r>
    </w:p>
    <w:p>
      <w:pPr>
        <w:spacing w:after="0" w:line="194"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99"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and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the Collateral Agent and each Loan Party that is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4"/>
          </w:cols>
          <w:pgMar w:left="436" w:top="270" w:right="459" w:bottom="1440" w:gutter="0" w:footer="0" w:header="0"/>
        </w:sectPr>
      </w:pPr>
    </w:p>
    <w:bookmarkStart w:id="280" w:name="page281"/>
    <w:bookmarkEnd w:id="280"/>
    <w:p>
      <w:pPr>
        <w:ind w:right="500" w:firstLine="419"/>
        <w:spacing w:after="0" w:line="282" w:lineRule="auto"/>
        <w:tabs>
          <w:tab w:leader="none" w:pos="7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with the consent of each Lender directly and adversely affected thereby (but without requiring the consent of the Required Lenders), no such agreement shall;</w:t>
      </w:r>
    </w:p>
    <w:p>
      <w:pPr>
        <w:spacing w:after="0" w:line="53" w:lineRule="exact"/>
        <w:rPr>
          <w:rFonts w:ascii="Times New Roman" w:cs="Times New Roman" w:eastAsia="Times New Roman" w:hAnsi="Times New Roman"/>
          <w:sz w:val="18"/>
          <w:szCs w:val="18"/>
          <w:color w:val="auto"/>
        </w:rPr>
      </w:pPr>
    </w:p>
    <w:p>
      <w:pPr>
        <w:jc w:val="both"/>
        <w:ind w:left="540" w:right="120" w:firstLine="910"/>
        <w:spacing w:after="0" w:line="261" w:lineRule="auto"/>
        <w:tabs>
          <w:tab w:leader="none" w:pos="169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the Commitment of such Lender (other than with respect to any Incremental Facility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71" w:lineRule="exact"/>
        <w:rPr>
          <w:rFonts w:ascii="Times New Roman" w:cs="Times New Roman" w:eastAsia="Times New Roman" w:hAnsi="Times New Roman"/>
          <w:sz w:val="18"/>
          <w:szCs w:val="18"/>
          <w:color w:val="auto"/>
        </w:rPr>
      </w:pPr>
    </w:p>
    <w:p>
      <w:pPr>
        <w:ind w:left="540" w:right="140" w:firstLine="910"/>
        <w:spacing w:after="0" w:line="258" w:lineRule="auto"/>
        <w:tabs>
          <w:tab w:leader="none" w:pos="169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 owed to such Lender or any amount due to such Lender on any Loan Installment Date (other than, in each case, any waiver of, or consent to or departure from, any Default or Event of Default or any mandatory prepayment; it being understood that no change in the definition of “First Lien Leverage Ratio” or any other ratio used in the calculation of any mandatory prepayment (including any component definition thereof) shall constitute a reduction or forgiveness of any principal amount due hereunder);</w:t>
      </w:r>
    </w:p>
    <w:p>
      <w:pPr>
        <w:spacing w:after="0" w:line="75" w:lineRule="exact"/>
        <w:rPr>
          <w:rFonts w:ascii="Times New Roman" w:cs="Times New Roman" w:eastAsia="Times New Roman" w:hAnsi="Times New Roman"/>
          <w:sz w:val="18"/>
          <w:szCs w:val="18"/>
          <w:color w:val="auto"/>
        </w:rPr>
      </w:pPr>
    </w:p>
    <w:p>
      <w:pPr>
        <w:ind w:left="540" w:firstLine="910"/>
        <w:spacing w:after="0" w:line="256" w:lineRule="auto"/>
        <w:tabs>
          <w:tab w:leader="none" w:pos="169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extend the scheduled final maturity of any Loan or (y) postpone any Loan Installment Date, any Interest Payment Date or the date of any scheduled payment of any fee, in each case payable to such Lender hereunder (in each case, other than any extension for administrative reasons agreed by the Administrative Agent) (other than, in each case, any waiver of, or consent or departure from, any Default or Event of Default or any mandatory prepayment; it being understood that no change in the definition of “First Lien Leverage Ratio” or any other ratio used in the calculation of any mandatory prepayment (including any component definition thereof) shall constitute such an extension or postponement);</w:t>
      </w:r>
    </w:p>
    <w:p>
      <w:pPr>
        <w:spacing w:after="0" w:line="79" w:lineRule="exact"/>
        <w:rPr>
          <w:rFonts w:ascii="Times New Roman" w:cs="Times New Roman" w:eastAsia="Times New Roman" w:hAnsi="Times New Roman"/>
          <w:sz w:val="18"/>
          <w:szCs w:val="18"/>
          <w:color w:val="auto"/>
        </w:rPr>
      </w:pPr>
    </w:p>
    <w:p>
      <w:pPr>
        <w:ind w:left="540" w:right="80" w:firstLine="910"/>
        <w:spacing w:after="0" w:line="254" w:lineRule="auto"/>
        <w:tabs>
          <w:tab w:leader="none" w:pos="169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(other than to waive any Default or Event of Default or obligation of the Borrower to pay interest at the default rate of interest under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which shall only require the consent of the Required Lenders, or to waive adjustments in interest rate or fees on account of late delivery of financial statements or a determination with respect to financial statements pursuant to the final paragraphs of the definitions of “Applicable Rate” and “Commitment Fee Rate”, which shall only require the consent of the Required Lenders of the applicable Class) or the amount of any fee owed to such Lender; it being understood that no change in the definition of “First Lien Leverage Ratio” or any other ratio used in the calculation of the Applicable Rate or the Commitment Fee Rate, or in the calculation of any other interest or fee due hereunder (including any component definition thereof) shall constitute a reduction in any rate of interest or fee hereunder;</w:t>
      </w:r>
    </w:p>
    <w:p>
      <w:pPr>
        <w:spacing w:after="0" w:line="83" w:lineRule="exact"/>
        <w:rPr>
          <w:rFonts w:ascii="Times New Roman" w:cs="Times New Roman" w:eastAsia="Times New Roman" w:hAnsi="Times New Roman"/>
          <w:sz w:val="18"/>
          <w:szCs w:val="18"/>
          <w:color w:val="auto"/>
        </w:rPr>
      </w:pPr>
    </w:p>
    <w:p>
      <w:pPr>
        <w:ind w:left="540" w:right="80" w:firstLine="910"/>
        <w:spacing w:after="0" w:line="266" w:lineRule="auto"/>
        <w:tabs>
          <w:tab w:leader="none" w:pos="1697"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0520"/>
          </w:cols>
          <w:pgMar w:left="880" w:top="270" w:right="499" w:bottom="1440" w:gutter="0" w:footer="0" w:header="0"/>
        </w:sectPr>
      </w:pPr>
    </w:p>
    <w:bookmarkStart w:id="281" w:name="page282"/>
    <w:bookmarkEnd w:id="281"/>
    <w:p>
      <w:pPr>
        <w:jc w:val="both"/>
        <w:ind w:left="121" w:right="60" w:firstLine="910"/>
        <w:spacing w:after="0" w:line="266" w:lineRule="auto"/>
        <w:tabs>
          <w:tab w:leader="none" w:pos="1278" w:val="left"/>
        </w:tabs>
        <w:numPr>
          <w:ilvl w:val="2"/>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 amend or modify the provisions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of this Agreement in a manner that would by its terms alter the pro rata sharing of payments required thereby (except in connection with any transaction permitted under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10.05(g)</w:t>
      </w:r>
      <w:r>
        <w:rPr>
          <w:rFonts w:ascii="Times New Roman" w:cs="Times New Roman" w:eastAsia="Times New Roman" w:hAnsi="Times New Roman"/>
          <w:sz w:val="18"/>
          <w:szCs w:val="18"/>
          <w:color w:val="auto"/>
        </w:rPr>
        <w:t xml:space="preserve"> or as otherwise provided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281" w:hanging="250"/>
        <w:spacing w:after="0"/>
        <w:tabs>
          <w:tab w:leader="none" w:pos="1281" w:val="left"/>
        </w:tabs>
        <w:numPr>
          <w:ilvl w:val="2"/>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(x) all or substantially all of the Loan Document Obligations in right of payment to any other Indebtedness or</w:t>
      </w:r>
    </w:p>
    <w:p>
      <w:pPr>
        <w:spacing w:after="0" w:line="27" w:lineRule="exact"/>
        <w:rPr>
          <w:rFonts w:ascii="Times New Roman" w:cs="Times New Roman" w:eastAsia="Times New Roman" w:hAnsi="Times New Roman"/>
          <w:sz w:val="18"/>
          <w:szCs w:val="18"/>
          <w:color w:val="auto"/>
        </w:rPr>
      </w:pPr>
    </w:p>
    <w:p>
      <w:pPr>
        <w:ind w:left="121" w:right="40" w:firstLine="7"/>
        <w:spacing w:after="0" w:line="252" w:lineRule="auto"/>
        <w:tabs>
          <w:tab w:leader="none" w:pos="375" w:val="left"/>
        </w:tabs>
        <w:numPr>
          <w:ilvl w:val="1"/>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with respect to all or substantially all of the value of the Collateral securing the Loan Document Obligations to any Lien securing other Indebtedness (in each case of (x) and/or (y), other than as permitted under this Agreement as in effect on the Signing Date and other than in connection with any debtor-in-possession (or equivalent or similar) financing or use of Collateral in an insolvency proceeding or any other proceeding under any Debtor Relief Laws), in each case of (x) and/or (y) unless such adversely affected Lender is offered the bona fide opportunity to participate on no less than a pro rata basis in such other Indebtedness (it being understood that, for the avoidance of doubt, such “pro rata” right to participate shall consider any other pari passu debt facilities (including notes or loans) also being offered such a right); and</w:t>
      </w:r>
    </w:p>
    <w:p>
      <w:pPr>
        <w:spacing w:after="0" w:line="80" w:lineRule="exact"/>
        <w:rPr>
          <w:rFonts w:ascii="Times New Roman" w:cs="Times New Roman" w:eastAsia="Times New Roman" w:hAnsi="Times New Roman"/>
          <w:sz w:val="18"/>
          <w:szCs w:val="18"/>
          <w:color w:val="auto"/>
        </w:rPr>
      </w:pPr>
    </w:p>
    <w:p>
      <w:pPr>
        <w:ind w:left="281" w:hanging="281"/>
        <w:spacing w:after="0"/>
        <w:tabs>
          <w:tab w:leader="none" w:pos="281"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agreement shall:</w:t>
      </w:r>
    </w:p>
    <w:p>
      <w:pPr>
        <w:spacing w:after="0" w:line="117" w:lineRule="exact"/>
        <w:rPr>
          <w:rFonts w:ascii="Times New Roman" w:cs="Times New Roman" w:eastAsia="Times New Roman" w:hAnsi="Times New Roman"/>
          <w:sz w:val="18"/>
          <w:szCs w:val="18"/>
          <w:color w:val="auto"/>
        </w:rPr>
      </w:pPr>
    </w:p>
    <w:p>
      <w:pPr>
        <w:ind w:left="121" w:right="120" w:firstLine="910"/>
        <w:spacing w:after="0" w:line="274" w:lineRule="auto"/>
        <w:tabs>
          <w:tab w:leader="none" w:pos="1278" w:val="left"/>
        </w:tabs>
        <w:numPr>
          <w:ilvl w:val="2"/>
          <w:numId w:val="3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change (x) any of the provisions of </w:t>
      </w:r>
      <w:r>
        <w:rPr>
          <w:rFonts w:ascii="Times New Roman" w:cs="Times New Roman" w:eastAsia="Times New Roman" w:hAnsi="Times New Roman"/>
          <w:sz w:val="17"/>
          <w:szCs w:val="17"/>
          <w:u w:val="single" w:color="auto"/>
          <w:color w:val="auto"/>
        </w:rPr>
        <w:t>Section 10.02(a)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64" w:lineRule="exact"/>
        <w:rPr>
          <w:rFonts w:ascii="Times New Roman" w:cs="Times New Roman" w:eastAsia="Times New Roman" w:hAnsi="Times New Roman"/>
          <w:sz w:val="17"/>
          <w:szCs w:val="17"/>
          <w:color w:val="auto"/>
        </w:rPr>
      </w:pPr>
    </w:p>
    <w:p>
      <w:pPr>
        <w:ind w:left="121" w:firstLine="910"/>
        <w:spacing w:after="0" w:line="266" w:lineRule="auto"/>
        <w:tabs>
          <w:tab w:leader="none" w:pos="1278" w:val="left"/>
        </w:tabs>
        <w:numPr>
          <w:ilvl w:val="2"/>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Collateral from the Lien granted pursuant to the Loan Documents (except as otherwise permitted herein or in the other Loan Documents as in effect on the Closing Date, including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hereof or pursuant to any Acceptable Intercreditor Agreement), without the prior written consent of each Lender; or</w:t>
      </w:r>
    </w:p>
    <w:p>
      <w:pPr>
        <w:spacing w:after="0" w:line="67" w:lineRule="exact"/>
        <w:rPr>
          <w:rFonts w:ascii="Times New Roman" w:cs="Times New Roman" w:eastAsia="Times New Roman" w:hAnsi="Times New Roman"/>
          <w:sz w:val="18"/>
          <w:szCs w:val="18"/>
          <w:color w:val="auto"/>
        </w:rPr>
      </w:pPr>
    </w:p>
    <w:p>
      <w:pPr>
        <w:ind w:left="121" w:right="160" w:firstLine="910"/>
        <w:spacing w:after="0" w:line="266" w:lineRule="auto"/>
        <w:tabs>
          <w:tab w:leader="none" w:pos="1278" w:val="left"/>
        </w:tabs>
        <w:numPr>
          <w:ilvl w:val="2"/>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value of the Guarantees under the Loan Guarantee (except as otherwise permitted herein or in the other Loan Documents as in effect on the Closing Date, including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hereof), without the prior written consent of each Lender;</w:t>
      </w:r>
    </w:p>
    <w:p>
      <w:pPr>
        <w:spacing w:after="0" w:line="108" w:lineRule="exact"/>
        <w:rPr>
          <w:sz w:val="20"/>
          <w:szCs w:val="20"/>
          <w:color w:val="auto"/>
        </w:rPr>
      </w:pPr>
    </w:p>
    <w:p>
      <w:pPr>
        <w:ind w:left="4501"/>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121"/>
          </w:cols>
          <w:pgMar w:left="1299" w:top="270" w:right="479" w:bottom="1440" w:gutter="0" w:footer="0" w:header="0"/>
        </w:sectPr>
      </w:pPr>
    </w:p>
    <w:bookmarkStart w:id="282" w:name="page283"/>
    <w:bookmarkEnd w:id="282"/>
    <w:p>
      <w:pPr>
        <w:ind w:left="440" w:right="60" w:firstLine="419"/>
        <w:spacing w:after="0" w:line="255" w:lineRule="auto"/>
        <w:tabs>
          <w:tab w:leader="none" w:pos="1148"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solely with the consent of the Required Revolving Lenders (but without the consent of the Required Lenders or any other Lender), any such agreement may, (x) if the Initial Term Loans are no longer outstanding,waive, amend or modify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the definition of “First Lien Leverage Ratio” or any component definition thereof, in each case, as any such definition is used solely for purposes of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or waive any Default or Event of Default in respect of </w:t>
      </w:r>
      <w:r>
        <w:rPr>
          <w:rFonts w:ascii="Times New Roman" w:cs="Times New Roman" w:eastAsia="Times New Roman" w:hAnsi="Times New Roman"/>
          <w:sz w:val="18"/>
          <w:szCs w:val="18"/>
          <w:u w:val="single" w:color="auto"/>
          <w:color w:val="auto"/>
        </w:rPr>
        <w:t>Section 6.15</w:t>
      </w:r>
      <w:r>
        <w:rPr>
          <w:rFonts w:ascii="Times New Roman" w:cs="Times New Roman" w:eastAsia="Times New Roman" w:hAnsi="Times New Roman"/>
          <w:sz w:val="18"/>
          <w:szCs w:val="18"/>
          <w:color w:val="auto"/>
        </w:rPr>
        <w:t xml:space="preserve"> (other than as permitted under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(y) waive, amend or modify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as it pertains to any Revolving Loan and/or Additional Revolving Loan and/or (z) waive any Default or Event of Default that results from any representation made or deemed made by any Loan Party in any Loan Document in connection with any Credit Extension under the Revolving Facility being untrue in any material respect as of the date made or deemed made;</w:t>
      </w:r>
    </w:p>
    <w:p>
      <w:pPr>
        <w:spacing w:after="0" w:line="80"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relevant Issuing Bank and,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the Administrative Agent, any such agreement may</w:t>
      </w:r>
    </w:p>
    <w:p>
      <w:pPr>
        <w:spacing w:after="0" w:line="27" w:lineRule="exact"/>
        <w:rPr>
          <w:rFonts w:ascii="Times New Roman" w:cs="Times New Roman" w:eastAsia="Times New Roman" w:hAnsi="Times New Roman"/>
          <w:sz w:val="18"/>
          <w:szCs w:val="18"/>
          <w:color w:val="auto"/>
        </w:rPr>
      </w:pPr>
    </w:p>
    <w:p>
      <w:pPr>
        <w:ind w:left="440" w:right="100" w:hanging="4"/>
        <w:spacing w:after="0" w:line="260" w:lineRule="auto"/>
        <w:tabs>
          <w:tab w:leader="none" w:pos="695"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 or decrease the Letter of Credit Sublimit or (y) waive, amend or modify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as it pertains to the issuance of any Letter of Credit by such Issuing Bank; and</w:t>
      </w:r>
    </w:p>
    <w:p>
      <w:pPr>
        <w:spacing w:after="0" w:line="73"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38" w:val="left"/>
        </w:tabs>
        <w:numPr>
          <w:ilvl w:val="1"/>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Borrower and applicable Class or Classes of Revolving Lenders and/or, if applicable, Issuing Banks, subject to the provisions of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this Agreement may be amended or otherwise modified to permit the availability of Revolving Loans and/or Letters of Credit denominated in a currency other than Dollars and to make technical changes to this Agreement and any other Loan Document to accommodate the inclusion of any such new currency;</w:t>
      </w:r>
    </w:p>
    <w:p>
      <w:pPr>
        <w:spacing w:after="0" w:line="18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no such agreement shall adversely amend, modify or otherwise affect the rights or duties of the Administrative Agent, any Issuing Bank or the Swingline Lender hereunder without the prior written consent of the Administrative Agent, such Issuing Bank or the Swingline Lender, as the case may be. The Administrative Agent may also amend the Commitment Schedule to reflect assignments entered into pursuant to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 xml:space="preserve">, Commitment reductions or terminations pursuant to </w:t>
      </w:r>
      <w:r>
        <w:rPr>
          <w:rFonts w:ascii="Times New Roman" w:cs="Times New Roman" w:eastAsia="Times New Roman" w:hAnsi="Times New Roman"/>
          <w:sz w:val="17"/>
          <w:szCs w:val="17"/>
          <w:u w:val="single" w:color="auto"/>
          <w:color w:val="auto"/>
        </w:rPr>
        <w:t>Section 2.09</w:t>
      </w:r>
      <w:r>
        <w:rPr>
          <w:rFonts w:ascii="Times New Roman" w:cs="Times New Roman" w:eastAsia="Times New Roman" w:hAnsi="Times New Roman"/>
          <w:sz w:val="17"/>
          <w:szCs w:val="17"/>
          <w:color w:val="auto"/>
        </w:rPr>
        <w:t>, incurrences of Additional Commitments or Additional Loans pursuant to</w:t>
      </w:r>
    </w:p>
    <w:p>
      <w:pPr>
        <w:spacing w:after="0" w:line="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 reductions or terminations of any such Additional Commitments or Additional Loans. Notwithstanding anything to the contrary herein, no Defaulting Lender shall have any right to approve or disapprove any amendment, waiver or consent hereunder,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Notwithstanding the foregoing, but without limiting the provisions of </w:t>
      </w:r>
      <w:r>
        <w:rPr>
          <w:rFonts w:ascii="Times New Roman" w:cs="Times New Roman" w:eastAsia="Times New Roman" w:hAnsi="Times New Roman"/>
          <w:sz w:val="18"/>
          <w:szCs w:val="18"/>
          <w:u w:val="single" w:color="auto"/>
          <w:color w:val="auto"/>
        </w:rPr>
        <w:t>Section 2.22(g)</w:t>
      </w:r>
      <w:r>
        <w:rPr>
          <w:rFonts w:ascii="Times New Roman" w:cs="Times New Roman" w:eastAsia="Times New Roman" w:hAnsi="Times New Roman"/>
          <w:sz w:val="18"/>
          <w:szCs w:val="18"/>
          <w:color w:val="auto"/>
        </w:rPr>
        <w:t>, 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80"/>
          </w:cols>
          <w:pgMar w:left="440" w:top="270" w:right="479" w:bottom="1440" w:gutter="0" w:footer="0" w:header="0"/>
        </w:sectPr>
      </w:pPr>
    </w:p>
    <w:bookmarkStart w:id="283" w:name="page284"/>
    <w:bookmarkEnd w:id="283"/>
    <w:p>
      <w:pPr>
        <w:ind w:left="540" w:hanging="532"/>
        <w:spacing w:after="0"/>
        <w:tabs>
          <w:tab w:leader="none" w:pos="54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this Agreement may be amended:</w:t>
      </w:r>
    </w:p>
    <w:p>
      <w:pPr>
        <w:spacing w:after="0" w:line="117" w:lineRule="exact"/>
        <w:rPr>
          <w:rFonts w:ascii="Times New Roman" w:cs="Times New Roman" w:eastAsia="Times New Roman" w:hAnsi="Times New Roman"/>
          <w:sz w:val="18"/>
          <w:szCs w:val="18"/>
          <w:color w:val="auto"/>
        </w:rPr>
      </w:pPr>
    </w:p>
    <w:p>
      <w:pPr>
        <w:ind w:left="20" w:right="280" w:firstLine="419"/>
        <w:spacing w:after="0" w:line="261" w:lineRule="auto"/>
        <w:tabs>
          <w:tab w:leader="none" w:pos="658"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Borrower and the Lenders providing the relevant Replacement Term Loans to permit the refinancing or replacement of all or any portion of the outstanding Term Loans under any applicable Class (any such loans being refinanced or replaced, the “</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with one or more replacement term loans hereunder (“</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560" w:right="60" w:firstLine="408"/>
        <w:spacing w:after="0" w:line="258" w:lineRule="auto"/>
        <w:tabs>
          <w:tab w:leader="none" w:pos="1256" w:val="left"/>
        </w:tabs>
        <w:numPr>
          <w:ilvl w:val="3"/>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Replacement Term Loans shall not exceed the aggregate principal amount of the Replaced Term Loans (plus (1) any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to the extent any such additional amounts are secured, the related Liens are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plus (2) the amount of accrued interest, penalties and premium (including any tender premium) thereon, any committed but undrawn amount and underwriting discounts, fees (including upfront fees, original issue discount or initial yield payments), commissions and expenses associated therewith),</w:t>
      </w:r>
    </w:p>
    <w:p>
      <w:pPr>
        <w:spacing w:after="0" w:line="75" w:lineRule="exact"/>
        <w:rPr>
          <w:rFonts w:ascii="Times New Roman" w:cs="Times New Roman" w:eastAsia="Times New Roman" w:hAnsi="Times New Roman"/>
          <w:sz w:val="18"/>
          <w:szCs w:val="18"/>
          <w:color w:val="auto"/>
        </w:rPr>
      </w:pPr>
    </w:p>
    <w:p>
      <w:pPr>
        <w:ind w:left="560" w:right="60" w:firstLine="408"/>
        <w:spacing w:after="0" w:line="272" w:lineRule="auto"/>
        <w:tabs>
          <w:tab w:leader="none" w:pos="1246" w:val="left"/>
        </w:tabs>
        <w:numPr>
          <w:ilvl w:val="3"/>
          <w:numId w:val="3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Permitted Earlier Maturity Indebtedness Exception, any Replacement Term Loans (other than (1) customary bridge loans with a maturity date not longer than one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ind w:left="5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(2) escrowed debt subject to a customary special mandatory redemption, (3) 364-day bridge loans, (4) Five Year Notes and</w:t>
      </w:r>
    </w:p>
    <w:p>
      <w:pPr>
        <w:spacing w:after="0" w:line="9" w:lineRule="exact"/>
        <w:rPr>
          <w:rFonts w:ascii="Times New Roman" w:cs="Times New Roman" w:eastAsia="Times New Roman" w:hAnsi="Times New Roman"/>
          <w:sz w:val="17"/>
          <w:szCs w:val="17"/>
          <w:color w:val="auto"/>
        </w:rPr>
      </w:pPr>
    </w:p>
    <w:p>
      <w:pPr>
        <w:ind w:left="560" w:firstLine="7"/>
        <w:spacing w:after="0" w:line="255" w:lineRule="auto"/>
        <w:tabs>
          <w:tab w:leader="none" w:pos="815" w:val="left"/>
        </w:tabs>
        <w:numPr>
          <w:ilvl w:val="2"/>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 or other convertible debt securities) must have a final maturity date that is equal to or later than the final maturity date of, and have a Weighted Average Life to Maturity equal to or greater than the remaining Weighted Average Life to Maturity of, the Replaced Term Loans at the time of the relevant refinancing,</w:t>
      </w:r>
    </w:p>
    <w:p>
      <w:pPr>
        <w:spacing w:after="0" w:line="77" w:lineRule="exact"/>
        <w:rPr>
          <w:rFonts w:ascii="Times New Roman" w:cs="Times New Roman" w:eastAsia="Times New Roman" w:hAnsi="Times New Roman"/>
          <w:sz w:val="18"/>
          <w:szCs w:val="18"/>
          <w:color w:val="auto"/>
        </w:rPr>
      </w:pPr>
    </w:p>
    <w:p>
      <w:pPr>
        <w:ind w:left="560" w:right="60" w:firstLine="408"/>
        <w:spacing w:after="0" w:line="258" w:lineRule="auto"/>
        <w:tabs>
          <w:tab w:leader="none" w:pos="1246" w:val="left"/>
        </w:tabs>
        <w:numPr>
          <w:ilvl w:val="3"/>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may be pari passu or junior in right of payment and pari passu (without regard to the control of remedies) or junior with respect to the Collateral with the remaining portion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Term Loans shall be subject to an Acceptable Intercreditor Agreement (including, for the avoidance of doubt, the waterfall provisions hereof) and may, at the option of the Borrower, be documented in a separate agreement or agreements), or be unsecured,</w:t>
      </w:r>
    </w:p>
    <w:p>
      <w:pPr>
        <w:spacing w:after="0" w:line="75" w:lineRule="exact"/>
        <w:rPr>
          <w:rFonts w:ascii="Times New Roman" w:cs="Times New Roman" w:eastAsia="Times New Roman" w:hAnsi="Times New Roman"/>
          <w:sz w:val="18"/>
          <w:szCs w:val="18"/>
          <w:color w:val="auto"/>
        </w:rPr>
      </w:pPr>
    </w:p>
    <w:p>
      <w:pPr>
        <w:ind w:left="560" w:right="400" w:firstLine="408"/>
        <w:spacing w:after="0" w:line="282" w:lineRule="auto"/>
        <w:tabs>
          <w:tab w:leader="none" w:pos="1256" w:val="left"/>
        </w:tabs>
        <w:numPr>
          <w:ilvl w:val="3"/>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secured, such Replacement Term Loans may not be secured by any assets other than the Collateral,</w:t>
      </w:r>
    </w:p>
    <w:p>
      <w:pPr>
        <w:spacing w:after="0" w:line="53" w:lineRule="exact"/>
        <w:rPr>
          <w:rFonts w:ascii="Times New Roman" w:cs="Times New Roman" w:eastAsia="Times New Roman" w:hAnsi="Times New Roman"/>
          <w:sz w:val="18"/>
          <w:szCs w:val="18"/>
          <w:color w:val="auto"/>
        </w:rPr>
      </w:pPr>
    </w:p>
    <w:p>
      <w:pPr>
        <w:ind w:left="560" w:right="120" w:firstLine="408"/>
        <w:spacing w:after="0" w:line="282" w:lineRule="auto"/>
        <w:tabs>
          <w:tab w:leader="none" w:pos="1236" w:val="left"/>
        </w:tabs>
        <w:numPr>
          <w:ilvl w:val="3"/>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guaranteed, such Replacement Term Loans may not be guaranteed by any Person other than one or more Loan Parties,</w:t>
      </w:r>
    </w:p>
    <w:p>
      <w:pPr>
        <w:spacing w:after="0" w:line="53" w:lineRule="exact"/>
        <w:rPr>
          <w:rFonts w:ascii="Times New Roman" w:cs="Times New Roman" w:eastAsia="Times New Roman" w:hAnsi="Times New Roman"/>
          <w:sz w:val="18"/>
          <w:szCs w:val="18"/>
          <w:color w:val="auto"/>
        </w:rPr>
      </w:pPr>
    </w:p>
    <w:p>
      <w:pPr>
        <w:ind w:left="1240" w:hanging="272"/>
        <w:spacing w:after="0"/>
        <w:tabs>
          <w:tab w:leader="none" w:pos="1240" w:val="left"/>
        </w:tabs>
        <w:numPr>
          <w:ilvl w:val="3"/>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that are pari passu with the Initial Term Loans in right of payment and security may participate</w:t>
      </w:r>
    </w:p>
    <w:p>
      <w:pPr>
        <w:spacing w:after="0" w:line="27" w:lineRule="exact"/>
        <w:rPr>
          <w:sz w:val="20"/>
          <w:szCs w:val="20"/>
          <w:color w:val="auto"/>
        </w:rPr>
      </w:pPr>
    </w:p>
    <w:p>
      <w:pPr>
        <w:ind w:left="560" w:right="160" w:firstLine="7"/>
        <w:spacing w:after="0" w:line="260" w:lineRule="auto"/>
        <w:tabs>
          <w:tab w:leader="none" w:pos="85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voluntary prepayment of Term Loans as set forth in </w:t>
      </w:r>
      <w:r>
        <w:rPr>
          <w:rFonts w:ascii="Times New Roman" w:cs="Times New Roman" w:eastAsia="Times New Roman" w:hAnsi="Times New Roman"/>
          <w:sz w:val="18"/>
          <w:szCs w:val="18"/>
          <w:u w:val="single" w:color="auto"/>
          <w:color w:val="auto"/>
        </w:rPr>
        <w:t>Section 2.11(a)(i)</w:t>
      </w:r>
      <w:r>
        <w:rPr>
          <w:rFonts w:ascii="Times New Roman" w:cs="Times New Roman" w:eastAsia="Times New Roman" w:hAnsi="Times New Roman"/>
          <w:sz w:val="18"/>
          <w:szCs w:val="18"/>
          <w:color w:val="auto"/>
        </w:rPr>
        <w:t xml:space="preserve"> and (B) in any mandatory prepayment of Term Loans as set forth in </w:t>
      </w:r>
      <w:r>
        <w:rPr>
          <w:rFonts w:ascii="Times New Roman" w:cs="Times New Roman" w:eastAsia="Times New Roman" w:hAnsi="Times New Roman"/>
          <w:sz w:val="18"/>
          <w:szCs w:val="18"/>
          <w:u w:val="single" w:color="auto"/>
          <w:color w:val="auto"/>
        </w:rPr>
        <w:t>Section 2.11(b)(vii)</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560" w:right="60" w:firstLine="408"/>
        <w:spacing w:after="0" w:line="266" w:lineRule="auto"/>
        <w:tabs>
          <w:tab w:leader="none" w:pos="1256" w:val="left"/>
        </w:tabs>
        <w:numPr>
          <w:ilvl w:val="1"/>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Term Loans shall have pricing (including interest, fees and premiums) and, subject to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optional prepayment and redemption terms and, subject to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amortization schedule, as the Borrower and the lenders providing such Replacement Term Loans may agree,</w:t>
      </w:r>
    </w:p>
    <w:p>
      <w:pPr>
        <w:spacing w:after="0" w:line="10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0600"/>
          </w:cols>
          <w:pgMar w:left="860" w:top="270" w:right="439" w:bottom="1440" w:gutter="0" w:footer="0" w:header="0"/>
        </w:sectPr>
      </w:pPr>
    </w:p>
    <w:bookmarkStart w:id="284" w:name="page285"/>
    <w:bookmarkEnd w:id="284"/>
    <w:p>
      <w:pPr>
        <w:ind w:left="540" w:right="20" w:firstLine="408"/>
        <w:spacing w:after="0" w:line="253" w:lineRule="auto"/>
        <w:tabs>
          <w:tab w:leader="none" w:pos="1236" w:val="left"/>
        </w:tabs>
        <w:numPr>
          <w:ilvl w:val="1"/>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covenants and events of default of any Replacement Term Loans (excluding pricing, interest, fees, rate floors, premiums, optional prepayment or redemption terms, security and maturity, subject to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shall be (i) substantially identical to, or (taken as a whole) not materially more favorable (as determined by the Borrower in good faith) to the lenders providing such Replacement Term Loans than, those applicable to the Replaced Term Loans (other than covenants or other provisions applicable only to periods after the latest Maturity Date of such Replaced Term Loans (in each case, as of the date of incurrence of such Replacement Term Loans)), (ii) then-current market terms (as determined by the Borrower in good faith at the time of incurrence or issuance (or the obtaining of a commitment with respect thereto)) for the applicable type of Indebtedness or (iii) reasonably acceptable to the Administrative Agent (it being agreed that covenants and events of default of any Replacement Term Loans that are more favorable to the lenders or the agent of such Replacement Term Loans than those contained in the Loan Documents and are then conformed (or added) to the Loan Documents pursuant to the applicable Refinancing Amendment shall thereafter be deemed acceptable to the Administrative Agent), and</w:t>
      </w:r>
    </w:p>
    <w:p>
      <w:pPr>
        <w:spacing w:after="0" w:line="191" w:lineRule="exact"/>
        <w:rPr>
          <w:rFonts w:ascii="Times New Roman" w:cs="Times New Roman" w:eastAsia="Times New Roman" w:hAnsi="Times New Roman"/>
          <w:sz w:val="18"/>
          <w:szCs w:val="18"/>
          <w:color w:val="auto"/>
        </w:rPr>
      </w:pPr>
    </w:p>
    <w:p>
      <w:pPr>
        <w:ind w:right="140" w:firstLine="419"/>
        <w:spacing w:after="0" w:line="261" w:lineRule="auto"/>
        <w:tabs>
          <w:tab w:leader="none" w:pos="688"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Borrower and the Lenders providing the relevant Replacement Revolving Facility to permit the refinancing or replacement of all or any portion of any Revolving Credit Commitment under the applicable Class (any such Revolving Credit Commitment being refinanced or replaced, a “</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with a replacement revolving facility hereunder (a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pursuant to a Refinancing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p>
    <w:p>
      <w:pPr>
        <w:spacing w:after="0" w:line="71" w:lineRule="exact"/>
        <w:rPr>
          <w:rFonts w:ascii="Times New Roman" w:cs="Times New Roman" w:eastAsia="Times New Roman" w:hAnsi="Times New Roman"/>
          <w:sz w:val="18"/>
          <w:szCs w:val="18"/>
          <w:color w:val="auto"/>
        </w:rPr>
      </w:pPr>
    </w:p>
    <w:p>
      <w:pPr>
        <w:ind w:left="540" w:right="240" w:firstLine="408"/>
        <w:spacing w:after="0" w:line="258" w:lineRule="auto"/>
        <w:tabs>
          <w:tab w:leader="none" w:pos="1236"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Replacement Revolving Facility shall not exceed the aggregate principal amount of the Replaced Revolving Facility (plus (x) any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to the extent any such additional amounts are secured, the related Liens are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(y) the amount of accrued interest, penalties and premium thereon, any committed but undrawn amounts and underwriting discounts, fees (including upfront fees and original issue discount), commissions and expenses associated therewith),</w:t>
      </w:r>
    </w:p>
    <w:p>
      <w:pPr>
        <w:spacing w:after="0" w:line="75"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26"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Replacement Revolving Facility (other than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may have a final maturity date (or require commitment reductions) prior to the final maturity date of the relevant Replaced Revolving Facility at the time of such refinancing,</w:t>
      </w:r>
    </w:p>
    <w:p>
      <w:pPr>
        <w:spacing w:after="0" w:line="71" w:lineRule="exact"/>
        <w:rPr>
          <w:rFonts w:ascii="Times New Roman" w:cs="Times New Roman" w:eastAsia="Times New Roman" w:hAnsi="Times New Roman"/>
          <w:sz w:val="18"/>
          <w:szCs w:val="18"/>
          <w:color w:val="auto"/>
        </w:rPr>
      </w:pPr>
    </w:p>
    <w:p>
      <w:pPr>
        <w:ind w:left="540" w:firstLine="408"/>
        <w:spacing w:after="0" w:line="261" w:lineRule="auto"/>
        <w:tabs>
          <w:tab w:leader="none" w:pos="1226"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Revolving Facility may be pari passu or junior in right of payment and pari passu (without regard to the control of remedies) or junior with respect to the Collateral with the remaining portion of any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Revolving Facility shall be subject to an Acceptable Intercreditor Agreement and may, at the option of the Borrower, be documented in a separate agreement or agreements), or be unsecured,</w:t>
      </w:r>
    </w:p>
    <w:p>
      <w:pPr>
        <w:spacing w:after="0" w:line="71"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secured, it may not be secured by any assets other than the Collateral,</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0540"/>
          </w:cols>
          <w:pgMar w:left="880" w:top="270" w:right="479" w:bottom="1440" w:gutter="0" w:footer="0" w:header="0"/>
        </w:sectPr>
      </w:pPr>
    </w:p>
    <w:bookmarkStart w:id="285" w:name="page286"/>
    <w:bookmarkEnd w:id="285"/>
    <w:p>
      <w:pPr>
        <w:ind w:left="1660" w:hanging="272"/>
        <w:spacing w:after="0"/>
        <w:tabs>
          <w:tab w:leader="none" w:pos="1660"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Replacement Revolving Facility is guaranteed, it may not be guaranteed by any Person other than one or more Loan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w:t>
      </w:r>
    </w:p>
    <w:p>
      <w:pPr>
        <w:spacing w:after="0" w:line="98" w:lineRule="exact"/>
        <w:rPr>
          <w:rFonts w:ascii="Times New Roman" w:cs="Times New Roman" w:eastAsia="Times New Roman" w:hAnsi="Times New Roman"/>
          <w:sz w:val="18"/>
          <w:szCs w:val="18"/>
          <w:color w:val="auto"/>
        </w:rPr>
      </w:pPr>
    </w:p>
    <w:p>
      <w:pPr>
        <w:ind w:left="980" w:firstLine="408"/>
        <w:spacing w:after="0" w:line="266" w:lineRule="auto"/>
        <w:tabs>
          <w:tab w:leader="none" w:pos="1646"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Revolving Facility shall be subject to the “ratability” provisions applicable to Extended Revolving Credit Commitments and Extended Revolving Loans set forth in the proviso to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 xml:space="preserve">, mutatis mutandis, to the same extent as if fully set forth in this </w:t>
      </w:r>
      <w:r>
        <w:rPr>
          <w:rFonts w:ascii="Times New Roman" w:cs="Times New Roman" w:eastAsia="Times New Roman" w:hAnsi="Times New Roman"/>
          <w:sz w:val="18"/>
          <w:szCs w:val="18"/>
          <w:u w:val="single" w:color="auto"/>
          <w:color w:val="auto"/>
        </w:rPr>
        <w:t>Section 10.02(c)(ii)</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980" w:right="220" w:firstLine="408"/>
        <w:spacing w:after="0" w:line="266" w:lineRule="auto"/>
        <w:tabs>
          <w:tab w:leader="none" w:pos="1676" w:val="left"/>
        </w:tabs>
        <w:numPr>
          <w:ilvl w:val="1"/>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Revolving Facility shall have pricing (including interest, fees and premiums) and, subject to the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optional prepayment and redemption terms as the Borrower and the lenders providing such Replacement Revolving Facility may agree,</w:t>
      </w:r>
    </w:p>
    <w:p>
      <w:pPr>
        <w:spacing w:after="0" w:line="67" w:lineRule="exact"/>
        <w:rPr>
          <w:rFonts w:ascii="Times New Roman" w:cs="Times New Roman" w:eastAsia="Times New Roman" w:hAnsi="Times New Roman"/>
          <w:sz w:val="18"/>
          <w:szCs w:val="18"/>
          <w:color w:val="auto"/>
        </w:rPr>
      </w:pPr>
    </w:p>
    <w:p>
      <w:pPr>
        <w:jc w:val="both"/>
        <w:ind w:left="980" w:right="600" w:firstLine="408"/>
        <w:spacing w:after="0" w:line="276" w:lineRule="auto"/>
        <w:tabs>
          <w:tab w:leader="none" w:pos="1676" w:val="left"/>
        </w:tabs>
        <w:numPr>
          <w:ilvl w:val="1"/>
          <w:numId w:val="3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covenants and events of default of any Replacement Revolving Facility (excluding pricing, interest, fees, rate floors, premiums, optional prepayment or redemption terms, security and maturity, subject to preceding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shall be</w:t>
      </w:r>
    </w:p>
    <w:p>
      <w:pPr>
        <w:ind w:left="980" w:right="100" w:firstLine="7"/>
        <w:spacing w:after="0" w:line="265" w:lineRule="auto"/>
        <w:tabs>
          <w:tab w:leader="none" w:pos="1195" w:val="left"/>
        </w:tabs>
        <w:numPr>
          <w:ilvl w:val="0"/>
          <w:numId w:val="3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identical to, or (taken as a whole) no more favorable (as determined by the Borrower in good faith)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the relevant Replacement Revolving Facility)), (ii) then-current market terms (as determined by the Borrower in good faith at the time of incurrence or issuance (or the obtaining of a commitment with respect thereto)) for the applicable type of Indebtedness or</w:t>
      </w:r>
    </w:p>
    <w:p>
      <w:pPr>
        <w:ind w:left="980" w:right="60" w:firstLine="7"/>
        <w:spacing w:after="0" w:line="253" w:lineRule="auto"/>
        <w:tabs>
          <w:tab w:leader="none" w:pos="1295"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acceptable to the Administrative Agent (it being agreed that covenants and events of default of any Replacement Revolving Facility that are more favorable to the lenders or the agent of such Replacement Revolving Facility than those contained in the Loan Documents and are then conformed (or added) to the Loan Documents pursuant to the applicable Refinancing Amendment shall be deemed acceptable to the Administrative Agent), and</w:t>
      </w:r>
    </w:p>
    <w:p>
      <w:pPr>
        <w:spacing w:after="0" w:line="80"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06" w:val="left"/>
        </w:tabs>
        <w:numPr>
          <w:ilvl w:val="1"/>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the Replaced Revolving Facility shall be terminated, and all loans outstanding thereunder and all fees then due and payable in connection therewith shall be paid in full, in each case on the date such Replacement Revolving Facility is implemented.</w:t>
      </w:r>
    </w:p>
    <w:p>
      <w:pPr>
        <w:spacing w:after="0" w:line="17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Each party hereto hereby agrees that, upon the effectiveness of any Refinancing Amendment, this Agreement shall be amended by the Borrower, the Administrative Agent and the lenders providing the relevant Replacement Term Loans or the Replacement Revolving Facility, as applicable, to the extent (but only to the extent) necessary to reflect the existence and terms of such Replacement Term Loans or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or any Replacement Revolving Facility may elect or decline, in its sole discretion, to provide such Replacement Term Loans or Replacement Revolving Facility.</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940"/>
          </w:cols>
          <w:pgMar w:left="440" w:top="270" w:right="519" w:bottom="1440" w:gutter="0" w:footer="0" w:header="0"/>
        </w:sectPr>
      </w:pPr>
    </w:p>
    <w:bookmarkStart w:id="286" w:name="page287"/>
    <w:bookmarkEnd w:id="286"/>
    <w:p>
      <w:pPr>
        <w:ind w:firstLine="436"/>
        <w:spacing w:after="0" w:line="251" w:lineRule="auto"/>
        <w:tabs>
          <w:tab w:leader="none" w:pos="69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contained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any other provision of this Agreement or any provision of any other Loan Document, (i) the Borrower, the Administrative Agent and the Collateral Agent may, without the input or consent of any Lender, amend, supplement and/or waive any guarantee, collateral security agreement, pledge agreement and/or related document (if any) executed in connection with this Agreement to (x) comply with any Requirements of Law or the advice of counsel or (y) cause any such guarantee, collateral security agreement, pledge agreement or other document to be consistent with this Agreement and/or the relevant other Loan Documents, (ii) the Borrower and the Administrative Agent may, without the input or consent of any other Lender (other than the relevant Lenders (including Additional Lenders) providing Loans under such Sections), effect amendments to this Agreement and the other Loan Documents as may be necessary in the reasonable opinion of the Borrower and the Administrative Agent to (A) effect the provisions of </w:t>
      </w:r>
      <w:r>
        <w:rPr>
          <w:rFonts w:ascii="Times New Roman" w:cs="Times New Roman" w:eastAsia="Times New Roman" w:hAnsi="Times New Roman"/>
          <w:sz w:val="18"/>
          <w:szCs w:val="18"/>
          <w:u w:val="single" w:color="auto"/>
          <w:color w:val="auto"/>
        </w:rPr>
        <w:t>Sections 1.04(a)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or any other provision specifying that any waiver, amendment or modification may be made with the consent or approval of the Administrative Agent and/or (B) add terms (including representations and warranties, conditions, prepayments, covenants or events of default), in connection with the addition of any Loan or Commitment hereunder or the incurrence of any Incremental Equivalent Debt, any Replacement Term Loans, any Replacement Revolving Facility, any Replacement Debt and/or any Refinancing Indebtedness incurred in reliance on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that are favorable to the then-existing Lenders, as reasonably determined by the Administrative Agent (it being understood that, where applicable, any such amendment may be effectuated as part of an Incremental Facility Amendment and/or a Refinancing Amendment), (iii) if the Administrative Agent and the Borrower have jointly identified any ambiguity, mistake, defect, inconsistency, obvious error or any error or omission of a technical or administrative nature or any necessary or desirable technical change, in each case, in any provision of any Loan Document, then the Administrative Agent and the Borrower shall be permitted to amend such provision solely to address such matter as reasonably determined by them acting jointly without the input or consent of any Lender, (iv) the Administrative Agent, the Collateral Agent and the Borrower may amend, restate, amend and restate or otherwise modify any Acceptable Intercreditor Agreement as provided therein or to give effect thereto or to carry out the purpose thereof without the input or consent of any Lender, (v) 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 and (vi) the Administrative Agent, the Collateral Agent and the Borrower may enter into amendments or other modifications to this Agreement or the other Loan Documents in accordance with and/or to effectuate the provisions of </w:t>
      </w:r>
      <w:r>
        <w:rPr>
          <w:rFonts w:ascii="Times New Roman" w:cs="Times New Roman" w:eastAsia="Times New Roman" w:hAnsi="Times New Roman"/>
          <w:sz w:val="18"/>
          <w:szCs w:val="18"/>
          <w:u w:val="single" w:color="auto"/>
          <w:color w:val="auto"/>
        </w:rPr>
        <w:t>Section 10.29</w:t>
      </w:r>
      <w:r>
        <w:rPr>
          <w:rFonts w:ascii="Times New Roman" w:cs="Times New Roman" w:eastAsia="Times New Roman" w:hAnsi="Times New Roman"/>
          <w:sz w:val="18"/>
          <w:szCs w:val="18"/>
          <w:color w:val="auto"/>
        </w:rPr>
        <w:t>.</w:t>
      </w:r>
    </w:p>
    <w:p>
      <w:pPr>
        <w:spacing w:after="0" w:line="204" w:lineRule="exact"/>
        <w:rPr>
          <w:rFonts w:ascii="Times New Roman" w:cs="Times New Roman" w:eastAsia="Times New Roman" w:hAnsi="Times New Roman"/>
          <w:sz w:val="18"/>
          <w:szCs w:val="18"/>
          <w:color w:val="auto"/>
        </w:rPr>
      </w:pPr>
    </w:p>
    <w:p>
      <w:pPr>
        <w:ind w:right="20" w:firstLine="436"/>
        <w:spacing w:after="0" w:line="252" w:lineRule="auto"/>
        <w:tabs>
          <w:tab w:leader="none" w:pos="68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other Loan Document or (C) directed or required the Administrative Agent, the Collateral Agent or any Lender to undertake any action (or refrain from taking any action) with respect to this Agreement or under any other Loan Document, any Lender (or any Affiliate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and such investors or equityholders are not the same investors or equityholders of such Lender)) (other than (x) any Lender that is a Regulated Bank, (y) any Revolving Lender as of the Signing Date or any Affiliate thereof or (z) any Affiliate of a Regulated Bank to the extent that (1) all of the equity of such Affiliate is directly or indirectly owned by either (I) such Regulated Bank or (II) a parent entity that also owns, directly or indirectly, all of the equity of such Regulated Bank and (2) such Affiliate is a securities broker or dealer registered with the SEC under section 15 of the Securities Exchange Act of 1934) that, as a result of its interest (or such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20"/>
          </w:cols>
          <w:pgMar w:left="440" w:top="270" w:right="439" w:bottom="1440" w:gutter="0" w:footer="0" w:header="0"/>
        </w:sectPr>
      </w:pPr>
    </w:p>
    <w:bookmarkStart w:id="287" w:name="page288"/>
    <w:bookmarkEnd w:id="287"/>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activities), has a net short position with respect to any of the Loans or Commitments, or with respect to any other tranche, class or series of Indebtedness for borrowed money incurred or issued by the Borrower or any of its Restricted Subsidiaries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17"/>
          <w:szCs w:val="17"/>
          <w:b w:val="1"/>
          <w:bCs w:val="1"/>
          <w:color w:val="auto"/>
        </w:rPr>
        <w:t>Specified Indebtedness</w:t>
      </w:r>
      <w:r>
        <w:rPr>
          <w:rFonts w:ascii="Times New Roman" w:cs="Times New Roman" w:eastAsia="Times New Roman" w:hAnsi="Times New Roman"/>
          <w:sz w:val="17"/>
          <w:szCs w:val="17"/>
          <w:color w:val="auto"/>
        </w:rPr>
        <w:t>”) (each such Lender, a “</w:t>
      </w:r>
      <w:r>
        <w:rPr>
          <w:rFonts w:ascii="Times New Roman" w:cs="Times New Roman" w:eastAsia="Times New Roman" w:hAnsi="Times New Roman"/>
          <w:sz w:val="17"/>
          <w:szCs w:val="17"/>
          <w:b w:val="1"/>
          <w:bCs w:val="1"/>
          <w:color w:val="auto"/>
        </w:rPr>
        <w:t>Net Short Lender</w:t>
      </w:r>
      <w:r>
        <w:rPr>
          <w:rFonts w:ascii="Times New Roman" w:cs="Times New Roman" w:eastAsia="Times New Roman" w:hAnsi="Times New Roman"/>
          <w:sz w:val="17"/>
          <w:szCs w:val="17"/>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For purposes of 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w:t>
      </w:r>
    </w:p>
    <w:p>
      <w:pPr>
        <w:ind w:left="4" w:right="40" w:hanging="4"/>
        <w:spacing w:after="0" w:line="265" w:lineRule="auto"/>
        <w:tabs>
          <w:tab w:leader="none" w:pos="269" w:val="left"/>
        </w:tabs>
        <w:numPr>
          <w:ilvl w:val="0"/>
          <w:numId w:val="3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any other Subsidiary or any instrument issued or guaranteed by the Borrower or any other Subsidiary shall not be deemed to create a short position with respect to such Specified Indebtedness, so long as (x) such index is not created, designed, administered or requested by such Lender or its Affiliates and (y) the Borrower and the other Subsidiaries and any instrument issued or guaranteed by the Borrower or the other Subsidiaries, collectively, shall represent less than 5% of the components of such index,</w:t>
      </w:r>
    </w:p>
    <w:p>
      <w:pPr>
        <w:ind w:left="4" w:hanging="4"/>
        <w:spacing w:after="0" w:line="251" w:lineRule="auto"/>
        <w:tabs>
          <w:tab w:leader="none" w:pos="309"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shall be deemed to create a short position with respect to the relevant Specified Indebtedness if such Lender or its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the Borrower or any other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the Borrower or any other Subsidiary, in each case, other than as part of an index so long as (x) such index is not created, designed, administered or requested by such Lender or its Affiliates and (y) the Borrower and the other Subsidiaries, and any instrument issued or guaranteed by the Borrower or the other Subsidiaries, collectively, shall represent less than 5% of the components of such index. In connection with any waiver, amendment or modification of this Agreement or the other Loan Documents, each Lender (other than any Lender that is a Regulated Bank or a Revolving Lender as of the Signing Date) will be deemed to have represented to the Borrower and the Administrative Agent that it does not constitute a Net Short Lender, in each case, unless such Lender shall have notified the Borrower and the Administrative Agent prior to the requested response date with respect to such waiver, amendment or modification that it constitutes a Net Short Lender (it being understood and agreed that the Borrower and the Administrative Agent shall be entitled to rely on each such representation and deemed representation). In no event shall the Administrative Agent be obligated to monitor as to whether any Lender is a Net Short Lender.</w:t>
      </w:r>
    </w:p>
    <w:p>
      <w:pPr>
        <w:spacing w:after="0" w:line="12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0984"/>
          </w:cols>
          <w:pgMar w:left="436" w:top="270" w:right="479" w:bottom="1440" w:gutter="0" w:footer="0" w:header="0"/>
        </w:sectPr>
      </w:pPr>
    </w:p>
    <w:bookmarkStart w:id="288" w:name="page289"/>
    <w:bookmarkEnd w:id="288"/>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10.03. </w:t>
      </w:r>
      <w:r>
        <w:rPr>
          <w:rFonts w:ascii="Times New Roman" w:cs="Times New Roman" w:eastAsia="Times New Roman" w:hAnsi="Times New Roman"/>
          <w:sz w:val="18"/>
          <w:szCs w:val="18"/>
          <w:u w:val="single" w:color="auto"/>
          <w:color w:val="auto"/>
        </w:rPr>
        <w:t>Expenses;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firstLine="436"/>
        <w:spacing w:after="0" w:line="268" w:lineRule="auto"/>
        <w:tabs>
          <w:tab w:leader="none" w:pos="665" w:val="left"/>
        </w:tabs>
        <w:numPr>
          <w:ilvl w:val="0"/>
          <w:numId w:val="3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10.05(f)</w:t>
      </w:r>
      <w:r>
        <w:rPr>
          <w:rFonts w:ascii="Times New Roman" w:cs="Times New Roman" w:eastAsia="Times New Roman" w:hAnsi="Times New Roman"/>
          <w:sz w:val="17"/>
          <w:szCs w:val="17"/>
          <w:color w:val="auto"/>
        </w:rPr>
        <w:t xml:space="preserve">, the Borrower shall pay (i) all reasonable and documented out-of-pocket expenses incurred by each Arranger, the Administrative Agent, the Collateral Agent and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(ii) all reasonable and documented out-of-pocket expenses incurred by the Administrative Agent, the Collateral Agent, the Arrangers,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Times New Roman" w:cs="Times New Roman" w:eastAsia="Times New Roman" w:hAnsi="Times New Roman"/>
          <w:sz w:val="17"/>
          <w:szCs w:val="17"/>
          <w:u w:val="single" w:color="auto"/>
          <w:color w:val="auto"/>
        </w:rPr>
        <w:t>paragraph (a)</w:t>
      </w:r>
      <w:r>
        <w:rPr>
          <w:rFonts w:ascii="Times New Roman" w:cs="Times New Roman" w:eastAsia="Times New Roman" w:hAnsi="Times New Roman"/>
          <w:sz w:val="17"/>
          <w:szCs w:val="17"/>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81" w:lineRule="exact"/>
        <w:rPr>
          <w:rFonts w:ascii="Times New Roman" w:cs="Times New Roman" w:eastAsia="Times New Roman" w:hAnsi="Times New Roman"/>
          <w:sz w:val="17"/>
          <w:szCs w:val="17"/>
          <w:color w:val="auto"/>
        </w:rPr>
      </w:pPr>
    </w:p>
    <w:p>
      <w:pPr>
        <w:ind w:left="-20" w:firstLine="436"/>
        <w:spacing w:after="0" w:line="252" w:lineRule="auto"/>
        <w:tabs>
          <w:tab w:leader="none" w:pos="675"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Arranger, the Administrative Agent, the Collateral Agent, each Issuing Bank,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after the affected Person notifies the Borrower of such conflict, (x) one additional counsel to all similarly situated affected Indemnitees taken as a whole and (y) one additional local counsel in any relevant material jurisdiction to all similarly situated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(except for Taxes, which shall be governed exclusively by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 the use of the proceeds of the Loans or any Letter of Credit or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its Related Party or, to the extent such judgment finds (or any such settlement agreement acknowledges) that any such loss, claim, damage or liability has resulted from such Person’s or a Related Party of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the Collateral Agent, any Issuing Bank or any Arranger, acting in its capacity as the Administrative Agent, as the Collateral Agent, as an Issuing Bank or as an Arranger) that does not involve any act or omission of the Borrower or any of its subsidiaries. Each Indemnitee shall be obligated to refund or return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960"/>
          </w:cols>
          <w:pgMar w:left="460" w:top="270" w:right="479" w:bottom="1440" w:gutter="0" w:footer="0" w:header="0"/>
        </w:sectPr>
      </w:pPr>
    </w:p>
    <w:bookmarkStart w:id="289" w:name="page290"/>
    <w:bookmarkEnd w:id="289"/>
    <w:p>
      <w:pPr>
        <w:ind w:right="2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and all amounts paid by the Borrower pursuant to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to such Indemnitee for any fees, expenses or damages to the extent such Indemnitee is not entitled to payment thereof in accordance with the terms hereof. All amounts due under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shall not apply with respect to Taxes other than any Taxes that represent losses, claims, damages or liabilities arising from any non-Tax claim.</w:t>
      </w:r>
    </w:p>
    <w:p>
      <w:pPr>
        <w:spacing w:after="0" w:line="187" w:lineRule="exact"/>
        <w:rPr>
          <w:sz w:val="20"/>
          <w:szCs w:val="20"/>
          <w:color w:val="auto"/>
        </w:rPr>
      </w:pPr>
    </w:p>
    <w:p>
      <w:pPr>
        <w:ind w:firstLine="436"/>
        <w:spacing w:after="0" w:line="254" w:lineRule="auto"/>
        <w:tabs>
          <w:tab w:leader="none" w:pos="685"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 liable for any settlement or compromise of, or the consent to the entry of any judgment with respect to, any proceeding effected without its consent (which consent shall not be unreasonably withheld, delayed or conditioned), but if any proceeding is so settled, compromised or consented to with the Borrower’s written consent, or if there is a final judgment entered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has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Waiver of Claim</w:t>
      </w:r>
      <w:r>
        <w:rPr>
          <w:rFonts w:ascii="Times New Roman" w:cs="Times New Roman" w:eastAsia="Times New Roman" w:hAnsi="Times New Roman"/>
          <w:sz w:val="18"/>
          <w:szCs w:val="18"/>
          <w:color w:val="auto"/>
        </w:rPr>
        <w:t xml:space="preserve">. To the extent permitted by applicable law, no party to this Agreement shall assert, and each hereby waives, any claim against any other party hereto, any other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the terms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with respect to the exercise of setoff rights in accordance with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as provided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and/or pursuant to any Permitted Reorganization,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(and any assignment or transfer (or attempted assignment or transfer) not complying with the terms of this Section or to any Disqualified Institution shall be 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Nothing in this Agreement, expressed or implied, shall be construed to confer upon any Person (other than the parties hereto, their respective successors and permitted assigns, Participants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00"/>
          </w:cols>
          <w:pgMar w:left="440" w:top="270" w:right="459" w:bottom="1440" w:gutter="0" w:footer="0" w:header="0"/>
        </w:sectPr>
      </w:pPr>
    </w:p>
    <w:bookmarkStart w:id="290" w:name="page291"/>
    <w:bookmarkEnd w:id="290"/>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Arrangers, the Administrative Agent, the Collateral Agent, the Issuing Banks and the Lenders) any legal or equitable right, remedy or claim under or by reason of this Agreement. Any Successor Borrower permitted pursuant to a transaction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proviso above, shall thereafter be deemed to be and become the “Borrower” for all purposes hereunder, and such initial Borrower, as applicable, shall, subject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be released from its Loan Document Obligations in respect of this Agreement and the other Loan Documents.</w:t>
      </w:r>
    </w:p>
    <w:p>
      <w:pPr>
        <w:spacing w:after="0" w:line="183" w:lineRule="exact"/>
        <w:rPr>
          <w:sz w:val="20"/>
          <w:szCs w:val="20"/>
          <w:color w:val="auto"/>
        </w:rPr>
      </w:pPr>
    </w:p>
    <w:p>
      <w:pPr>
        <w:ind w:right="40" w:firstLine="436"/>
        <w:spacing w:after="0" w:line="276" w:lineRule="auto"/>
        <w:tabs>
          <w:tab w:leader="none" w:pos="695" w:val="left"/>
        </w:tabs>
        <w:numPr>
          <w:ilvl w:val="0"/>
          <w:numId w:val="3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Subject to the conditions set forth in </w:t>
      </w:r>
      <w:r>
        <w:rPr>
          <w:rFonts w:ascii="Times New Roman" w:cs="Times New Roman" w:eastAsia="Times New Roman" w:hAnsi="Times New Roman"/>
          <w:sz w:val="17"/>
          <w:szCs w:val="17"/>
          <w:u w:val="single" w:color="auto"/>
          <w:color w:val="auto"/>
        </w:rPr>
        <w:t>paragraph (b)(ii)</w:t>
      </w:r>
      <w:r>
        <w:rPr>
          <w:rFonts w:ascii="Times New Roman" w:cs="Times New Roman" w:eastAsia="Times New Roman" w:hAnsi="Times New Roman"/>
          <w:sz w:val="17"/>
          <w:szCs w:val="17"/>
          <w:color w:val="auto"/>
        </w:rPr>
        <w:t xml:space="preserve"> below, any Lender may assign to one or more Eligible Assignees all or a portion of its rights and obligations under this Agreement (including all or a portion of any Additional Loan or Additional Commitment added pursuant to </w:t>
      </w:r>
      <w:r>
        <w:rPr>
          <w:rFonts w:ascii="Times New Roman" w:cs="Times New Roman" w:eastAsia="Times New Roman" w:hAnsi="Times New Roman"/>
          <w:sz w:val="17"/>
          <w:szCs w:val="17"/>
          <w:u w:val="single" w:color="auto"/>
          <w:color w:val="auto"/>
        </w:rPr>
        <w:t>Sections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at the time owing to it) with the prior written consent (not to be unreasonably withheld or delayed) of:</w:t>
      </w:r>
    </w:p>
    <w:p>
      <w:pPr>
        <w:spacing w:after="0" w:line="98" w:lineRule="exact"/>
        <w:rPr>
          <w:rFonts w:ascii="Times New Roman" w:cs="Times New Roman" w:eastAsia="Times New Roman" w:hAnsi="Times New Roman"/>
          <w:sz w:val="17"/>
          <w:szCs w:val="17"/>
          <w:color w:val="auto"/>
        </w:rPr>
      </w:pPr>
    </w:p>
    <w:p>
      <w:pPr>
        <w:ind w:left="980" w:right="180" w:firstLine="408"/>
        <w:spacing w:after="0" w:line="257" w:lineRule="auto"/>
        <w:tabs>
          <w:tab w:leader="none" w:pos="1676" w:val="left"/>
        </w:tabs>
        <w:numPr>
          <w:ilvl w:val="2"/>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assignment of funded Term Loans (other than any such assignment to a Disqualified Institution) if it has not responded to a written request for its consent from the Administrative Agent within 10 Business Days after receiving such written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Borrower shall be required</w:t>
      </w:r>
    </w:p>
    <w:p>
      <w:pPr>
        <w:spacing w:after="0" w:line="1" w:lineRule="exact"/>
        <w:rPr>
          <w:rFonts w:ascii="Times New Roman" w:cs="Times New Roman" w:eastAsia="Times New Roman" w:hAnsi="Times New Roman"/>
          <w:sz w:val="18"/>
          <w:szCs w:val="18"/>
          <w:color w:val="auto"/>
        </w:rPr>
      </w:pPr>
    </w:p>
    <w:p>
      <w:pPr>
        <w:ind w:left="980" w:firstLine="7"/>
        <w:spacing w:after="0" w:line="253" w:lineRule="auto"/>
        <w:tabs>
          <w:tab w:leader="none" w:pos="1235"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assignment of funded Term Loans to another Lender, an Affiliate of any Lender or an Approved Fund, (y) for any assignment of Revolving Loans or Revolving Credit Commitments to another Revolving Lender, an Affiliate of any Revolving Lender or an Approved Fund of a Revolving Lender (in the case of such Affiliate or Approved Fund, unless such Person does not have similar creditworthiness as the assigning Revolving Lender) or (z) for any assignment during the continuance of a Specified Event of Default;</w:t>
      </w:r>
    </w:p>
    <w:p>
      <w:pPr>
        <w:spacing w:after="0" w:line="80"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66"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any assignment to another Lender, any Affiliate of a Lender or any Approved Fund, or for any assignment to the Borrower and/or its Affiliates, which otherwise complies with the terms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Revolving Facility, each Issuing Bank and the Swingline Lender;</w:t>
      </w:r>
    </w:p>
    <w:p>
      <w:pPr>
        <w:spacing w:after="0" w:line="117" w:lineRule="exact"/>
        <w:rPr>
          <w:sz w:val="20"/>
          <w:szCs w:val="20"/>
          <w:color w:val="auto"/>
        </w:rPr>
      </w:pPr>
    </w:p>
    <w:p>
      <w:pPr>
        <w:jc w:val="both"/>
        <w:ind w:left="980"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assignments of Revolving Loans and/or Revolving Credit Commitments, it is understood and agreed that the Borrower may withhold its consent on account of the creditworthiness of any proposed assignee (as determined by the Borrower in good faith).</w:t>
      </w:r>
    </w:p>
    <w:p>
      <w:pPr>
        <w:spacing w:after="0" w:line="68" w:lineRule="exact"/>
        <w:rPr>
          <w:sz w:val="20"/>
          <w:szCs w:val="20"/>
          <w:color w:val="auto"/>
        </w:rPr>
      </w:pPr>
    </w:p>
    <w:p>
      <w:pPr>
        <w:ind w:left="1120" w:hanging="261"/>
        <w:spacing w:after="0"/>
        <w:tabs>
          <w:tab w:leader="none" w:pos="112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56" w:lineRule="auto"/>
        <w:tabs>
          <w:tab w:leader="none" w:pos="1676"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Trade Date and determined on an aggregate basis in the event of concurrent assignments to Related Funds or by Related Funds) shall not be less than (x) $1,000,000, in the case of Term Loans and Term Commitments and (y) $5,000,000 in the case of Revolving Loans and Revolving Credit Commitments unless the Borrower and the Administrative Agent otherwise consent to a lesser amount;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20"/>
          </w:cols>
          <w:pgMar w:left="440" w:top="270" w:right="439" w:bottom="1440" w:gutter="0" w:footer="0" w:header="0"/>
        </w:sectPr>
      </w:pPr>
    </w:p>
    <w:bookmarkStart w:id="291" w:name="page292"/>
    <w:bookmarkEnd w:id="291"/>
    <w:p>
      <w:pPr>
        <w:ind w:left="540" w:right="280" w:firstLine="408"/>
        <w:spacing w:after="0" w:line="282" w:lineRule="auto"/>
        <w:tabs>
          <w:tab w:leader="none" w:pos="122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partial assignment shall be made as an assignment of a proportionate part of all the relevant assigning Lender’s rights and obligations under this Agreement;</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2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which fee shall not apply for any assignment to an Affiliated Lender); and</w:t>
      </w:r>
    </w:p>
    <w:p>
      <w:pPr>
        <w:spacing w:after="0" w:line="71" w:lineRule="exact"/>
        <w:rPr>
          <w:rFonts w:ascii="Times New Roman" w:cs="Times New Roman" w:eastAsia="Times New Roman" w:hAnsi="Times New Roman"/>
          <w:sz w:val="18"/>
          <w:szCs w:val="18"/>
          <w:color w:val="auto"/>
        </w:rPr>
      </w:pPr>
    </w:p>
    <w:p>
      <w:pPr>
        <w:ind w:left="540" w:right="160" w:firstLine="408"/>
        <w:spacing w:after="0" w:line="266" w:lineRule="auto"/>
        <w:tabs>
          <w:tab w:leader="none" w:pos="1236"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relevant Eligible Assignee, if it is not a Lender, shall deliver on or prior to the effective date of such assignment, to the Administrative Agent (irrespective of whether an Event of Default exists) (1) an Administrative Questionnaire and (2) any form required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0" w:firstLine="419"/>
        <w:spacing w:after="0" w:line="253" w:lineRule="auto"/>
        <w:tabs>
          <w:tab w:leader="none" w:pos="738"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subject to the acceptance and recording thereof pursuant to </w:t>
      </w:r>
      <w:r>
        <w:rPr>
          <w:rFonts w:ascii="Times New Roman" w:cs="Times New Roman" w:eastAsia="Times New Roman" w:hAnsi="Times New Roman"/>
          <w:sz w:val="18"/>
          <w:szCs w:val="18"/>
          <w:u w:val="single" w:color="auto"/>
          <w:color w:val="auto"/>
        </w:rPr>
        <w:t>paragraph (b)(iv)</w:t>
      </w:r>
      <w:r>
        <w:rPr>
          <w:rFonts w:ascii="Times New Roman" w:cs="Times New Roman" w:eastAsia="Times New Roman" w:hAnsi="Times New Roman"/>
          <w:sz w:val="18"/>
          <w:szCs w:val="18"/>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with respect to facts and circumstances occurring on or prior to the effective date of such assignment and (B) subject to its obligations thereunder and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81" w:lineRule="exact"/>
        <w:rPr>
          <w:rFonts w:ascii="Times New Roman" w:cs="Times New Roman" w:eastAsia="Times New Roman" w:hAnsi="Times New Roman"/>
          <w:sz w:val="18"/>
          <w:szCs w:val="18"/>
          <w:color w:val="auto"/>
        </w:rPr>
      </w:pPr>
    </w:p>
    <w:p>
      <w:pPr>
        <w:ind w:firstLine="419"/>
        <w:spacing w:after="0" w:line="254" w:lineRule="auto"/>
        <w:tabs>
          <w:tab w:leader="none" w:pos="728"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an agent of the Borrower, shall maintain at one of its offices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Collateral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(with respect to Revolving Loans) and each Lender (but only as to its own holdings), at any reasonable time and from time to time upon reasonable prior notice.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0560"/>
          </w:cols>
          <w:pgMar w:left="880" w:top="270" w:right="459" w:bottom="1440" w:gutter="0" w:footer="0" w:header="0"/>
        </w:sectPr>
      </w:pPr>
    </w:p>
    <w:bookmarkStart w:id="292" w:name="page293"/>
    <w:bookmarkEnd w:id="292"/>
    <w:p>
      <w:pPr>
        <w:ind w:left="440" w:right="120" w:firstLine="419"/>
        <w:spacing w:after="0" w:line="256" w:lineRule="auto"/>
        <w:tabs>
          <w:tab w:leader="none" w:pos="1118"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its receipt of a duly completed Assignment Agreement executed by an assigning Lender and an Eligible Assignee, the Eligible Assignee’s completed Administrative Questionnaire and any tax certification required by </w:t>
      </w:r>
      <w:r>
        <w:rPr>
          <w:rFonts w:ascii="Times New Roman" w:cs="Times New Roman" w:eastAsia="Times New Roman" w:hAnsi="Times New Roman"/>
          <w:sz w:val="18"/>
          <w:szCs w:val="18"/>
          <w:u w:val="single" w:color="auto"/>
          <w:color w:val="auto"/>
        </w:rPr>
        <w:t>paragraph (b)(ii)(D)(2)</w:t>
      </w:r>
      <w:r>
        <w:rPr>
          <w:rFonts w:ascii="Times New Roman" w:cs="Times New Roman" w:eastAsia="Times New Roman" w:hAnsi="Times New Roman"/>
          <w:sz w:val="18"/>
          <w:szCs w:val="18"/>
          <w:color w:val="auto"/>
        </w:rPr>
        <w:t xml:space="preserve"> of this Section,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if applicable, and any written consent to the relevant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79" w:lineRule="exact"/>
        <w:rPr>
          <w:rFonts w:ascii="Times New Roman" w:cs="Times New Roman" w:eastAsia="Times New Roman" w:hAnsi="Times New Roman"/>
          <w:sz w:val="18"/>
          <w:szCs w:val="18"/>
          <w:color w:val="auto"/>
        </w:rPr>
      </w:pPr>
    </w:p>
    <w:p>
      <w:pPr>
        <w:ind w:left="440" w:firstLine="419"/>
        <w:spacing w:after="0" w:line="252" w:lineRule="auto"/>
        <w:tabs>
          <w:tab w:leader="none" w:pos="1168"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executing and delivering an Assignment Agreement, the assigning Lender and the Eligible Assignee thereunder shall be deemed to confirm and agree with each other and the other parties hereto as follows: (A) such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such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such assignee represents and warrants that it is an Eligible Assignee (and not a Disqualified Institution), legally authorized to enter into such Assignment Agreement; (D) such assignee confirms that it has received a copy of this Agreement and each then-applicable Acceptable Intercreditor Agreement, together with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such other documents and information as it has deemed appropriate to make its own credit analysis and decision to enter into such Assignment Agreement; (E) such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such assignee appoints and authorizes the Administrative Agent and the Collateral Agent to take such action as agent on its behalf and to exercise such powers under this Agreement as are delegated to the Administrative Agent and the Collateral Agent, by the terms hereof, together with such powers as are reasonably incidental thereto; and (G) such assignee agrees that it will perform in accordance with their terms all the obligations which by the terms of this Agreement are required to be performed by it as a Lender.</w:t>
      </w:r>
    </w:p>
    <w:p>
      <w:pPr>
        <w:spacing w:after="0" w:line="190" w:lineRule="exact"/>
        <w:rPr>
          <w:rFonts w:ascii="Times New Roman" w:cs="Times New Roman" w:eastAsia="Times New Roman" w:hAnsi="Times New Roman"/>
          <w:sz w:val="18"/>
          <w:szCs w:val="18"/>
          <w:color w:val="auto"/>
        </w:rPr>
      </w:pPr>
    </w:p>
    <w:p>
      <w:pPr>
        <w:ind w:right="140" w:firstLine="436"/>
        <w:spacing w:after="0" w:line="254" w:lineRule="auto"/>
        <w:tabs>
          <w:tab w:leader="none" w:pos="685"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the Administrative Agent, the Collateral Agent, any Issuing Bank, the Swingline Lender or any other Lender, sell participations to any bank or other entity (other than to any Disqualified Institution, any Defaulting Lender or any natural Person or any investment vehicle established primarily for the benefit of a natural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Collateral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00"/>
          </w:cols>
          <w:pgMar w:left="440" w:top="270" w:right="459" w:bottom="1440" w:gutter="0" w:footer="0" w:header="0"/>
        </w:sectPr>
      </w:pPr>
    </w:p>
    <w:bookmarkStart w:id="293" w:name="page294"/>
    <w:bookmarkEnd w:id="293"/>
    <w:p>
      <w:pPr>
        <w:ind w:left="4"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 modification or waiver of any provision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relevant Participant, agree to any amendment, modification or waiver described in (x)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the first proviso to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that directly and adversely affects the Loans or commitments in which such Participant has an interest and (y) </w:t>
      </w:r>
      <w:r>
        <w:rPr>
          <w:rFonts w:ascii="Times New Roman" w:cs="Times New Roman" w:eastAsia="Times New Roman" w:hAnsi="Times New Roman"/>
          <w:sz w:val="17"/>
          <w:szCs w:val="17"/>
          <w:u w:val="single" w:color="auto"/>
          <w:color w:val="auto"/>
        </w:rPr>
        <w:t>clauses (B)(1)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or</w:t>
      </w:r>
    </w:p>
    <w:p>
      <w:pPr>
        <w:spacing w:after="0" w:line="2" w:lineRule="exact"/>
        <w:rPr>
          <w:sz w:val="20"/>
          <w:szCs w:val="20"/>
          <w:color w:val="auto"/>
        </w:rPr>
      </w:pPr>
    </w:p>
    <w:p>
      <w:pPr>
        <w:ind w:left="4" w:right="60" w:hanging="4"/>
        <w:spacing w:after="0" w:line="270" w:lineRule="auto"/>
        <w:tabs>
          <w:tab w:leader="none" w:pos="259" w:val="left"/>
        </w:tabs>
        <w:numPr>
          <w:ilvl w:val="0"/>
          <w:numId w:val="404"/>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of the first proviso to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paragraph (c)(ii)</w:t>
      </w:r>
      <w:r>
        <w:rPr>
          <w:rFonts w:ascii="Times New Roman" w:cs="Times New Roman" w:eastAsia="Times New Roman" w:hAnsi="Times New Roman"/>
          <w:sz w:val="17"/>
          <w:szCs w:val="17"/>
          <w:color w:val="auto"/>
        </w:rPr>
        <w:t xml:space="preserve"> of this Section, the Borrower agrees that each Participant shall be entitled to the benefits of </w:t>
      </w:r>
      <w:r>
        <w:rPr>
          <w:rFonts w:ascii="Times New Roman" w:cs="Times New Roman" w:eastAsia="Times New Roman" w:hAnsi="Times New Roman"/>
          <w:sz w:val="17"/>
          <w:szCs w:val="17"/>
          <w:u w:val="single" w:color="auto"/>
          <w:color w:val="auto"/>
        </w:rPr>
        <w:t>Sections 2.15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2.17</w:t>
      </w:r>
      <w:r>
        <w:rPr>
          <w:rFonts w:ascii="Times New Roman" w:cs="Times New Roman" w:eastAsia="Times New Roman" w:hAnsi="Times New Roman"/>
          <w:sz w:val="17"/>
          <w:szCs w:val="17"/>
          <w:color w:val="auto"/>
        </w:rPr>
        <w:t xml:space="preserve"> (subject to the limitations and requirements of such Sections and </w:t>
      </w:r>
      <w:r>
        <w:rPr>
          <w:rFonts w:ascii="Times New Roman" w:cs="Times New Roman" w:eastAsia="Times New Roman" w:hAnsi="Times New Roman"/>
          <w:sz w:val="17"/>
          <w:szCs w:val="17"/>
          <w:u w:val="single" w:color="auto"/>
          <w:color w:val="auto"/>
        </w:rPr>
        <w:t>Section 2.19</w:t>
      </w:r>
      <w:r>
        <w:rPr>
          <w:rFonts w:ascii="Times New Roman" w:cs="Times New Roman" w:eastAsia="Times New Roman" w:hAnsi="Times New Roman"/>
          <w:sz w:val="17"/>
          <w:szCs w:val="17"/>
          <w:color w:val="auto"/>
        </w:rPr>
        <w:t xml:space="preserve">) to the same extent as if it were a Lender and had acquired its interest by assignment pursuant to </w:t>
      </w:r>
      <w:r>
        <w:rPr>
          <w:rFonts w:ascii="Times New Roman" w:cs="Times New Roman" w:eastAsia="Times New Roman" w:hAnsi="Times New Roman"/>
          <w:sz w:val="17"/>
          <w:szCs w:val="17"/>
          <w:u w:val="single" w:color="auto"/>
          <w:color w:val="auto"/>
        </w:rPr>
        <w:t>paragraph (b)</w:t>
      </w:r>
      <w:r>
        <w:rPr>
          <w:rFonts w:ascii="Times New Roman" w:cs="Times New Roman" w:eastAsia="Times New Roman" w:hAnsi="Times New Roman"/>
          <w:sz w:val="17"/>
          <w:szCs w:val="17"/>
          <w:color w:val="auto"/>
        </w:rPr>
        <w:t xml:space="preserve"> of this Section (it being understood that the documentation required under </w:t>
      </w:r>
      <w:r>
        <w:rPr>
          <w:rFonts w:ascii="Times New Roman" w:cs="Times New Roman" w:eastAsia="Times New Roman" w:hAnsi="Times New Roman"/>
          <w:sz w:val="17"/>
          <w:szCs w:val="17"/>
          <w:u w:val="single" w:color="auto"/>
          <w:color w:val="auto"/>
        </w:rPr>
        <w:t>Section 2.17(f)</w:t>
      </w:r>
      <w:r>
        <w:rPr>
          <w:rFonts w:ascii="Times New Roman" w:cs="Times New Roman" w:eastAsia="Times New Roman" w:hAnsi="Times New Roman"/>
          <w:sz w:val="17"/>
          <w:szCs w:val="17"/>
          <w:color w:val="auto"/>
        </w:rPr>
        <w:t xml:space="preserve"> shall be delivered solely to the participating Lender, and if additional amounts are required to be paid to the Participant pursuant to </w:t>
      </w:r>
      <w:r>
        <w:rPr>
          <w:rFonts w:ascii="Times New Roman" w:cs="Times New Roman" w:eastAsia="Times New Roman" w:hAnsi="Times New Roman"/>
          <w:sz w:val="17"/>
          <w:szCs w:val="17"/>
          <w:u w:val="single" w:color="auto"/>
          <w:color w:val="auto"/>
        </w:rPr>
        <w:t>Section 2.17(a)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2.17(c)</w:t>
      </w:r>
      <w:r>
        <w:rPr>
          <w:rFonts w:ascii="Times New Roman" w:cs="Times New Roman" w:eastAsia="Times New Roman" w:hAnsi="Times New Roman"/>
          <w:sz w:val="17"/>
          <w:szCs w:val="17"/>
          <w:color w:val="auto"/>
        </w:rPr>
        <w:t xml:space="preserve">, to the Borrower). To the extent permitted by applicable Requirements of Law, each Participant also shall be entitled to the benefits of </w:t>
      </w:r>
      <w:r>
        <w:rPr>
          <w:rFonts w:ascii="Times New Roman" w:cs="Times New Roman" w:eastAsia="Times New Roman" w:hAnsi="Times New Roman"/>
          <w:sz w:val="17"/>
          <w:szCs w:val="17"/>
          <w:u w:val="single" w:color="auto"/>
          <w:color w:val="auto"/>
        </w:rPr>
        <w:t>Section 10.09</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Participant shall be subject to </w:t>
      </w:r>
      <w:r>
        <w:rPr>
          <w:rFonts w:ascii="Times New Roman" w:cs="Times New Roman" w:eastAsia="Times New Roman" w:hAnsi="Times New Roman"/>
          <w:sz w:val="17"/>
          <w:szCs w:val="17"/>
          <w:u w:val="single" w:color="auto"/>
          <w:color w:val="auto"/>
        </w:rPr>
        <w:t>Section 2.18(c)</w:t>
      </w:r>
      <w:r>
        <w:rPr>
          <w:rFonts w:ascii="Times New Roman" w:cs="Times New Roman" w:eastAsia="Times New Roman" w:hAnsi="Times New Roman"/>
          <w:sz w:val="17"/>
          <w:szCs w:val="17"/>
          <w:color w:val="auto"/>
        </w:rPr>
        <w:t xml:space="preserve"> as though it were a Lender.</w:t>
      </w:r>
    </w:p>
    <w:p>
      <w:pPr>
        <w:spacing w:after="0" w:line="66" w:lineRule="exact"/>
        <w:rPr>
          <w:rFonts w:ascii="Times New Roman" w:cs="Times New Roman" w:eastAsia="Times New Roman" w:hAnsi="Times New Roman"/>
          <w:sz w:val="17"/>
          <w:szCs w:val="17"/>
          <w:u w:val="single" w:color="auto"/>
          <w:color w:val="auto"/>
        </w:rPr>
      </w:pPr>
    </w:p>
    <w:p>
      <w:pPr>
        <w:jc w:val="both"/>
        <w:ind w:left="444" w:right="20" w:firstLine="419"/>
        <w:spacing w:after="0" w:line="266" w:lineRule="auto"/>
        <w:tabs>
          <w:tab w:leader="none" w:pos="1082" w:val="left"/>
        </w:tabs>
        <w:numPr>
          <w:ilvl w:val="1"/>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Participant shall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76" w:lineRule="exact"/>
        <w:rPr>
          <w:sz w:val="20"/>
          <w:szCs w:val="20"/>
          <w:color w:val="auto"/>
        </w:rPr>
      </w:pPr>
    </w:p>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their respective successors and assigns,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w:t>
      </w:r>
    </w:p>
    <w:p>
      <w:pPr>
        <w:spacing w:after="0" w:line="5"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189" w:lineRule="exact"/>
        <w:rPr>
          <w:sz w:val="20"/>
          <w:szCs w:val="20"/>
          <w:color w:val="auto"/>
        </w:rPr>
      </w:pPr>
    </w:p>
    <w:p>
      <w:pPr>
        <w:ind w:left="4" w:right="220" w:firstLine="436"/>
        <w:spacing w:after="0" w:line="258" w:lineRule="auto"/>
        <w:tabs>
          <w:tab w:leader="none" w:pos="69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(other than to any Disqualified Institution, Defaulting Lender or any natural person) to secure obligations of such Lender, including without limitation any pledge or assignment to secure obligations to any Federal Reserve Bank or other central bank having jurisdiction over such Lender, and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any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left="4" w:right="20" w:firstLine="436"/>
        <w:spacing w:after="0" w:line="259" w:lineRule="auto"/>
        <w:tabs>
          <w:tab w:leader="none" w:pos="689"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(ii) if an SPC elects not to exercise such option or otherwise fails to provide all or any part of such Loan, the Granting Lender shall be obligated to make such Loan</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0984"/>
          </w:cols>
          <w:pgMar w:left="436" w:top="270" w:right="479" w:bottom="1440" w:gutter="0" w:footer="0" w:header="0"/>
        </w:sectPr>
      </w:pPr>
    </w:p>
    <w:bookmarkStart w:id="294" w:name="page295"/>
    <w:bookmarkEnd w:id="29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pursuant to the terms hereof and (iii) in no event may any Lender grant any option to provide to the Borrower all or any part of any Loan that such Granting Lender would have otherwise been obligated to make to the Borrower pursuant to this Agreement to any Disqualified Institution or Defaulting Lender. The making of any Loan by an SPC hereunder shall utilize the Commitment of the Granting Lender to the same extent, and as if, such Loan were made by such Granting Lender. Each party hereto hereby agrees that (i) an SPC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(subject to the limitations and requirements of such Sections and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it being understood that any documentation required to be provided by SPC under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shall be provided solely to the Granting Lender and if additional amounts are required to be paid to the Participant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to the Borrower)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(ii)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no SPC shall be entitled to any greater amount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is not limited to what the Granting Lender would have been entitled to receive absent the grant to the SPC, (iii) no SPC shall be liable for any indemnity or similar payment obligation under this Agreement (all liability for which shall remain with the Granting Lender) and (iv)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guarantee or credit or liquidity enhancement to such SPC.</w:t>
      </w:r>
    </w:p>
    <w:p>
      <w:pPr>
        <w:spacing w:after="0" w:line="204" w:lineRule="exact"/>
        <w:rPr>
          <w:sz w:val="20"/>
          <w:szCs w:val="20"/>
          <w:color w:val="auto"/>
        </w:rPr>
      </w:pPr>
    </w:p>
    <w:p>
      <w:pPr>
        <w:ind w:left="660" w:hanging="224"/>
        <w:spacing w:after="0"/>
        <w:tabs>
          <w:tab w:leader="none" w:pos="660"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assignment or participation is made (A) by a Lender without the Borrower’s consent to any Disqualified Institution or</w:t>
      </w:r>
    </w:p>
    <w:p>
      <w:pPr>
        <w:spacing w:after="0" w:line="27" w:lineRule="exact"/>
        <w:rPr>
          <w:rFonts w:ascii="Times New Roman" w:cs="Times New Roman" w:eastAsia="Times New Roman" w:hAnsi="Times New Roman"/>
          <w:sz w:val="18"/>
          <w:szCs w:val="18"/>
          <w:color w:val="auto"/>
        </w:rPr>
      </w:pPr>
    </w:p>
    <w:p>
      <w:pPr>
        <w:ind w:left="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by a Lender without the Borrower’s consent, to the extent the Borrower’s consent is required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to any Person (any such Disqualified Institution and/or such Person referred to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then, such assignment shall not be null and void, but (x) such Disqualified Person shall not be entitled to the benefit of any expense reimbursement or indemnification provisions of the Loan Documents (including without limitation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hereof) and (y) the Borrower may, at its sole expense and effort, upon notice to such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00"/>
          </w:cols>
          <w:pgMar w:left="440" w:top="270" w:right="459" w:bottom="1440" w:gutter="0" w:footer="0" w:header="0"/>
        </w:sectPr>
      </w:pPr>
    </w:p>
    <w:bookmarkStart w:id="295" w:name="page296"/>
    <w:bookmarkEnd w:id="295"/>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lesser of (x) the amount that such Disqualified Person paid to acquire such Term Loans and (y) par, plus accrued interest thereon, but excluding any premium, penalty, prepayment fee or breakage costs and/or (C) require that such Disqualified Person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all of its interests, rights and obligations under this Agreement to one or more Eligible Assignees (and if such Person does not execute and deliver to the Administrative Agent a duly executed assignment agreement reflecting such assignment within five Business Days of the date on which such Eligible Assignee executes and delivers such assignment agreement to such Person, then such Person shall be deemed to have executed and delivered such assignment agreement without any action on its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assignment shall otherwise comply with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(except that no registration and processing fee required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required with any assignment pursuant to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Borrower shall not be liable to any Person for breakage costs. Further, any Disqualified Person identified by the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(B)(x) shall not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any Agent or any Lender to undertake any action (or refrain from taking any action) with respect to or under any Loan Document, have a right to consent (or not consent), otherwise act or direct or require any Agent or any Lender to take (or refrain from taking) any such action; it being understood that all Loans held by any Disqualified Person shall be deemed to be not outstanding for all purposes of calculating whether the Required Lenders or other applicable Lenders have taken any action and (y) shall be deemed to vote in the same proportion as Lenders that are not Disqualified Persons in any proceeding under any Debtor Relief Law commenced by or against the Borrower or any other Loan Party and (C) shall not be entitled to receive the benefits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The rights and remedies available to the Borrower pursuant to the foregoing provisions of this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shall be in addition to injunctive relief (without posting a bond or presenting evidence of irreparable harm) or any other remedies available to the Borrower and/or the Borrower at law or in equity; it being understood and agreed that the Borrower and its subsidiaries will suffer irreparable harm if any Lender breaches any obligation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as it relates to any assignment, participation or pledge of any Loan or Commitment to any Person to whom the Borrower’s consent is required but not obtained. Nothing in this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shall be deemed to prejudice any right or remedy that the Borrower or the Borrower may otherwise have at law or equity.</w:t>
      </w:r>
    </w:p>
    <w:p>
      <w:pPr>
        <w:spacing w:after="0" w:line="96" w:lineRule="exact"/>
        <w:rPr>
          <w:sz w:val="20"/>
          <w:szCs w:val="20"/>
          <w:color w:val="auto"/>
        </w:rPr>
      </w:pPr>
    </w:p>
    <w:p>
      <w:pPr>
        <w:ind w:right="120" w:firstLine="419"/>
        <w:spacing w:after="0" w:line="261" w:lineRule="auto"/>
        <w:tabs>
          <w:tab w:leader="none" w:pos="738"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any Lender, the Administrative Agent may and the Borrower will make the list of Disqualified Institutions (for the avoidance of doubt, the written list of entities, not Affiliates included in the definition thereof that are not listed) available to such Lender solely for purposes of determining whether any potential assignee or participant is a Disqualified Institution, in each case so long as such Lender and such potential assignee or participant agree to keep such information confidential in accordance with the terms hereof.</w:t>
      </w:r>
    </w:p>
    <w:p>
      <w:pPr>
        <w:spacing w:after="0" w:line="71" w:lineRule="exact"/>
        <w:rPr>
          <w:rFonts w:ascii="Times New Roman" w:cs="Times New Roman" w:eastAsia="Times New Roman" w:hAnsi="Times New Roman"/>
          <w:sz w:val="18"/>
          <w:szCs w:val="18"/>
          <w:color w:val="auto"/>
        </w:rPr>
      </w:pPr>
    </w:p>
    <w:p>
      <w:pPr>
        <w:ind w:firstLine="419"/>
        <w:spacing w:after="0" w:line="312" w:lineRule="auto"/>
        <w:tabs>
          <w:tab w:leader="none" w:pos="728" w:val="left"/>
        </w:tabs>
        <w:numPr>
          <w:ilvl w:val="0"/>
          <w:numId w:val="4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Administrative Agent shall not be responsible or have any liability for, or have any duty to ascertain, inquire into, monitor or enforce, compliance with the provisions hereof relating to Disqualified Institutions or Net Short Lenders.</w:t>
      </w:r>
    </w:p>
    <w:p>
      <w:pPr>
        <w:spacing w:after="0" w:line="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0560"/>
          </w:cols>
          <w:pgMar w:left="880" w:top="270" w:right="459" w:bottom="1440" w:gutter="0" w:footer="0" w:header="0"/>
        </w:sectPr>
      </w:pPr>
    </w:p>
    <w:bookmarkStart w:id="296" w:name="page297"/>
    <w:bookmarkEnd w:id="296"/>
    <w:p>
      <w:pPr>
        <w:ind w:firstLine="436"/>
        <w:spacing w:after="0" w:line="256" w:lineRule="auto"/>
        <w:tabs>
          <w:tab w:leader="none" w:pos="69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contained herein, any Lender may, at any time, assign all or a portion of its rights and obligations under this Agreement in respect of its Term Loans to an Affiliated Lender on a non-pro rata basis (A) through Dutch Auctions, or similar transactions pursuant to procedures to be established by the applicable “auction agent” that are consistent with this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in each case open to all Lenders holding the relevant Term Loans on a pro rata basis or (B) through open market purchases (which purchases may be effected at any price as agreed between such Lender and such Affiliated Lender in their respective sole discretion), in each case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without the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78"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Loans acquired by any Affiliated Lender shall, to the extent permitted by applicable Requirements of Law, be retired and cancelled immediately upon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Initial Term Loans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be reduced on a pro rata basis by the full par value of the aggregate principal amount of Initial Term Loans so cancelled;</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Affiliated Lender and assigning Lender shall have executed an Affiliated Lender Assignment and Assumption;</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18"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effected pursuant to a Dutch Auction and/or open market purchase conducted by the Borrower or any of its Restricted Subsidiaries, (A) the relevant Person may not use the proceeds of any Revolving Loans to fund such assignment and (B) no Event of Default exists at the time of acceptance of bids for the Dutch Auction or the confirmation of such open market purchase, as applicable;</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218"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Affiliated Lender shall be required to represent or warrant that it is not in possession of material non-public information with respect to the Borrower and/or any subsidiary thereof and/or their respective securities in connection with any assignment permitted by this</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or the Collateral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only for a period of one year following such Termination Date)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or any Commitment, the occurrence of the Termination Date or the termination of this Agreement or any provision hereof but in each case, subject to the limitations set forth in this Agreement.</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0"/>
          </w:cols>
          <w:pgMar w:left="440" w:top="270" w:right="459" w:bottom="1440" w:gutter="0" w:footer="0" w:header="0"/>
        </w:sectPr>
      </w:pPr>
    </w:p>
    <w:bookmarkStart w:id="297" w:name="page298"/>
    <w:bookmarkEnd w:id="297"/>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10.07.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the Fee Letters and any separate letter agreements with respect to fees payable to the Administrative Agent and the Collateral Agent constitute the entire agreement among the parties relating to the subject matter hereof and supersede any and all previous agreements and understandings, oral or written, relating to the subject matter hereof. This Agreement shall be binding upon and inure to the benefit of the parties hereto and their respective successors and permitted assigns. Delivery of an executed counterpart of a signature page to this Agreement by email as a “.pdf” or “.tif” attachment shall be effective as delivery of a manually executed counterpart of this Agreement. The words “execution,” “signed,” “signature,” “delivery,” and words of like import in this Agreement, any other Loan Document or any other document to be signed in connection with this Agreement and the transactions contemplated hereby shall be deemed to include electronic signatures, electronic records or the electronic matching of assignment terms and contract formations on electronic platforms approved by the Administrative Agent and/or the Collateral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At any time when an Event of Default exists, upon the written consent of the Administrative Agent and each Issuing Bank,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such Administrative Agent, the Collateral Agent, such Issuing Bank or such Lender to or for the credit or the account of the Borrower or any other Loan Party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held by such Administrative Agent, the Collateral Agent, such Issuing Bank or such Lender, irrespective of whether or not such Administrative Agent, the Collateral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Any applicable Lender or Issuing Bank shall promptly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each Issuing Bank, the Collateral Agent and the Administrative Agent under this Section are in addition to other rights and remedies (including other rights of setoff) which such Lender, such Issuing Bank, the Collateral Agent or such Administrative Agent may have.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20"/>
          </w:cols>
          <w:pgMar w:left="440" w:top="270" w:right="439" w:bottom="1440" w:gutter="0" w:footer="0" w:header="0"/>
        </w:sectPr>
      </w:pPr>
    </w:p>
    <w:bookmarkStart w:id="298" w:name="page299"/>
    <w:bookmarkEnd w:id="2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8" w:lineRule="auto"/>
        <w:tabs>
          <w:tab w:leader="none" w:pos="68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w:t>
      </w:r>
    </w:p>
    <w:p>
      <w:pPr>
        <w:spacing w:after="0" w:line="183" w:lineRule="exact"/>
        <w:rPr>
          <w:rFonts w:ascii="Times New Roman" w:cs="Times New Roman" w:eastAsia="Times New Roman" w:hAnsi="Times New Roman"/>
          <w:sz w:val="18"/>
          <w:szCs w:val="18"/>
          <w:color w:val="auto"/>
        </w:rPr>
      </w:pPr>
    </w:p>
    <w:p>
      <w:pPr>
        <w:ind w:right="60" w:firstLine="436"/>
        <w:spacing w:after="0" w:line="269" w:lineRule="auto"/>
        <w:tabs>
          <w:tab w:leader="none" w:pos="695" w:val="left"/>
        </w:tabs>
        <w:numPr>
          <w:ilvl w:val="0"/>
          <w:numId w:val="4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EACH OF THE ADMINISTRATIVE AGENT AND THE COLLATERAL AGENT RETAINS THE RIGHT TO BRING PROCEEDINGS AGAINST ANY LOAN PARTY IN THE COURTS OF ANY OTHER JURISDICTION SOLELY IN CONNECTION WITH THE EXERCISE OF ANY RIGHTS UNDER ANY COLLATERAL DOCUMENT.</w:t>
      </w:r>
    </w:p>
    <w:p>
      <w:pPr>
        <w:spacing w:after="0" w:line="175" w:lineRule="exact"/>
        <w:rPr>
          <w:rFonts w:ascii="Times New Roman" w:cs="Times New Roman" w:eastAsia="Times New Roman" w:hAnsi="Times New Roman"/>
          <w:sz w:val="17"/>
          <w:szCs w:val="17"/>
          <w:color w:val="auto"/>
        </w:rPr>
      </w:pPr>
    </w:p>
    <w:p>
      <w:pPr>
        <w:ind w:right="100" w:firstLine="436"/>
        <w:spacing w:after="0" w:line="256" w:lineRule="auto"/>
        <w:tabs>
          <w:tab w:leader="none" w:pos="68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00"/>
          </w:cols>
          <w:pgMar w:left="440" w:top="270" w:right="459" w:bottom="1440" w:gutter="0" w:footer="0" w:header="0"/>
        </w:sectPr>
      </w:pPr>
    </w:p>
    <w:bookmarkStart w:id="299" w:name="page300"/>
    <w:bookmarkEnd w:id="299"/>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REQUIREMENTS OF LAW, ANY RIGHT IT MAY HAVE TO A TRIAL BY JURY IN ANY SUIT, ACTION, PROCEEDING OR COUNTERCLAIM (WHETHER BASED ON CONTRACT, TORT OR ANY OTHER THEORY, AND WHETHER AT LAW OR IN EQUITY) DIRECTLY OR INDIRECTLY ARISING OUT OF OR RELATING TO THIS AGREEMENT, ANY OTHER LOAN DOCUMENT OR THE TRANSACTIONS CONTEMPLATED HEREBY OR THEREBY. EACH PARTY HERETO (a) CERTIFIES THAT NO REPRESENTATIVE, AGENT OR ATTORNEY OF ANY OTHER PARTY HERETO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each Lender, each Issuing Bank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on a confidential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be responsible for its Affiliates’ and their Representatives’ compliance with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unless the Borrower otherwise consents, no such disclosure shall be made by the Administrative Agent, any Arranger, any Issuing Bank, any Lender or any Affiliate or Representative thereof to any Affiliate or Representative of the Administrative Agent, any Arranger, any Issuing Bank or any Lender that is a Disqualified Institution, (b) upon the demand or request of any regulatory or governmental authority having jurisdiction over such Person or its Affiliates (in which case such Person shall, except with respect to any audit or examination conducted by bank accountants or any Governmental Authority or regulatory authority exercising examination or regulatory authority, to the extent permitted by applicable Requirements of Law, (i) inform the Borrower promptly in advance thereof and (ii)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law, inform the Borrower promptly in advance thereof, (ii) ensure that any such information so disclosed is accorded confidential treatment and (iii) allow the Borrower a reasonable opportunity to object to such disclosure in such proceeding),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00"/>
          </w:cols>
          <w:pgMar w:left="440" w:top="270" w:right="459" w:bottom="1440" w:gutter="0" w:footer="0" w:header="0"/>
        </w:sectPr>
      </w:pPr>
    </w:p>
    <w:bookmarkStart w:id="300" w:name="page301"/>
    <w:bookmarkEnd w:id="300"/>
    <w:p>
      <w:pPr>
        <w:ind w:left="4"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 w:cs="Times New Roman" w:eastAsia="Times New Roman" w:hAnsi="Times New Roman"/>
          <w:sz w:val="17"/>
          <w:szCs w:val="17"/>
          <w:u w:val="single" w:color="auto"/>
          <w:color w:val="auto"/>
        </w:rPr>
        <w:t>Section 10.05</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180" w:hanging="4"/>
        <w:spacing w:after="0" w:line="265" w:lineRule="auto"/>
        <w:tabs>
          <w:tab w:leader="none" w:pos="319"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actual or prospective direct or indirect contractual counterparty (or its advisors, but not any Disqualified Institution) to any Derivative Transaction (including any credit default swap) or similar derivative product to which any Loan Party is a party, or in connection with similar transactions under which payments are to be made by reference to this Agreement, the Borrower and its obligations hereunder or payments hereunder,</w:t>
      </w:r>
    </w:p>
    <w:p>
      <w:pPr>
        <w:ind w:left="4" w:hanging="4"/>
        <w:spacing w:after="0" w:line="265" w:lineRule="auto"/>
        <w:tabs>
          <w:tab w:leader="none" w:pos="309" w:val="left"/>
        </w:tabs>
        <w:numPr>
          <w:ilvl w:val="0"/>
          <w:numId w:val="4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Borrower’s prior approval of the information to be disclosed (not to be unreasonably withheld or delayed), to Moody’s or S&amp;P on a confidential basis in connection with obtaining or maintaining ratings as required under </w:t>
      </w:r>
      <w:r>
        <w:rPr>
          <w:rFonts w:ascii="Times New Roman" w:cs="Times New Roman" w:eastAsia="Times New Roman" w:hAnsi="Times New Roman"/>
          <w:sz w:val="17"/>
          <w:szCs w:val="17"/>
          <w:u w:val="single" w:color="auto"/>
          <w:color w:val="auto"/>
        </w:rPr>
        <w:t>Section 5.13</w:t>
      </w:r>
      <w:r>
        <w:rPr>
          <w:rFonts w:ascii="Times New Roman" w:cs="Times New Roman" w:eastAsia="Times New Roman" w:hAnsi="Times New Roman"/>
          <w:sz w:val="17"/>
          <w:szCs w:val="17"/>
          <w:color w:val="auto"/>
        </w:rPr>
        <w:t xml:space="preserve"> and (v) a potential or actual insurer or reinsurer in connection with providing insurance, reinsurance or credit risk mitigation coverage under which payments are to be made or may be made by reference to this Agreement, (f) with the prior written consent of the Borrower and (g) to the extent the Confidential Information becomes publicly available other than as a result of a breach of this Section by such Person, its Affiliates or their respective Representatives. In addition, the Administrative Agent, the Collateral Agent or any Lender may disclose the existence of this Agreement and publicly available information about this Agreement to market data collectors and similar service providers to the lending industry (including to the CUSIP Service Bureau in connection with the issuance and monitoring of CUSIP numbers with respect to the facilities). For purposes of this Section,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means all information relating to the Borrower and/or any of its subsidiaries and their respective businesses, the Transactions (including any information obtained by the Administrative Agent, the Collateral Agent, any Issuing Bank, any Lender or any Arranger, or any of their respective Affiliates or Representatives, based on a review of any books and records relating to the Borrower and/or any of its subsidiaries and their respective Affiliates from time to time, including prior to the date hereof) other than any such information that is publicly available to the Administrative Agent or the Collateral Agent or any Arranger, Issuing Bank, or Lender on a non-confidential basis prior to disclosure by the Borrower or any of its subsidiaries. For the avoidance of doubt, in no event shall any disclosure of any Confidential Information be made to a Person that is a Disqualified Institution at the time of disclosure. The respective obligations of the Administrative Agent, each Lender, each Issuing Bank and each Arranger under this Section shall survive, to the extent applicable to such Person,</w:t>
      </w:r>
    </w:p>
    <w:p>
      <w:pPr>
        <w:spacing w:after="0" w:line="2" w:lineRule="exact"/>
        <w:rPr>
          <w:rFonts w:ascii="Times New Roman" w:cs="Times New Roman" w:eastAsia="Times New Roman" w:hAnsi="Times New Roman"/>
          <w:sz w:val="17"/>
          <w:szCs w:val="17"/>
          <w:color w:val="auto"/>
        </w:rPr>
      </w:pPr>
    </w:p>
    <w:p>
      <w:pPr>
        <w:ind w:left="4" w:right="140" w:hanging="4"/>
        <w:spacing w:after="0" w:line="260" w:lineRule="auto"/>
        <w:tabs>
          <w:tab w:leader="none" w:pos="259"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of the Termination Date, (y) any assignment of its rights and obligations under this Agreement and (z) the resignation or removal of the Administrative Agent, any Issuing Bank or any Lender.</w:t>
      </w:r>
    </w:p>
    <w:p>
      <w:pPr>
        <w:spacing w:after="0" w:line="181"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impede or prohibit the Borrower, any of its affiliates, or any of their officers, directors or employees from voluntarily disclosing or providing any information within the scope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any governmental, regulatory or self-regulatory organization (any such entity,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to the extent that any such impediment to or prohibition on disclosure set forth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prohibited by the laws or regulations applicable to such Regulatory Authority.</w:t>
      </w:r>
    </w:p>
    <w:p>
      <w:pPr>
        <w:spacing w:after="0" w:line="180" w:lineRule="exact"/>
        <w:rPr>
          <w:sz w:val="20"/>
          <w:szCs w:val="20"/>
          <w:color w:val="auto"/>
        </w:rPr>
      </w:pPr>
    </w:p>
    <w:p>
      <w:pPr>
        <w:ind w:left="4" w:right="1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No Fiduciary Duty</w:t>
      </w:r>
      <w:r>
        <w:rPr>
          <w:rFonts w:ascii="Times New Roman" w:cs="Times New Roman" w:eastAsia="Times New Roman" w:hAnsi="Times New Roman"/>
          <w:sz w:val="18"/>
          <w:szCs w:val="18"/>
          <w:color w:val="auto"/>
        </w:rPr>
        <w:t>. Each of the Administrative Agent, the Collateral Agent, the Arrangers, each Lender, each Issuing Bank and their respective Affiliates (collectively, solely for purposes of this paragraph,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0984"/>
          </w:cols>
          <w:pgMar w:left="436" w:top="270" w:right="479" w:bottom="1440" w:gutter="0" w:footer="0" w:header="0"/>
        </w:sectPr>
      </w:pPr>
    </w:p>
    <w:bookmarkStart w:id="301" w:name="page302"/>
    <w:bookmarkEnd w:id="30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 (y) 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Several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82" w:lineRule="auto"/>
        <w:tabs>
          <w:tab w:leader="none" w:pos="685"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61" w:lineRule="exact"/>
        <w:rPr>
          <w:rFonts w:ascii="Times New Roman" w:cs="Times New Roman" w:eastAsia="Times New Roman" w:hAnsi="Times New Roman"/>
          <w:sz w:val="18"/>
          <w:szCs w:val="18"/>
          <w:color w:val="auto"/>
        </w:rPr>
      </w:pPr>
    </w:p>
    <w:p>
      <w:pPr>
        <w:jc w:val="both"/>
        <w:ind w:right="120" w:firstLine="436"/>
        <w:spacing w:after="0" w:line="272" w:lineRule="auto"/>
        <w:tabs>
          <w:tab w:leader="none" w:pos="695" w:val="left"/>
        </w:tabs>
        <w:numPr>
          <w:ilvl w:val="0"/>
          <w:numId w:val="4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respective obligations of the Borrowers hereunder are several and not joint;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if as the result of an addition of an Additional Borrower more than one Borrower is liable (as “borrower”) in respect of the Obligations of any Class, such Borrowers shall be jointly and severally liable with respect to the Obligations of such Class unless provided to the contrary in the applicable Additional Borrower Agreement.</w:t>
      </w:r>
    </w:p>
    <w:p>
      <w:pPr>
        <w:spacing w:after="0" w:line="1" w:lineRule="exact"/>
        <w:rPr>
          <w:rFonts w:ascii="Times New Roman" w:cs="Times New Roman" w:eastAsia="Times New Roman" w:hAnsi="Times New Roman"/>
          <w:sz w:val="17"/>
          <w:szCs w:val="17"/>
          <w:color w:val="auto"/>
        </w:rPr>
      </w:pPr>
    </w:p>
    <w:p>
      <w:pPr>
        <w:ind w:right="1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References herein to “Obligations of the Borrowers” or similar words of import are used solely for administrative convenience and are not intended to create liability that is joint and several.</w:t>
      </w:r>
    </w:p>
    <w:p>
      <w:pPr>
        <w:spacing w:after="0" w:line="181"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10.16. </w:t>
      </w:r>
      <w:r>
        <w:rPr>
          <w:rFonts w:ascii="Times New Roman" w:cs="Times New Roman" w:eastAsia="Times New Roman" w:hAnsi="Times New Roman"/>
          <w:sz w:val="17"/>
          <w:szCs w:val="17"/>
          <w:u w:val="single" w:color="auto"/>
          <w:color w:val="auto"/>
        </w:rPr>
        <w:t>USA PATRIOT Act; Beneficial Ownership</w:t>
      </w:r>
      <w:r>
        <w:rPr>
          <w:rFonts w:ascii="Times New Roman" w:cs="Times New Roman" w:eastAsia="Times New Roman" w:hAnsi="Times New Roman"/>
          <w:sz w:val="17"/>
          <w:szCs w:val="17"/>
          <w:color w:val="auto"/>
        </w:rPr>
        <w:t>. Each Lender that is subject to the requirements of the USA PATRIOT Act or the Beneficial Ownership Regulation hereby notifies the Loan Parties that, pursuant to the requirements of the USA PATRIOT Act or the Beneficial Ownership Regulation (if applicable with respect to the Borrower and its Subsidiaries), it is required to obtain, verify and record information that identifies each Loan Party, which information includes the name, address and tax identification number of such Loan Party and other information that will allow such Lender to identify such Loan Party in accordance with the USA PATRIOT Act or the Beneficial Ownership Regulation (as applicable).</w:t>
      </w:r>
    </w:p>
    <w:p>
      <w:pPr>
        <w:spacing w:after="0" w:line="168"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Issuing Bank and each Lender hereby acknowledges and agrees that the Administrative Agent, the Collateral Agent and/or their respective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and each Issuing Bank as its agent for the purpose of perfecting Liens for the benefit of the Collateral Agent, the Administrative Agent, the Issuing Banks and the Lenders, in assets which, in accordance with Article 10 of the UCC or any other applicable Requirements of Law can be perfected only by possession. If any Lender or Issuing Bank (other than the Collateral Agent) obtains possession of any Collateral, such Lender or such Issuing Bank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0980"/>
          </w:cols>
          <w:pgMar w:left="440" w:top="270" w:right="479" w:bottom="1440" w:gutter="0" w:footer="0" w:header="0"/>
        </w:sectPr>
      </w:pPr>
    </w:p>
    <w:bookmarkStart w:id="302" w:name="page303"/>
    <w:bookmarkEnd w:id="302"/>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Letter of Credit, together with all fees, charges and other amounts which are treated as interest on such Loan or Letter of Credit under applicable law (collectively, the “</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Applicable Charges payable in respect thereof, shall be limited to the Maximum Rate and, to the extent lawful, the interest and Applicable Charges that would have been payable in respect of such Loan or Letter of Credit but were not payable as a result of the operation of this Section shall be cumulated and the interest and Applicable Charges payable to such Lender or Issuing Bank in respect of other Loans or Letters of Credit or periods shall be increased (but not above the Maximum Rate therefor) until such cumulated amount, together with interest thereon at the Federal Funds Effective Rate to the date of repayment, shall have been received by such Lender or Issuing Bank.</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10.20.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5" w:lineRule="auto"/>
        <w:tabs>
          <w:tab w:leader="none" w:pos="68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the purpose of obtaining or enforcing judgment against any Loan Party in any court in any jurisdiction, it becomes necessary to convert into any other currency (such other currency being hereinafter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under any Loan Document in any currency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other than the Judgment Currency, the conversion shall be made at the rate of exchange prevailing on the Business Day immediately preceding the date of actual payment of the amount due, in the case of any proceeding in the courts of any jurisdiction that will give effect to such conversion being made on such date, or the date on which the judgment is given, in the case of any proceeding in the courts of any other jurisdiction (the applicable date as of which such conversion is made pursuant to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being hereinafter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the case of any proceeding in the court of any jurisdiction referred to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 xml:space="preserve">, there is a change in the rate of exchange prevailing between the Judgment Conversion Date and the date of actual receipt for value of the amount due, then the applicable Loan Party or Loan Parties shall pay such additional amount (if any, but in any event not a lesser amount) as may be necessary to ensure that the amount actually received in the Judgment Currency, when converted at the rate of exchange prevailing on the date of payment, will provide the amount of the Obligation Currency which could have been purchased with the amount of the Judgment Currency stipulated in the judgment or judicial order at the rate of exchange prevailing on the Judgment Conversion Date. Any amount due from any Loan Party under this </w:t>
      </w:r>
      <w:r>
        <w:rPr>
          <w:rFonts w:ascii="Times New Roman" w:cs="Times New Roman" w:eastAsia="Times New Roman" w:hAnsi="Times New Roman"/>
          <w:sz w:val="18"/>
          <w:szCs w:val="18"/>
          <w:u w:val="single" w:color="auto"/>
          <w:color w:val="auto"/>
        </w:rPr>
        <w:t>Section 10.20(b)</w:t>
      </w:r>
      <w:r>
        <w:rPr>
          <w:rFonts w:ascii="Times New Roman" w:cs="Times New Roman" w:eastAsia="Times New Roman" w:hAnsi="Times New Roman"/>
          <w:sz w:val="18"/>
          <w:szCs w:val="18"/>
          <w:color w:val="auto"/>
        </w:rPr>
        <w:t xml:space="preserve"> shall be due as a separate debt and shall not be affected by judgment being obtained for any other amounts due under or in respect of any of the Loan Documents.</w:t>
      </w:r>
    </w:p>
    <w:p>
      <w:pPr>
        <w:spacing w:after="0" w:line="188" w:lineRule="exact"/>
        <w:rPr>
          <w:rFonts w:ascii="Times New Roman" w:cs="Times New Roman" w:eastAsia="Times New Roman" w:hAnsi="Times New Roman"/>
          <w:sz w:val="18"/>
          <w:szCs w:val="18"/>
          <w:color w:val="auto"/>
        </w:rPr>
      </w:pPr>
    </w:p>
    <w:p>
      <w:pPr>
        <w:ind w:right="80" w:firstLine="436"/>
        <w:spacing w:after="0" w:line="266" w:lineRule="auto"/>
        <w:tabs>
          <w:tab w:leader="none" w:pos="68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“rate of exchange”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means the rate of exchange at which Administrative Agent, on the relevant date at or about 12:00 noon (New York time), would be prepared to sell, in accordance with Administrative Agent’s normal course foreign currency exchange practices, the Obligation Currency against the Judgment Currency.</w:t>
      </w:r>
    </w:p>
    <w:p>
      <w:pPr>
        <w:spacing w:after="0" w:line="176"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xml:space="preserve">. Notwithstanding anything to the contrary contained herein or in any other Loan Document (but excluding any Acceptable Intercreditor Agreement), in the event of any conflict or inconsistency between this Agreement and any other Loan Document (excluding any Acceptable Intercreditor Agreement), the terms of this Agreement shall govern and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conflict or inconsistency between any Acceptable Intercreditor Agreement, on the one hand, and any other Loan Document, on the other hand, the terms of such Acceptable Intercreditor Agreement shall govern and control.</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00"/>
          </w:cols>
          <w:pgMar w:left="440" w:top="270" w:right="459" w:bottom="1440" w:gutter="0" w:footer="0" w:header="0"/>
        </w:sectPr>
      </w:pPr>
    </w:p>
    <w:bookmarkStart w:id="303" w:name="page304"/>
    <w:bookmarkEnd w:id="30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10.22. </w:t>
      </w:r>
      <w:r>
        <w:rPr>
          <w:rFonts w:ascii="Times New Roman" w:cs="Times New Roman" w:eastAsia="Times New Roman" w:hAnsi="Times New Roman"/>
          <w:sz w:val="18"/>
          <w:szCs w:val="18"/>
          <w:u w:val="single" w:color="auto"/>
          <w:color w:val="auto"/>
        </w:rPr>
        <w:t>Release of Guarantors and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7" w:lineRule="auto"/>
        <w:tabs>
          <w:tab w:leader="none" w:pos="689" w:val="left"/>
        </w:tabs>
        <w:numPr>
          <w:ilvl w:val="1"/>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w:t>
      </w:r>
      <w:r>
        <w:rPr>
          <w:rFonts w:ascii="Times New Roman" w:cs="Times New Roman" w:eastAsia="Times New Roman" w:hAnsi="Times New Roman"/>
          <w:sz w:val="17"/>
          <w:szCs w:val="17"/>
          <w:u w:val="single" w:color="auto"/>
          <w:color w:val="auto"/>
        </w:rPr>
        <w:t>Section 10.02(b)</w:t>
      </w:r>
      <w:r>
        <w:rPr>
          <w:rFonts w:ascii="Times New Roman" w:cs="Times New Roman" w:eastAsia="Times New Roman" w:hAnsi="Times New Roman"/>
          <w:sz w:val="17"/>
          <w:szCs w:val="17"/>
          <w:color w:val="auto"/>
        </w:rPr>
        <w:t xml:space="preserve"> to the contrary, (x) any Subsidiary Guarantor shall automatically be released from its obligations hereunder and under the other Loan Documents (and its Loan Guarantee and any Liens on its property securing any of the Obligations shall be automatically released) (i) upon the consummation of any permitted transaction or series of related transactions or the occurrence of any other permitted event or circumstance if as a result thereof such Subsidiary Guarantor ceases to be a Restricted Subsidiary (including by merger, amalgamation or dissolution) or becomes an Excluded Subsidiary as a result of a single transaction or series of related transactions or other event or circumstance permitted hereunder or (ii) upon the occurrence of the Termination Date and/or (y) any Subsidiary Guarantor that qualifies as an “Excluded Subsidiary” but was made a Subsidiary Guarantor at the option of the Borrower in each case shall be released from its obligations hereunder and under the other Loan Documents (and its Loan Guarantee and any Liens on its property securing any of the Obligations shall be automatically released) upon delivery of a written release request by the Borrower to the Administrative Agent;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Subsidiary Guarantor shall be released from its obligations under the Loan Documents solely by reason of such Subsidiary Guarantor becoming or being an Excluded Subsidiary of the type described in </w:t>
      </w:r>
      <w:r>
        <w:rPr>
          <w:rFonts w:ascii="Times New Roman" w:cs="Times New Roman" w:eastAsia="Times New Roman" w:hAnsi="Times New Roman"/>
          <w:sz w:val="17"/>
          <w:szCs w:val="17"/>
          <w:u w:val="single" w:color="auto"/>
          <w:color w:val="auto"/>
        </w:rPr>
        <w:t>clause</w:t>
      </w:r>
    </w:p>
    <w:p>
      <w:pPr>
        <w:spacing w:after="0" w:line="3" w:lineRule="exact"/>
        <w:rPr>
          <w:rFonts w:ascii="Times New Roman" w:cs="Times New Roman" w:eastAsia="Times New Roman" w:hAnsi="Times New Roman"/>
          <w:sz w:val="17"/>
          <w:szCs w:val="17"/>
          <w:color w:val="auto"/>
        </w:rPr>
      </w:pPr>
    </w:p>
    <w:p>
      <w:pPr>
        <w:ind w:left="4" w:right="100" w:hanging="4"/>
        <w:spacing w:after="0" w:line="250" w:lineRule="auto"/>
        <w:tabs>
          <w:tab w:leader="none" w:pos="249" w:val="left"/>
        </w:tabs>
        <w:numPr>
          <w:ilvl w:val="0"/>
          <w:numId w:val="4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thereof unless either (x) it is no longer a direct or indirect Subsidiary of the Borrower or (y) such Subsidiary Guarantor ceases to be a Wholly-Owned Subsidiary as a result of a sale, issuance or transfer of Capital Stock to (A) a third party that is not an Affiliate of the Borrower or</w:t>
      </w:r>
    </w:p>
    <w:p>
      <w:pPr>
        <w:ind w:left="4" w:right="200"/>
        <w:spacing w:after="0" w:line="260" w:lineRule="auto"/>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 an Affiliate of the Borrower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and its Subsidiaries and not for the primary purpose of evading the Collateral and Guarantee Requirement (as determined by the Borrower in good faith).</w:t>
      </w:r>
    </w:p>
    <w:p>
      <w:pPr>
        <w:spacing w:after="0" w:line="181" w:lineRule="exact"/>
        <w:rPr>
          <w:rFonts w:ascii="Times New Roman" w:cs="Times New Roman" w:eastAsia="Times New Roman" w:hAnsi="Times New Roman"/>
          <w:sz w:val="18"/>
          <w:szCs w:val="18"/>
          <w:u w:val="single" w:color="auto"/>
          <w:color w:val="auto"/>
        </w:rPr>
      </w:pPr>
    </w:p>
    <w:p>
      <w:pPr>
        <w:ind w:left="4" w:firstLine="436"/>
        <w:spacing w:after="0" w:line="251" w:lineRule="auto"/>
        <w:tabs>
          <w:tab w:leader="none" w:pos="699"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to the contrary, any Lien on any asset or property granted to or held by the Administrative Agent under any Loan Document shall be automatically released without the need for further action by any Person (i) upon the occurrence of the Termination Date, (ii) upon the sale, transfer or other Disposition of such asset or property as part of or in connection with any sale, transfer or other Disposition or Investment permitted under the Loan Documents to a Person that is not a Loan Party (or, if to a Loan Party, if such transferee Loan Party grants perfected Lien on such property to the Collateral Agent in compliance with the Collateral and Guarantee Requirement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(iii) upon such asset or property becoming an Excluded Asset or if such asset or property does not constitute (or ceases to constitute) Collateral, (iv) if the property subject to such Lien is owned by a Borrower or Subsidiary Guarantor, upon the release of such Borrower or Subsidiary Guarantor in accordance with </w:t>
      </w:r>
      <w:r>
        <w:rPr>
          <w:rFonts w:ascii="Times New Roman" w:cs="Times New Roman" w:eastAsia="Times New Roman" w:hAnsi="Times New Roman"/>
          <w:sz w:val="18"/>
          <w:szCs w:val="18"/>
          <w:u w:val="single" w:color="auto"/>
          <w:color w:val="auto"/>
        </w:rPr>
        <w:t>Section 10.22(a)</w:t>
      </w:r>
      <w:r>
        <w:rPr>
          <w:rFonts w:ascii="Times New Roman" w:cs="Times New Roman" w:eastAsia="Times New Roman" w:hAnsi="Times New Roman"/>
          <w:sz w:val="18"/>
          <w:szCs w:val="18"/>
          <w:color w:val="auto"/>
        </w:rPr>
        <w:t xml:space="preserve">, (v) as provided for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as provided for in any other Loan Document or (vi) if approved, authorized or ratified in writing by the Required Lenders (or such other number or percentage of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w:t>
      </w:r>
    </w:p>
    <w:p>
      <w:pPr>
        <w:spacing w:after="0" w:line="1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and any steps any Agent may take or request to give effect to such release or re-assignment under the governing law of such Lien.</w:t>
      </w:r>
    </w:p>
    <w:p>
      <w:pPr>
        <w:spacing w:after="0" w:line="206"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89"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such release referred to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the Administrative Agent shall, subject to receipt of an officer’s certificate from the Borrower certifying that such transaction and release are permitted hereunder, promptly execute and deliver to the relevant Loan Party, at such Loan Party’s expense, all documents that such Loan Party shall reasonably request to evidence termination or release. Any execution and delivery of any document pursuant to the preceding sentence of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shall be without recourse to or warranty by the Administrative Agent. Notwithstanding</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1004"/>
          </w:cols>
          <w:pgMar w:left="436" w:top="270" w:right="459" w:bottom="1440" w:gutter="0" w:footer="0" w:header="0"/>
        </w:sectPr>
      </w:pPr>
    </w:p>
    <w:bookmarkStart w:id="304" w:name="page305"/>
    <w:bookmarkEnd w:id="30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foregoing, no Subsidiary Guarantor shall be released solely on the basis of the applicable Guarantor ceasing to be a Wholly-Owned Subsidiary (unless the Guarantor shall no longer be a Restricted Subsidiary of the Borrower) unless (I) such Guarantor ceases to be a Restricted Subsidiary that is a Wholly-Owned Subsidiary as a result of (x) the issuance or other Disposition of equity interests of such Subsidiary in either case to a Person that is not a Loan Party or an Affiliate of a Loan Party, (y) such issuance or Disposition was not entered into for the primary purpose of such Subsidiary’s ceasing to constitute a Loan Party or to invoke the release provisions of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and (z) such issuance or Disposition was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joint venture (as determined by the Borrower in good faith) and is otherwise permitted to exist under the other terms of this Agreement and (II) at the time of such transaction, no Specified Event of Default has occurred and is continuing or would immediately result therefrom.</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each party hereto agrees and consents to, and acknowledges and agrees to be bound by:</w:t>
      </w:r>
    </w:p>
    <w:p>
      <w:pPr>
        <w:spacing w:after="0" w:line="180" w:lineRule="exact"/>
        <w:rPr>
          <w:sz w:val="20"/>
          <w:szCs w:val="20"/>
          <w:color w:val="auto"/>
        </w:rPr>
      </w:pPr>
    </w:p>
    <w:p>
      <w:pPr>
        <w:ind w:right="340" w:firstLine="436"/>
        <w:spacing w:after="0" w:line="282" w:lineRule="auto"/>
        <w:tabs>
          <w:tab w:leader="none" w:pos="685"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7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1" w:lineRule="auto"/>
        <w:tabs>
          <w:tab w:leader="none" w:pos="68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00"/>
          </w:cols>
          <w:pgMar w:left="440" w:top="270" w:right="459" w:bottom="1440" w:gutter="0" w:footer="0" w:header="0"/>
        </w:sectPr>
      </w:pPr>
    </w:p>
    <w:bookmarkStart w:id="305" w:name="page306"/>
    <w:bookmarkEnd w:id="305"/>
    <w:p>
      <w:pPr>
        <w:ind w:left="440" w:right="180" w:firstLine="419"/>
        <w:spacing w:after="0" w:line="256" w:lineRule="auto"/>
        <w:tabs>
          <w:tab w:leader="none" w:pos="1128"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79" w:lineRule="exact"/>
        <w:rPr>
          <w:rFonts w:ascii="Times New Roman" w:cs="Times New Roman" w:eastAsia="Times New Roman" w:hAnsi="Times New Roman"/>
          <w:sz w:val="18"/>
          <w:szCs w:val="18"/>
          <w:color w:val="auto"/>
        </w:rPr>
      </w:pPr>
    </w:p>
    <w:p>
      <w:pPr>
        <w:ind w:left="440" w:right="160" w:firstLine="419"/>
        <w:spacing w:after="0" w:line="255" w:lineRule="auto"/>
        <w:tabs>
          <w:tab w:leader="none" w:pos="1178"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among the Administrative Agent and the Collateral Agent, in their sole discretion, and such Lender.</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the preceding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the preceding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neither the Administrative Agent nor the Collateral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Collateral Agent under this Agreement, any Loan Document or any documents related hereto or thereto).</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7" w:lineRule="exact"/>
        <w:rPr>
          <w:sz w:val="20"/>
          <w:szCs w:val="20"/>
          <w:color w:val="auto"/>
        </w:rPr>
      </w:pPr>
    </w:p>
    <w:p>
      <w:pPr>
        <w:ind w:right="40" w:firstLine="436"/>
        <w:spacing w:after="0" w:line="268" w:lineRule="auto"/>
        <w:tabs>
          <w:tab w:leader="none" w:pos="685"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00"/>
          </w:cols>
          <w:pgMar w:left="440" w:top="270" w:right="459" w:bottom="1440" w:gutter="0" w:footer="0" w:header="0"/>
        </w:sectPr>
      </w:pPr>
    </w:p>
    <w:bookmarkStart w:id="306" w:name="page307"/>
    <w:bookmarkEnd w:id="306"/>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As used in this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 the following terms have the following meanings:</w:t>
      </w:r>
    </w:p>
    <w:p>
      <w:pPr>
        <w:spacing w:after="0" w:line="221" w:lineRule="exact"/>
        <w:rPr>
          <w:sz w:val="20"/>
          <w:szCs w:val="20"/>
          <w:color w:val="auto"/>
        </w:rPr>
      </w:pPr>
    </w:p>
    <w:p>
      <w:pPr>
        <w:ind w:left="440" w:right="1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080" w:hanging="221"/>
        <w:spacing w:after="0"/>
        <w:tabs>
          <w:tab w:leader="none" w:pos="10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§382.2(b).</w:t>
      </w:r>
    </w:p>
    <w:p>
      <w:pPr>
        <w:spacing w:after="0" w:line="113" w:lineRule="exact"/>
        <w:rPr>
          <w:sz w:val="20"/>
          <w:szCs w:val="20"/>
          <w:color w:val="auto"/>
        </w:rPr>
      </w:pPr>
    </w:p>
    <w:p>
      <w:pPr>
        <w:ind w:left="4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700" w:hanging="264"/>
        <w:spacing w:after="0"/>
        <w:tabs>
          <w:tab w:leader="none" w:pos="70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10.26.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right="120" w:firstLine="419"/>
        <w:spacing w:after="0" w:line="253" w:lineRule="auto"/>
        <w:tabs>
          <w:tab w:leader="none" w:pos="1078"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such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that any funds (as set forth in such notice from such Administrative Agent) received by such Payment Recipient from such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and (y) demands in writing the return of such Erroneous Payment (or a portion thereof), such Erroneous Payment shall at all times remain the property of such Administrative Agent pending its return or repayment as contemplated below</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00"/>
          </w:cols>
          <w:pgMar w:left="440" w:top="270" w:right="459" w:bottom="1440" w:gutter="0" w:footer="0" w:header="0"/>
        </w:sectPr>
      </w:pPr>
    </w:p>
    <w:bookmarkStart w:id="307" w:name="page308"/>
    <w:bookmarkEnd w:id="30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and held in trust for the benefit of such Administrative Agent, and such Lender, Issuing Bank or Secured Party shall (or, with respect to any Payment Recipient who received such funds on its behalf, shall cause such Payment Recipient to) promptly, but in no event later than two Business Days thereafter (or such later date as such Administrative Agent may, in its sole discretion, specify in writing), return to such Administrative Agent the amount of any such Erroneous Payment (or portion thereof) as to which such a demand was made, in same day funds (in the currency so received), together with interest thereon (except to the extent waived in writing by such Administrative Agent) in respect of each day from and including the date such Erroneous Payment (or portion thereof) was received by such Payment Recipient to the date such amount is repaid to such Administrative Agent in same day funds at the greater of the Federal Funds Rate and a rate determined by such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conclusive, absent manifest error.</w:t>
      </w:r>
    </w:p>
    <w:p>
      <w:pPr>
        <w:spacing w:after="0" w:line="80" w:lineRule="exact"/>
        <w:rPr>
          <w:sz w:val="20"/>
          <w:szCs w:val="20"/>
          <w:color w:val="auto"/>
        </w:rPr>
      </w:pPr>
    </w:p>
    <w:p>
      <w:pPr>
        <w:ind w:firstLine="419"/>
        <w:spacing w:after="0" w:line="254" w:lineRule="auto"/>
        <w:tabs>
          <w:tab w:leader="none" w:pos="688"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such Administrative Agent (or any of its Affiliates) with respect to such payment, prepayment or repayment, (y) that was not preceded or accompanied by a notice of payment, prepayment or repayment sent by such Administrative Agent (or any of its Affiliates), or (z) that such Lender, Issuing Bank, Secured Party or other such recipient, otherwise becomes aware was transmitted, or received, in error or by mistake (in whole or in part), then in each such case:</w:t>
      </w:r>
    </w:p>
    <w:p>
      <w:pPr>
        <w:spacing w:after="0" w:line="83" w:lineRule="exact"/>
        <w:rPr>
          <w:rFonts w:ascii="Times New Roman" w:cs="Times New Roman" w:eastAsia="Times New Roman" w:hAnsi="Times New Roman"/>
          <w:sz w:val="18"/>
          <w:szCs w:val="18"/>
          <w:color w:val="auto"/>
        </w:rPr>
      </w:pPr>
    </w:p>
    <w:p>
      <w:pPr>
        <w:ind w:left="540" w:right="20" w:firstLine="408"/>
        <w:spacing w:after="0" w:line="289" w:lineRule="auto"/>
        <w:tabs>
          <w:tab w:leader="none" w:pos="1236" w:val="left"/>
        </w:tabs>
        <w:numPr>
          <w:ilvl w:val="1"/>
          <w:numId w:val="4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acknowledges and agrees that (I) in the case of immediately preceding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an error and mistake shall be presumed to have been made (absent written confirmation from such Administrative Agent to the contrary) or (II) an error and mistake has been made (in the case of immediately preceding </w:t>
      </w:r>
      <w:r>
        <w:rPr>
          <w:rFonts w:ascii="Times New Roman" w:cs="Times New Roman" w:eastAsia="Times New Roman" w:hAnsi="Times New Roman"/>
          <w:sz w:val="17"/>
          <w:szCs w:val="17"/>
          <w:u w:val="single" w:color="auto"/>
          <w:color w:val="auto"/>
        </w:rPr>
        <w:t>clause (z)</w:t>
      </w:r>
      <w:r>
        <w:rPr>
          <w:rFonts w:ascii="Times New Roman" w:cs="Times New Roman" w:eastAsia="Times New Roman" w:hAnsi="Times New Roman"/>
          <w:sz w:val="17"/>
          <w:szCs w:val="17"/>
          <w:color w:val="auto"/>
        </w:rPr>
        <w:t>), in each case, with respect to such payment, prepayment or repayment; and</w:t>
      </w:r>
    </w:p>
    <w:p>
      <w:pPr>
        <w:spacing w:after="0" w:line="49" w:lineRule="exact"/>
        <w:rPr>
          <w:rFonts w:ascii="Times New Roman" w:cs="Times New Roman" w:eastAsia="Times New Roman" w:hAnsi="Times New Roman"/>
          <w:sz w:val="17"/>
          <w:szCs w:val="17"/>
          <w:color w:val="auto"/>
        </w:rPr>
      </w:pPr>
    </w:p>
    <w:p>
      <w:pPr>
        <w:ind w:left="540" w:right="20" w:firstLine="408"/>
        <w:spacing w:after="0" w:line="261" w:lineRule="auto"/>
        <w:tabs>
          <w:tab w:leader="none" w:pos="1226"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Bank or Secured Party shall (and shall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such Administrative Agent of its receipt of such payment, prepayment or repayment, the details thereof (in reasonable detail) and that it is so notifying such Administrative Agent pursuant to this </w:t>
      </w:r>
      <w:r>
        <w:rPr>
          <w:rFonts w:ascii="Times New Roman" w:cs="Times New Roman" w:eastAsia="Times New Roman" w:hAnsi="Times New Roman"/>
          <w:sz w:val="18"/>
          <w:szCs w:val="18"/>
          <w:u w:val="single" w:color="auto"/>
          <w:color w:val="auto"/>
        </w:rPr>
        <w:t>Section 10.26(ii)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10.26(ii)</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10.26(i)</w:t>
      </w:r>
      <w:r>
        <w:rPr>
          <w:rFonts w:ascii="Times New Roman" w:cs="Times New Roman" w:eastAsia="Times New Roman" w:hAnsi="Times New Roman"/>
          <w:sz w:val="18"/>
          <w:szCs w:val="18"/>
          <w:color w:val="auto"/>
        </w:rPr>
        <w:t xml:space="preserve"> or on whether or not an Erroneous Payment has been made.</w:t>
      </w:r>
    </w:p>
    <w:p>
      <w:pPr>
        <w:spacing w:after="0" w:line="54" w:lineRule="exact"/>
        <w:rPr>
          <w:sz w:val="20"/>
          <w:szCs w:val="20"/>
          <w:color w:val="auto"/>
        </w:rPr>
      </w:pPr>
    </w:p>
    <w:p>
      <w:pPr>
        <w:ind w:right="20" w:firstLine="419"/>
        <w:spacing w:after="0" w:line="281" w:lineRule="auto"/>
        <w:tabs>
          <w:tab w:leader="none" w:pos="738" w:val="left"/>
        </w:tabs>
        <w:numPr>
          <w:ilvl w:val="0"/>
          <w:numId w:val="4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such Administrative Agent to such Lender, Issuing Bank or Secured Party under any Loan Document with respect to any payment of principal, interest, fees or other amounts, against any amount that such Administrative Agent has demanded to be returned under immediately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w:t>
      </w:r>
    </w:p>
    <w:p>
      <w:pPr>
        <w:spacing w:after="0" w:line="34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0560"/>
          </w:cols>
          <w:pgMar w:left="880" w:top="270" w:right="459" w:bottom="1440" w:gutter="0" w:footer="0" w:header="0"/>
        </w:sectPr>
      </w:pPr>
    </w:p>
    <w:bookmarkStart w:id="308" w:name="page309"/>
    <w:bookmarkEnd w:id="308"/>
    <w:p>
      <w:pPr>
        <w:ind w:right="60" w:firstLine="419"/>
        <w:spacing w:after="0" w:line="251" w:lineRule="auto"/>
        <w:tabs>
          <w:tab w:leader="none" w:pos="728"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 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such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 Impacted Class</w:t>
      </w:r>
      <w:r>
        <w:rPr>
          <w:rFonts w:ascii="Times New Roman" w:cs="Times New Roman" w:eastAsia="Times New Roman" w:hAnsi="Times New Roman"/>
          <w:sz w:val="18"/>
          <w:szCs w:val="18"/>
          <w:color w:val="auto"/>
        </w:rPr>
        <w:t>”) in an amount equal to the Erroneous Payment Return Deficiency (or such lesser amount as such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such Administrative Agent in such instance)), and is hereby (together with the Borrower) deemed to execute and deliver an Assignment and Assumption (or, to the extent applicable, an agreement incorporating an Assignment and Assumption by reference pursuant to an approved electronic platform as to which such Administrative Agent and such parties are participants) with respect to such Erroneous Payment Deficiency Assignment, and such Lender shall deliver any Notes evidencing such Loans to the Borrower or such Administrative Agent (but the failure of such Person to deliver any such Notes shall not affect the effectiveness of the foregoing assignment), (B) such Administrative Agent as the assignee Lender shall be deemed to have acquired the Erroneous Payment Deficiency Assignment, (C) upon such deemed acquisition, such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such Administrative Agent and the Borrower shall each be deemed to have waived any consents required under this Agreement to any such Erroneous Payment Deficiency Assignment, and (E) such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97" w:lineRule="exact"/>
        <w:rPr>
          <w:rFonts w:ascii="Times New Roman" w:cs="Times New Roman" w:eastAsia="Times New Roman" w:hAnsi="Times New Roman"/>
          <w:sz w:val="18"/>
          <w:szCs w:val="18"/>
          <w:color w:val="auto"/>
        </w:rPr>
      </w:pPr>
    </w:p>
    <w:p>
      <w:pPr>
        <w:ind w:firstLine="948"/>
        <w:spacing w:after="0" w:line="253" w:lineRule="auto"/>
        <w:tabs>
          <w:tab w:leader="none" w:pos="1207"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but excluding, in all events, any assignment consent or approval requirements (other than from the Borrower, to the extent the Borrower would have a consent right over such assignment in accordance with the terms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(such consent not to be unreasonably withheld or delayed)),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such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such Administrative Agent on or with respect to any such Loans acquired from such Lender pursuant to an Erroneous Payment Deficiency Assignment (to the extent that any such Loans are then owned by such Administrative Agent) and (y) may, in the sole discretion of such Administrative Agent, be reduced by any amount specified by such Administrative Agent in writing to the applicable Lender from time to time.</w:t>
      </w:r>
    </w:p>
    <w:p>
      <w:pPr>
        <w:spacing w:after="0" w:line="36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0560"/>
          </w:cols>
          <w:pgMar w:left="880" w:top="270" w:right="459" w:bottom="1440" w:gutter="0" w:footer="0" w:header="0"/>
        </w:sectPr>
      </w:pPr>
    </w:p>
    <w:bookmarkStart w:id="309" w:name="page310"/>
    <w:bookmarkEnd w:id="309"/>
    <w:p>
      <w:pPr>
        <w:ind w:firstLine="948"/>
        <w:spacing w:after="0" w:line="252" w:lineRule="auto"/>
        <w:tabs>
          <w:tab w:leader="none" w:pos="120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agree that, subject in any event to each proviso below, (x) irrespective of whether such Administrative Agent may be equitably subrogated, in the event that an Erroneous Payment (or portion thereof) is not recovered from any Payment Recipient that has received such Erroneous Payment (or portion thereof) for any reason, such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Obligations under the Loan Documents in respect of the Erroneous Payment Subrogation Rights shall not be duplicative of such Obligations in respect of Loans that have been assigned to such Administrative Agent under an Erroneous Payment Deficiency Assignment and no such subrogation shall apply to the extent an Erroneous Payment is, and with respect to the amount of such Erroneous Payment that is, compromised of funds of the Borrower or any other Loan Party) and (y)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or any other Loan Party (including indemnification obligations of the Borrower or any other Loan Party under the Loan Documents to the extent relating to principal, interest, premium or fees or similar payment obligations under the Loan Documents) relative to the amount (and/or timing for payment) of the Obligations that would have been payable had such Erroneous Payment not been made by such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shall not apply to the extent any such Erroneous Payment is, and solely with respect to the amount of such Erroneous Payment that is, comprised of funds received by such Administrative Agent from the Borrower for the purpose of making such Erroneous Payment.</w:t>
      </w:r>
    </w:p>
    <w:p>
      <w:pPr>
        <w:spacing w:after="0" w:line="85" w:lineRule="exact"/>
        <w:rPr>
          <w:rFonts w:ascii="Times New Roman" w:cs="Times New Roman" w:eastAsia="Times New Roman" w:hAnsi="Times New Roman"/>
          <w:sz w:val="18"/>
          <w:szCs w:val="18"/>
          <w:color w:val="auto"/>
        </w:rPr>
      </w:pPr>
    </w:p>
    <w:p>
      <w:pPr>
        <w:ind w:right="100" w:firstLine="948"/>
        <w:spacing w:after="0" w:line="261" w:lineRule="auto"/>
        <w:tabs>
          <w:tab w:leader="none" w:pos="125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71" w:lineRule="exact"/>
        <w:rPr>
          <w:rFonts w:ascii="Times New Roman" w:cs="Times New Roman" w:eastAsia="Times New Roman" w:hAnsi="Times New Roman"/>
          <w:sz w:val="18"/>
          <w:szCs w:val="18"/>
          <w:color w:val="auto"/>
        </w:rPr>
      </w:pPr>
    </w:p>
    <w:p>
      <w:pPr>
        <w:ind w:right="220" w:firstLine="948"/>
        <w:spacing w:after="0" w:line="266" w:lineRule="auto"/>
        <w:tabs>
          <w:tab w:leader="none" w:pos="130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67" w:lineRule="exact"/>
        <w:rPr>
          <w:rFonts w:ascii="Times New Roman" w:cs="Times New Roman" w:eastAsia="Times New Roman" w:hAnsi="Times New Roman"/>
          <w:sz w:val="18"/>
          <w:szCs w:val="18"/>
          <w:color w:val="auto"/>
        </w:rPr>
      </w:pPr>
    </w:p>
    <w:p>
      <w:pPr>
        <w:jc w:val="both"/>
        <w:ind w:right="600" w:firstLine="948"/>
        <w:spacing w:after="0" w:line="266" w:lineRule="auto"/>
        <w:tabs>
          <w:tab w:leader="none" w:pos="1357"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solely be an agreement between the Administrative Agent, the Lenders and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and the other Loan Parties hereby acknowledge and consent to the provisions and agreements set forth in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10.27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10.28 [Reserved].</w:t>
      </w:r>
    </w:p>
    <w:p>
      <w:pPr>
        <w:spacing w:after="0" w:line="15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520"/>
          </w:cols>
          <w:pgMar w:left="880" w:top="270" w:right="499" w:bottom="1440" w:gutter="0" w:footer="0" w:header="0"/>
        </w:sectPr>
      </w:pPr>
    </w:p>
    <w:bookmarkStart w:id="310" w:name="page311"/>
    <w:bookmarkEnd w:id="310"/>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10.29. </w:t>
      </w:r>
      <w:r>
        <w:rPr>
          <w:rFonts w:ascii="Times New Roman" w:cs="Times New Roman" w:eastAsia="Times New Roman" w:hAnsi="Times New Roman"/>
          <w:sz w:val="18"/>
          <w:szCs w:val="18"/>
          <w:u w:val="single" w:color="auto"/>
          <w:color w:val="auto"/>
        </w:rPr>
        <w:t>Permitted Reorganization Transactions</w:t>
      </w:r>
      <w:r>
        <w:rPr>
          <w:rFonts w:ascii="Times New Roman" w:cs="Times New Roman" w:eastAsia="Times New Roman" w:hAnsi="Times New Roman"/>
          <w:sz w:val="18"/>
          <w:szCs w:val="18"/>
          <w:color w:val="auto"/>
        </w:rPr>
        <w:t xml:space="preserve">. Notwithstanding anything to the contrary in this Agreement, the Borrower and its Subsidiaries may consummate a Permitted Reorganization. If in connection with such Permitted Reorganization, a new company is created that directly or indirectly wholly owns the Borrower, then, so long as such new company is an obligor on the Obligations (as a borrower or guarantor), the Borrower may choose to have the covenants and financial calculations in the this Agreement and the other Loan Documents (as applicable) apply from and after such time to such new company and its Restricted Subsidiaries, rather than to the existing Borrower and its Restricted Subsidiaries, and all references herein thereafter to the Borrower shall refer to such company. In connection with the foregoing, the Lenders and other Secured Parties hereby consent to, and authorize and direct the Administrative Agent and the Collateral Agent to enter into, at the election of the Borrower, any amendment or other modification to this Agreement and/or any other Loan Document to effectuate the foregoing, including the implementation of customary local law provisions and technical and other changes to reflect the revised corporate structure (including in the definition of Change of Control) and the application of this provision, in each case, without requiring the further consent of the Required Lenders or any other Lender or Secured Party (it being understood that this consent, authorization and directive is a term of the Revolving Credit Commitments, Revolving Loans, Initial Term Loans and any other Term Loans, established on or after the Signing Date). Correspondingly, in connection with any transaction otherwise permitted hereunder that results in a Successor Borrower (or any other creation and/or appointment of a Successor Borrower), at the election of the Borrower, the Administrative Agent and Collateral Agent are each hereby authorized and directed by the Lenders and the other Secured Parties to enter into amendments or other modifications to this Agreement and the other applicable Loan Documents to effectuate such Borrower succession and/or substitution, including the implementation of customary local law provisions and technical and other changes to reflect the revised corporate structure (including in the definition of Change of Control) and the application of this provision (and the Lenders and other Secured Parties hereby consent thereto), in each case, without requiring the further consent of the Required Lenders or any other Lender or Secured Party (it being understood that this consent, authorization and directive is a term of the Revolving Credit Commitments, Revolving Loans, Initial Term Loans and any other Term Loans, established on or after the Signing Date). None of the Administrative Agent nor the Collateral Agent shall be liable to the Lenders (including any Revolving Lenders) or any other Secured Party for any action taken or not taken in connection with any such amendment or modification pursuant to the consent, authorization or directive of the Lenders provided in this </w:t>
      </w:r>
      <w:r>
        <w:rPr>
          <w:rFonts w:ascii="Times New Roman" w:cs="Times New Roman" w:eastAsia="Times New Roman" w:hAnsi="Times New Roman"/>
          <w:sz w:val="18"/>
          <w:szCs w:val="18"/>
          <w:u w:val="single" w:color="auto"/>
          <w:color w:val="auto"/>
        </w:rPr>
        <w:t>Section 10.29</w:t>
      </w:r>
      <w:r>
        <w:rPr>
          <w:rFonts w:ascii="Times New Roman" w:cs="Times New Roman" w:eastAsia="Times New Roman" w:hAnsi="Times New Roman"/>
          <w:sz w:val="18"/>
          <w:szCs w:val="18"/>
          <w:color w:val="auto"/>
        </w:rPr>
        <w:t>.</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00"/>
          </w:cols>
          <w:pgMar w:left="440" w:top="270" w:right="459" w:bottom="1440" w:gutter="0" w:footer="0" w:header="0"/>
        </w:sectPr>
      </w:pPr>
    </w:p>
    <w:bookmarkStart w:id="311" w:name="page312"/>
    <w:bookmarkEnd w:id="311"/>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tbl>
      <w:tblPr>
        <w:tblLayout w:type="fixed"/>
        <w:tblInd w:w="6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James P. McCue</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James P. McCue</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 and Assistant Treasurer</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1020"/>
          </w:cols>
          <w:pgMar w:left="440" w:top="270" w:right="439" w:bottom="1440" w:gutter="0" w:footer="0" w:header="0"/>
        </w:sectPr>
      </w:pPr>
    </w:p>
    <w:bookmarkStart w:id="312" w:name="page313"/>
    <w:bookmarkEnd w:id="31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JPMORGAN CHASE BANK, N.A.,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Administrative Agent, Collateral Agent, Swingline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 Lender and an Issuing Bank</w:t>
      </w:r>
    </w:p>
    <w:p>
      <w:pPr>
        <w:spacing w:after="0" w:line="220"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Peter Christensen</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Peter Christensen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Executive Director</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3" w:name="page314"/>
    <w:bookmarkEnd w:id="31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BANK OF AMERICA, N.A., </w:t>
      </w:r>
      <w:r>
        <w:rPr>
          <w:rFonts w:ascii="Times New Roman" w:cs="Times New Roman" w:eastAsia="Times New Roman" w:hAnsi="Times New Roman"/>
          <w:sz w:val="18"/>
          <w:szCs w:val="18"/>
          <w:color w:val="auto"/>
        </w:rPr>
        <w:t>as a Lender and an Issuing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Dylan Honza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Dylan Honza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4" w:name="page315"/>
    <w:bookmarkEnd w:id="31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CITIBANK, N.A., </w:t>
      </w:r>
      <w:r>
        <w:rPr>
          <w:rFonts w:ascii="Times New Roman" w:cs="Times New Roman" w:eastAsia="Times New Roman" w:hAnsi="Times New Roman"/>
          <w:sz w:val="18"/>
          <w:szCs w:val="18"/>
          <w:color w:val="auto"/>
        </w:rPr>
        <w:t>as a Lender and an Issuing Bank</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Keith Lukasavich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Keith Lukasavich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 &amp; Vice President</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5" w:name="page316"/>
    <w:bookmarkEnd w:id="31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DEUTSCHE BANK AG NEW YORK BRANCH, </w:t>
      </w:r>
      <w:r>
        <w:rPr>
          <w:rFonts w:ascii="Times New Roman" w:cs="Times New Roman" w:eastAsia="Times New Roman" w:hAnsi="Times New Roman"/>
          <w:sz w:val="18"/>
          <w:szCs w:val="18"/>
          <w:color w:val="auto"/>
        </w:rPr>
        <w:t>as a</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an 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Philip Tancorra</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Philip Tancorra</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Suzan Onal</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Suzan Onal</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6" w:name="page317"/>
    <w:bookmarkEnd w:id="31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GOLDMAN SACHS BANK USA, </w:t>
      </w:r>
      <w:r>
        <w:rPr>
          <w:rFonts w:ascii="Times New Roman" w:cs="Times New Roman" w:eastAsia="Times New Roman" w:hAnsi="Times New Roman"/>
          <w:sz w:val="18"/>
          <w:szCs w:val="18"/>
          <w:color w:val="auto"/>
        </w:rPr>
        <w:t>as a Lender and 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Thomas Manning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Thomas Manning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Authorized Signatory</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7" w:name="page318"/>
    <w:bookmarkEnd w:id="31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w:t>
      </w:r>
      <w:r>
        <w:rPr>
          <w:rFonts w:ascii="Times New Roman" w:cs="Times New Roman" w:eastAsia="Times New Roman" w:hAnsi="Times New Roman"/>
          <w:sz w:val="18"/>
          <w:szCs w:val="18"/>
          <w:color w:val="auto"/>
        </w:rPr>
        <w:t>as a Lender and 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Michael King</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Michael King</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Vice President</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8" w:name="page319"/>
    <w:bookmarkEnd w:id="31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PNC Bank, National Association, </w:t>
      </w:r>
      <w:r>
        <w:rPr>
          <w:rFonts w:ascii="Times New Roman" w:cs="Times New Roman" w:eastAsia="Times New Roman" w:hAnsi="Times New Roman"/>
          <w:sz w:val="18"/>
          <w:szCs w:val="18"/>
          <w:color w:val="auto"/>
        </w:rPr>
        <w:t>as a Lender and an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Matthew P. Gelles</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Matthew P. Gelles</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19" w:name="page320"/>
    <w:bookmarkEnd w:id="31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SOCIETE GENERALE, </w:t>
      </w:r>
      <w:r>
        <w:rPr>
          <w:rFonts w:ascii="Times New Roman" w:cs="Times New Roman" w:eastAsia="Times New Roman" w:hAnsi="Times New Roman"/>
          <w:sz w:val="18"/>
          <w:szCs w:val="18"/>
          <w:color w:val="auto"/>
        </w:rPr>
        <w:t>as a Lender and an Issuing Bank</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Shelley Yu</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Shelley Yu</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20" w:name="page321"/>
    <w:bookmarkEnd w:id="32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SUMITOMO MITSUI BANKING CORPORATION, </w:t>
      </w:r>
      <w:r>
        <w:rPr>
          <w:rFonts w:ascii="Times New Roman" w:cs="Times New Roman" w:eastAsia="Times New Roman" w:hAnsi="Times New Roman"/>
          <w:sz w:val="18"/>
          <w:szCs w:val="18"/>
          <w:color w:val="auto"/>
        </w:rPr>
        <w:t>as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Lender and an 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Nabeel Shah</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Nabeel Shah</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21" w:name="page322"/>
    <w:bookmarkEnd w:id="32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NATIONAL ASSOCIATION,</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a Lender and an Issuing Bank</w:t>
      </w:r>
    </w:p>
    <w:p>
      <w:pPr>
        <w:spacing w:after="0" w:line="207"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Tracy L. Moosbrugger</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Tracy L. Moosbrugger</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Managing Director</w:t>
            </w:r>
          </w:p>
        </w:tc>
      </w:tr>
    </w:tbl>
    <w:p>
      <w:pPr>
        <w:spacing w:after="0" w:line="130"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[Signature Page to Credit and Guaranty Agreement]</w:t>
      </w:r>
    </w:p>
    <w:p>
      <w:pPr>
        <w:sectPr>
          <w:pgSz w:w="11900" w:h="16838" w:orient="portrait"/>
          <w:cols w:equalWidth="0" w:num="1">
            <w:col w:w="10020"/>
          </w:cols>
          <w:pgMar w:left="1440" w:top="266" w:right="439"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9" w:lineRule="exact"/>
        <w:rPr>
          <w:sz w:val="20"/>
          <w:szCs w:val="20"/>
          <w:color w:val="auto"/>
        </w:rPr>
      </w:pPr>
    </w:p>
    <w:p>
      <w:pPr>
        <w:ind w:left="4" w:right="20" w:hanging="4"/>
        <w:spacing w:after="0" w:line="282" w:lineRule="auto"/>
        <w:tabs>
          <w:tab w:leader="none" w:pos="439"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601(a)(6) Such excluded information is not material and is the type that the registrant treats as private or confidential.</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CREDIT AND GUARANTY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 [            ]</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among</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the Borrower,</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CERTAIN SUBSIDIARIES OF VERSANT MEDIA GROUP,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Subsidiary Guarantors,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FINANCIAL INSTITUTIONS PARTY HERETO,</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Lenders and Issuing Banks,</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MORGAN STANLEY SENIOR FUNDING, INC., GOLDMAN SACHS BANK USA, BOFA</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INC., CITIGROUP GLOBAL MARKETS INC., DEUTSCHE BANK</w:t>
      </w:r>
    </w:p>
    <w:p>
      <w:pPr>
        <w:spacing w:after="0" w:line="9" w:lineRule="exact"/>
        <w:rPr>
          <w:sz w:val="20"/>
          <w:szCs w:val="20"/>
          <w:color w:val="auto"/>
        </w:rPr>
      </w:pPr>
    </w:p>
    <w:p>
      <w:pPr>
        <w:jc w:val="center"/>
        <w:ind w:right="16"/>
        <w:spacing w:after="0" w:line="250" w:lineRule="auto"/>
        <w:rPr>
          <w:sz w:val="20"/>
          <w:szCs w:val="20"/>
          <w:color w:val="auto"/>
        </w:rPr>
      </w:pPr>
      <w:r>
        <w:rPr>
          <w:rFonts w:ascii="Times New Roman" w:cs="Times New Roman" w:eastAsia="Times New Roman" w:hAnsi="Times New Roman"/>
          <w:sz w:val="18"/>
          <w:szCs w:val="18"/>
          <w:color w:val="auto"/>
        </w:rPr>
        <w:t>SECURITIES INC., JPMORGAN CHASE BANK, N.A., PNC CAPITAL MARKETS LLC, SOCIÉTÉ GÉNÉRALE, SUMITOMO MITSUI BANKING CORPORATION and WELLS FARGO SECURITIES, LLC,</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 and Joint Bookrunners</w:t>
      </w:r>
    </w:p>
    <w:p>
      <w:pPr>
        <w:sectPr>
          <w:pgSz w:w="11900" w:h="16838" w:orient="portrait"/>
          <w:cols w:equalWidth="0" w:num="1">
            <w:col w:w="11024"/>
          </w:cols>
          <w:pgMar w:left="436" w:top="117" w:right="439"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9500" w:type="dxa"/>
            <w:vAlign w:val="bottom"/>
          </w:tcPr>
          <w:p>
            <w:pPr>
              <w:ind w:left="34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120" w:type="dxa"/>
            <w:vAlign w:val="bottom"/>
          </w:tcPr>
          <w:p>
            <w:pPr>
              <w:spacing w:after="0"/>
              <w:rPr>
                <w:sz w:val="24"/>
                <w:szCs w:val="24"/>
                <w:color w:val="auto"/>
              </w:rPr>
            </w:pPr>
          </w:p>
        </w:tc>
        <w:tc>
          <w:tcPr>
            <w:tcW w:w="9500" w:type="dxa"/>
            <w:vAlign w:val="bottom"/>
            <w:vMerge w:val="restart"/>
          </w:tcPr>
          <w:p>
            <w:pPr>
              <w:jc w:val="center"/>
              <w:ind w:right="690"/>
              <w:spacing w:after="0"/>
              <w:rPr>
                <w:sz w:val="20"/>
                <w:szCs w:val="20"/>
                <w:color w:val="auto"/>
              </w:rPr>
            </w:pPr>
            <w:r>
              <w:rPr>
                <w:rFonts w:ascii="Times New Roman" w:cs="Times New Roman" w:eastAsia="Times New Roman" w:hAnsi="Times New Roman"/>
                <w:sz w:val="18"/>
                <w:szCs w:val="18"/>
                <w:color w:val="auto"/>
                <w:w w:val="98"/>
              </w:rPr>
              <w:t>ARTICLE 1</w:t>
            </w: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w:t>
            </w:r>
            <w:r>
              <w:rPr>
                <w:rFonts w:ascii="Times New Roman" w:cs="Times New Roman" w:eastAsia="Times New Roman" w:hAnsi="Times New Roman"/>
                <w:sz w:val="11"/>
                <w:szCs w:val="11"/>
                <w:color w:val="auto"/>
              </w:rPr>
              <w:t>AGE</w:t>
            </w:r>
          </w:p>
        </w:tc>
        <w:tc>
          <w:tcPr>
            <w:tcW w:w="0" w:type="dxa"/>
            <w:vAlign w:val="bottom"/>
          </w:tcPr>
          <w:p>
            <w:pPr>
              <w:spacing w:after="0"/>
              <w:rPr>
                <w:sz w:val="1"/>
                <w:szCs w:val="1"/>
                <w:color w:val="auto"/>
              </w:rPr>
            </w:pPr>
          </w:p>
        </w:tc>
      </w:tr>
      <w:tr>
        <w:trPr>
          <w:trHeight w:val="178"/>
        </w:trPr>
        <w:tc>
          <w:tcPr>
            <w:tcW w:w="1120" w:type="dxa"/>
            <w:vAlign w:val="bottom"/>
          </w:tcPr>
          <w:p>
            <w:pPr>
              <w:spacing w:after="0"/>
              <w:rPr>
                <w:sz w:val="15"/>
                <w:szCs w:val="15"/>
                <w:color w:val="auto"/>
              </w:rPr>
            </w:pPr>
          </w:p>
        </w:tc>
        <w:tc>
          <w:tcPr>
            <w:tcW w:w="950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5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DEFINITIONS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Defined Terms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Classification of Loans and Borrowings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Terms Generally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1.04.</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Accounting Terms; GAAP</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1.05.</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1.06.</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Timing of Payment and Performance</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1.07.</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Times of Day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1.08.</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Currency Equivalents Generally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1.09.</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Cashless Rollovers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1.10.</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Alternate Currencies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1.11.</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1.12.</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Borrowers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1.13.</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Escrow Funding</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06"/>
        </w:trPr>
        <w:tc>
          <w:tcPr>
            <w:tcW w:w="1120" w:type="dxa"/>
            <w:vAlign w:val="bottom"/>
          </w:tcPr>
          <w:p>
            <w:pPr>
              <w:spacing w:after="0"/>
              <w:rPr>
                <w:sz w:val="24"/>
                <w:szCs w:val="24"/>
                <w:color w:val="auto"/>
              </w:rPr>
            </w:pPr>
          </w:p>
        </w:tc>
        <w:tc>
          <w:tcPr>
            <w:tcW w:w="950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8"/>
              </w:rPr>
              <w:t>ARTICLE 2</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950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THE CREDITS</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Loans and Borrowings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Requests for Borrowings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Swingline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Letters of Credit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Funding of Borrowings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Type; Interest Elections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Termination and Reduction of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Loans; Evidence of Debt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Prepayment of Loans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Alternate Rate of Interest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Increased Costs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Break Funding 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Generally; Allocation of Proceeds; Sharing of Payments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2.19.</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Mitigation Obligations; Replacement of Lenders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2.20.</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Illegality</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2.21.</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Defaulting Lenders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2.22.</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Incremental Credit Extensions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2.23.</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Extensions of Loans and Revolving Credit Commitments</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2.24.</w:t>
            </w:r>
          </w:p>
        </w:tc>
        <w:tc>
          <w:tcPr>
            <w:tcW w:w="9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Benchmark Replacement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24" w:name="page325"/>
    <w:bookmarkEnd w:id="324"/>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Organization; Powers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Authorization; Enforceability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Governmental Approvals; No Conflicts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Condition; No Material Adverse Effect</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Litigation and Environmental Matters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Company Status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ERISA</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Disclosure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Solvency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Security Interest in Collateral</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Labor Disputes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 Reserve Regulations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3.17.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USA PATRIOT Act, Sanctions and Anti-Corruption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306"/>
        </w:trPr>
        <w:tc>
          <w:tcPr>
            <w:tcW w:w="1120" w:type="dxa"/>
            <w:vAlign w:val="bottom"/>
          </w:tcPr>
          <w:p>
            <w:pPr>
              <w:spacing w:after="0"/>
              <w:rPr>
                <w:sz w:val="24"/>
                <w:szCs w:val="24"/>
                <w:color w:val="auto"/>
              </w:rPr>
            </w:pPr>
          </w:p>
        </w:tc>
        <w:tc>
          <w:tcPr>
            <w:tcW w:w="7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4</w:t>
            </w:r>
          </w:p>
        </w:tc>
        <w:tc>
          <w:tcPr>
            <w:tcW w:w="230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CONDITIONS</w:t>
            </w:r>
          </w:p>
        </w:tc>
        <w:tc>
          <w:tcPr>
            <w:tcW w:w="2300" w:type="dxa"/>
            <w:vAlign w:val="bottom"/>
          </w:tcPr>
          <w:p>
            <w:pPr>
              <w:spacing w:after="0"/>
              <w:rPr>
                <w:sz w:val="20"/>
                <w:szCs w:val="20"/>
                <w:color w:val="auto"/>
              </w:rPr>
            </w:pPr>
          </w:p>
        </w:tc>
      </w:tr>
      <w:tr>
        <w:trPr>
          <w:trHeight w:val="3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Closing Date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Each Credit Extension</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306"/>
        </w:trPr>
        <w:tc>
          <w:tcPr>
            <w:tcW w:w="1120" w:type="dxa"/>
            <w:vAlign w:val="bottom"/>
          </w:tcPr>
          <w:p>
            <w:pPr>
              <w:spacing w:after="0"/>
              <w:rPr>
                <w:sz w:val="24"/>
                <w:szCs w:val="24"/>
                <w:color w:val="auto"/>
              </w:rPr>
            </w:pPr>
          </w:p>
        </w:tc>
        <w:tc>
          <w:tcPr>
            <w:tcW w:w="7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5</w:t>
            </w:r>
          </w:p>
        </w:tc>
        <w:tc>
          <w:tcPr>
            <w:tcW w:w="230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300" w:type="dxa"/>
            <w:vAlign w:val="bottom"/>
          </w:tcPr>
          <w:p>
            <w:pPr>
              <w:spacing w:after="0"/>
              <w:rPr>
                <w:sz w:val="20"/>
                <w:szCs w:val="20"/>
                <w:color w:val="auto"/>
              </w:rPr>
            </w:pPr>
          </w:p>
        </w:tc>
      </w:tr>
      <w:tr>
        <w:trPr>
          <w:trHeight w:val="3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Financial Statements and Other Reports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Existence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Taxes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Properties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Insurance</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Inspections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Book and Records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5.09.</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Hazardous Materials Activity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5.10.</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Designation of Subsidiaries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 of Proceeds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 to Guarantee Loan Document Obligations and Give Security</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Further Assurances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5.16.</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Conduct of Business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5.17.</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Post-Closing Actions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5.18.</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306"/>
        </w:trPr>
        <w:tc>
          <w:tcPr>
            <w:tcW w:w="1120" w:type="dxa"/>
            <w:vAlign w:val="bottom"/>
          </w:tcPr>
          <w:p>
            <w:pPr>
              <w:spacing w:after="0"/>
              <w:rPr>
                <w:sz w:val="24"/>
                <w:szCs w:val="24"/>
                <w:color w:val="auto"/>
              </w:rPr>
            </w:pPr>
          </w:p>
        </w:tc>
        <w:tc>
          <w:tcPr>
            <w:tcW w:w="7540" w:type="dxa"/>
            <w:vAlign w:val="bottom"/>
          </w:tcPr>
          <w:p>
            <w:pPr>
              <w:jc w:val="center"/>
              <w:ind w:left="1090"/>
              <w:spacing w:after="0"/>
              <w:rPr>
                <w:sz w:val="20"/>
                <w:szCs w:val="20"/>
                <w:color w:val="auto"/>
              </w:rPr>
            </w:pPr>
            <w:r>
              <w:rPr>
                <w:rFonts w:ascii="Times New Roman" w:cs="Times New Roman" w:eastAsia="Times New Roman" w:hAnsi="Times New Roman"/>
                <w:sz w:val="18"/>
                <w:szCs w:val="18"/>
                <w:color w:val="auto"/>
                <w:w w:val="98"/>
              </w:rPr>
              <w:t>ARTICLE 6</w:t>
            </w:r>
          </w:p>
        </w:tc>
        <w:tc>
          <w:tcPr>
            <w:tcW w:w="2300" w:type="dxa"/>
            <w:vAlign w:val="bottom"/>
          </w:tcPr>
          <w:p>
            <w:pPr>
              <w:spacing w:after="0"/>
              <w:rPr>
                <w:sz w:val="24"/>
                <w:szCs w:val="24"/>
                <w:color w:val="auto"/>
              </w:rPr>
            </w:pPr>
          </w:p>
        </w:tc>
      </w:tr>
      <w:tr>
        <w:trPr>
          <w:trHeight w:val="234"/>
        </w:trPr>
        <w:tc>
          <w:tcPr>
            <w:tcW w:w="1120" w:type="dxa"/>
            <w:vAlign w:val="bottom"/>
          </w:tcPr>
          <w:p>
            <w:pPr>
              <w:spacing w:after="0"/>
              <w:rPr>
                <w:sz w:val="20"/>
                <w:szCs w:val="20"/>
                <w:color w:val="auto"/>
              </w:rPr>
            </w:pPr>
          </w:p>
        </w:tc>
        <w:tc>
          <w:tcPr>
            <w:tcW w:w="754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300" w:type="dxa"/>
            <w:vAlign w:val="bottom"/>
          </w:tcPr>
          <w:p>
            <w:pPr>
              <w:spacing w:after="0"/>
              <w:rPr>
                <w:sz w:val="20"/>
                <w:szCs w:val="20"/>
                <w:color w:val="auto"/>
              </w:rPr>
            </w:pPr>
          </w:p>
        </w:tc>
      </w:tr>
      <w:tr>
        <w:trPr>
          <w:trHeight w:val="31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Indebtedness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Liens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Further Negative Pledges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Payments; Restricted Debt Payments</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Fundamental Changes; Disposition of Assets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 and Lease-Back Transactions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Amendments of or Waivers with Respect to Restricted Debt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6.14.</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6.15.</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306"/>
        </w:trPr>
        <w:tc>
          <w:tcPr>
            <w:tcW w:w="1160" w:type="dxa"/>
            <w:vAlign w:val="bottom"/>
          </w:tcPr>
          <w:p>
            <w:pPr>
              <w:spacing w:after="0"/>
              <w:rPr>
                <w:sz w:val="24"/>
                <w:szCs w:val="24"/>
                <w:color w:val="auto"/>
              </w:rPr>
            </w:pPr>
          </w:p>
        </w:tc>
        <w:tc>
          <w:tcPr>
            <w:tcW w:w="8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7</w:t>
            </w:r>
          </w:p>
        </w:tc>
        <w:tc>
          <w:tcPr>
            <w:tcW w:w="15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LOAN GUARANTEE</w:t>
            </w:r>
          </w:p>
        </w:tc>
        <w:tc>
          <w:tcPr>
            <w:tcW w:w="1560" w:type="dxa"/>
            <w:vAlign w:val="bottom"/>
          </w:tcPr>
          <w:p>
            <w:pPr>
              <w:spacing w:after="0"/>
              <w:rPr>
                <w:sz w:val="20"/>
                <w:szCs w:val="20"/>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 of the Loan Document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Contribution by Guarantors; Indemnification; Subordination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by Subsidiary Guarantors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Liability of Guarantors Absolute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by Guarantors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Guarantors’ Rights of Subrogation, Contribution, etc.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Subordination of Other Obligations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Continuing Guarantee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Authority of Subsidiary Guarantors or Borrower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Condition of Borrower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Bankruptcy, etc.</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Discharge of Loan Guarantee upon Sale of Subsidiary Guarantor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06"/>
        </w:trPr>
        <w:tc>
          <w:tcPr>
            <w:tcW w:w="1160" w:type="dxa"/>
            <w:vAlign w:val="bottom"/>
          </w:tcPr>
          <w:p>
            <w:pPr>
              <w:spacing w:after="0"/>
              <w:rPr>
                <w:sz w:val="24"/>
                <w:szCs w:val="24"/>
                <w:color w:val="auto"/>
              </w:rPr>
            </w:pPr>
          </w:p>
        </w:tc>
        <w:tc>
          <w:tcPr>
            <w:tcW w:w="8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8</w:t>
            </w:r>
          </w:p>
        </w:tc>
        <w:tc>
          <w:tcPr>
            <w:tcW w:w="15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EVENTS OF DEFAULT</w:t>
            </w:r>
          </w:p>
        </w:tc>
        <w:tc>
          <w:tcPr>
            <w:tcW w:w="1560" w:type="dxa"/>
            <w:vAlign w:val="bottom"/>
          </w:tcPr>
          <w:p>
            <w:pPr>
              <w:spacing w:after="0"/>
              <w:rPr>
                <w:sz w:val="20"/>
                <w:szCs w:val="20"/>
                <w:color w:val="auto"/>
              </w:rPr>
            </w:pPr>
          </w:p>
        </w:tc>
      </w:tr>
      <w:tr>
        <w:trPr>
          <w:trHeight w:val="338"/>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306"/>
        </w:trPr>
        <w:tc>
          <w:tcPr>
            <w:tcW w:w="1160" w:type="dxa"/>
            <w:vAlign w:val="bottom"/>
          </w:tcPr>
          <w:p>
            <w:pPr>
              <w:spacing w:after="0"/>
              <w:rPr>
                <w:sz w:val="24"/>
                <w:szCs w:val="24"/>
                <w:color w:val="auto"/>
              </w:rPr>
            </w:pPr>
          </w:p>
        </w:tc>
        <w:tc>
          <w:tcPr>
            <w:tcW w:w="8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8"/>
              </w:rPr>
              <w:t>ARTICLE 9</w:t>
            </w:r>
          </w:p>
        </w:tc>
        <w:tc>
          <w:tcPr>
            <w:tcW w:w="15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THE ADMINISTRATIVE AGENT AND THE COLLATERAL AGENT</w:t>
            </w:r>
          </w:p>
        </w:tc>
        <w:tc>
          <w:tcPr>
            <w:tcW w:w="1560" w:type="dxa"/>
            <w:vAlign w:val="bottom"/>
          </w:tcPr>
          <w:p>
            <w:pPr>
              <w:spacing w:after="0"/>
              <w:rPr>
                <w:sz w:val="20"/>
                <w:szCs w:val="20"/>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Enforcement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Bankruptcy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Reliance</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Delegation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Resignation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Arrangers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 of Loan Guarantees; Collateral</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9.09.</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Intercreditor Agreements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9.10.</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Indemnification by Lenders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9.11.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Withholding Taxes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9.12.</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Calculations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r>
      <w:tr>
        <w:trPr>
          <w:trHeight w:val="306"/>
        </w:trPr>
        <w:tc>
          <w:tcPr>
            <w:tcW w:w="1160" w:type="dxa"/>
            <w:vAlign w:val="bottom"/>
          </w:tcPr>
          <w:p>
            <w:pPr>
              <w:spacing w:after="0"/>
              <w:rPr>
                <w:sz w:val="24"/>
                <w:szCs w:val="24"/>
                <w:color w:val="auto"/>
              </w:rPr>
            </w:pPr>
          </w:p>
        </w:tc>
        <w:tc>
          <w:tcPr>
            <w:tcW w:w="824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7"/>
              </w:rPr>
              <w:t>ARTICLE 10</w:t>
            </w:r>
          </w:p>
        </w:tc>
        <w:tc>
          <w:tcPr>
            <w:tcW w:w="1560" w:type="dxa"/>
            <w:vAlign w:val="bottom"/>
          </w:tcPr>
          <w:p>
            <w:pPr>
              <w:spacing w:after="0"/>
              <w:rPr>
                <w:sz w:val="24"/>
                <w:szCs w:val="24"/>
                <w:color w:val="auto"/>
              </w:rPr>
            </w:pPr>
          </w:p>
        </w:tc>
      </w:tr>
      <w:tr>
        <w:trPr>
          <w:trHeight w:val="234"/>
        </w:trPr>
        <w:tc>
          <w:tcPr>
            <w:tcW w:w="1160" w:type="dxa"/>
            <w:vAlign w:val="bottom"/>
          </w:tcPr>
          <w:p>
            <w:pPr>
              <w:spacing w:after="0"/>
              <w:rPr>
                <w:sz w:val="20"/>
                <w:szCs w:val="20"/>
                <w:color w:val="auto"/>
              </w:rPr>
            </w:pPr>
          </w:p>
        </w:tc>
        <w:tc>
          <w:tcPr>
            <w:tcW w:w="82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560" w:type="dxa"/>
            <w:vAlign w:val="bottom"/>
          </w:tcPr>
          <w:p>
            <w:pPr>
              <w:spacing w:after="0"/>
              <w:rPr>
                <w:sz w:val="20"/>
                <w:szCs w:val="20"/>
                <w:color w:val="auto"/>
              </w:rPr>
            </w:pPr>
          </w:p>
        </w:tc>
      </w:tr>
      <w:tr>
        <w:trPr>
          <w:trHeight w:val="31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Waivers; Amendments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Expenses; Indemnity</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Claim</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10.05.   Successors and Assigns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Survival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10.07.   Counterparts; Integration; Effectiveness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10.08.</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10.09.</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 of Setoff</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10.10.   Governing Law; Jurisdiction; Consent to Service of Process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10.11.   Waiver of Jury Trial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10.12.</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Headings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10.13.</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Confidentiality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10.14.   No Fiduciary Duty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10.15.</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Several Obligations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10.16.   USA PATRIOT Act; Beneficial Ownership</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10.17.</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10.18.   Appointment for Perfection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10.19.   Interest Rate Limitation</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10.20.</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Judgment Currency</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10.21.</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Conflicts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10.22.   Release of Guarantors and Collateral</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10.23.   Acknowledgement and Consent to Bail-In of Affected Financial Institutions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10.24.   Certain ERISA Matters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r>
      <w:tr>
        <w:trPr>
          <w:trHeight w:val="216"/>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10.25.   Acknowledgement Regarding Any Supported QFCs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10.26.</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Erroneous Payments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10.27.</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10.28.</w:t>
            </w:r>
          </w:p>
        </w:tc>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4"/>
        </w:trPr>
        <w:tc>
          <w:tcPr>
            <w:tcW w:w="8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10.29.   Permitted Reorganization Transactions.</w:t>
            </w:r>
          </w:p>
        </w:tc>
        <w:tc>
          <w:tcPr>
            <w:tcW w:w="2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0" w:right="499"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SCHEDULES:</w:t>
            </w:r>
          </w:p>
        </w:tc>
        <w:tc>
          <w:tcPr>
            <w:tcW w:w="760" w:type="dxa"/>
            <w:vAlign w:val="bottom"/>
          </w:tcPr>
          <w:p>
            <w:pPr>
              <w:spacing w:after="0"/>
              <w:rPr>
                <w:sz w:val="20"/>
                <w:szCs w:val="20"/>
                <w:color w:val="auto"/>
              </w:rPr>
            </w:pPr>
          </w:p>
        </w:tc>
        <w:tc>
          <w:tcPr>
            <w:tcW w:w="4160" w:type="dxa"/>
            <w:vAlign w:val="bottom"/>
          </w:tcPr>
          <w:p>
            <w:pPr>
              <w:spacing w:after="0"/>
              <w:rPr>
                <w:sz w:val="20"/>
                <w:szCs w:val="20"/>
                <w:color w:val="auto"/>
              </w:rPr>
            </w:pPr>
          </w:p>
        </w:tc>
      </w:tr>
      <w:tr>
        <w:trPr>
          <w:trHeight w:val="30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Commitment Schedule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Legal Opinions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1.01(e)</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Immaterial Subsidiaries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1.01(f)</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Subsidiary Guarantors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3.05</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Fee Owned Real Estate Assets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3.06</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 and Environmental Matters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5.10</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Unrestricted Subsidiaries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5.17</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Post-Closing Actions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5.18</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Affiliate Transactions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6.01</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Indebtedness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6.02</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Liens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6.03</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Negative Pledges</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6.06</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Existing Investments</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Schedule 6.07</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Certain Dispositions</w:t>
            </w:r>
          </w:p>
        </w:tc>
      </w:tr>
      <w:tr>
        <w:trPr>
          <w:trHeight w:val="540"/>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EXHIBITS:</w:t>
            </w:r>
          </w:p>
        </w:tc>
        <w:tc>
          <w:tcPr>
            <w:tcW w:w="76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30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Assignment and Assumption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Form of Affiliated Lender Assignment and Assumption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Compliance Certificate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Intercompany Note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Promissory Note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H-1</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Trademark Security Agreement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H-2</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Patent Security Agreement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H-3</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Copyright Security Agreement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Solvency Certificate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J</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Security Agreement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K</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Letter of Credit Request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L1-L4</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Forms of U.S. Tax Compliance Certificate</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M</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[Reserved]</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N</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Counterpart Agreement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O</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Substitute Affiliate Lender Nomination</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P</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Pari Passu Intercreditor Agreement</w:t>
            </w:r>
          </w:p>
        </w:tc>
      </w:tr>
      <w:tr>
        <w:trPr>
          <w:trHeight w:val="234"/>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Exhibit Q</w:t>
            </w:r>
          </w:p>
        </w:tc>
        <w:tc>
          <w:tcPr>
            <w:tcW w:w="7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41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Form of First/Second Lien Intercreditor Agreement</w:t>
            </w:r>
          </w:p>
        </w:tc>
      </w:tr>
      <w:tr>
        <w:trPr>
          <w:trHeight w:val="365"/>
        </w:trPr>
        <w:tc>
          <w:tcPr>
            <w:tcW w:w="1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160" w:type="dxa"/>
            <w:vAlign w:val="bottom"/>
          </w:tcPr>
          <w:p>
            <w:pPr>
              <w:ind w:left="2980"/>
              <w:spacing w:after="0"/>
              <w:rPr>
                <w:sz w:val="20"/>
                <w:szCs w:val="20"/>
                <w:color w:val="auto"/>
              </w:rPr>
            </w:pPr>
            <w:r>
              <w:rPr>
                <w:rFonts w:ascii="Times New Roman" w:cs="Times New Roman" w:eastAsia="Times New Roman" w:hAnsi="Times New Roman"/>
                <w:sz w:val="18"/>
                <w:szCs w:val="18"/>
                <w:color w:val="auto"/>
              </w:rPr>
              <w:t>v</w:t>
            </w:r>
          </w:p>
        </w:tc>
      </w:tr>
    </w:tbl>
    <w:p>
      <w:pPr>
        <w:ind w:left="2980"/>
        <w:spacing w:after="0"/>
        <w:rPr>
          <w:sz w:val="20"/>
          <w:szCs w:val="20"/>
          <w:color w:val="auto"/>
        </w:rPr>
        <w:sectPr>
          <w:pgSz w:w="11900" w:h="16838" w:orient="portrait"/>
          <w:cols w:equalWidth="0" w:num="1">
            <w:col w:w="10019"/>
          </w:cols>
          <w:pgMar w:left="440" w:top="270"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28" w:name="page329"/>
    <w:bookmarkEnd w:id="328"/>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AND GUARANTY AGREEMENT</w:t>
      </w:r>
    </w:p>
    <w:p>
      <w:pPr>
        <w:spacing w:after="0" w:line="221" w:lineRule="exact"/>
        <w:rPr>
          <w:sz w:val="20"/>
          <w:szCs w:val="20"/>
          <w:color w:val="auto"/>
        </w:rPr>
      </w:pPr>
    </w:p>
    <w:p>
      <w:pPr>
        <w:ind w:left="4" w:right="160" w:firstLine="440"/>
        <w:spacing w:after="0" w:line="257" w:lineRule="auto"/>
        <w:rPr>
          <w:sz w:val="20"/>
          <w:szCs w:val="20"/>
          <w:color w:val="auto"/>
        </w:rPr>
      </w:pPr>
      <w:r>
        <w:rPr>
          <w:rFonts w:ascii="Times New Roman" w:cs="Times New Roman" w:eastAsia="Times New Roman" w:hAnsi="Times New Roman"/>
          <w:sz w:val="18"/>
          <w:szCs w:val="18"/>
          <w:color w:val="auto"/>
        </w:rPr>
        <w:t>CREDIT AND GUARANTY AGREEMENT, dated as of [        ] (this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by and among VERSANT MEDIA GROUP, INC., a Pennsylvania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CERTAIN SUBSIDIARIES OF THE BORROWER, as Subsidiary Guarantors, the Lenders and Issuing Banks from time to time party hereto and MORGAN STANLEY SENIOR FUNDING, INC.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in its capacities as administrative agent for the Lenders and Issuing Banks (in its capacity as such,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as collateral agent for the Lenders and Issuing Banks (in its capacity as such, the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with the persons listed on the cover page hereof as joint lead arrangers and joint bookrunners (in such capacities, collectively, the “</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RECITALS</w:t>
      </w:r>
    </w:p>
    <w:p>
      <w:pPr>
        <w:spacing w:after="0" w:line="22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A. Comcast Corporation, a Pennsylvania corporation (the “</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intends to consummate the Separation, which will entail spin-off of the Spin Business from the Parent through the consummation of (i) a series of transactions which will result in certain assets, liabilities and legal entities comprising the Spin Business being owned directly, or indirectly through its subsidiaries, by the Borrower and (ii) the distribution of all of the Borrower’s shares of common stock as of the Record Date (as such term is used in the Separation and Distribution Agreement) owned by the Parent to the holders of the Parent’s shares of common stock;</w:t>
      </w:r>
    </w:p>
    <w:p>
      <w:pPr>
        <w:spacing w:after="0" w:line="18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B. In connection with the Separation, the Borrower intends to (i) incur certain Indebtedness, in the form of (w) the Term Loan A Facility (as defined below) in an original aggregate principal amount of $1,000,000,000, (x) the Pro Rata Revolving Facility (as defined below) in an original aggregate principal amount of $750,000,000, in each case of </w:t>
      </w:r>
      <w:r>
        <w:rPr>
          <w:rFonts w:ascii="Times New Roman" w:cs="Times New Roman" w:eastAsia="Times New Roman" w:hAnsi="Times New Roman"/>
          <w:sz w:val="17"/>
          <w:szCs w:val="17"/>
          <w:u w:val="single" w:color="auto"/>
          <w:color w:val="auto"/>
        </w:rPr>
        <w:t>clauses (w)</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secured by a first priority Lien on the Collateral on a pari passu basis with the Initial Term Loans, (y) the Initial Term Loans in an original aggregate principal amount of $[        ] and (z) other senior secured debt facilities, secured by a first priority Lien on the Collateral on a pari passu basis with the Initial Term Loans (together with any Refinancing Indebtedness in respect thereof incurred in accordance with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color w:val="auto"/>
        </w:rPr>
        <w:t>Other Secured Debt</w:t>
      </w:r>
      <w:r>
        <w:rPr>
          <w:rFonts w:ascii="Times New Roman" w:cs="Times New Roman" w:eastAsia="Times New Roman" w:hAnsi="Times New Roman"/>
          <w:sz w:val="17"/>
          <w:szCs w:val="17"/>
          <w:color w:val="auto"/>
        </w:rPr>
        <w:t>”), in an original aggregate principal amount of $[        ],</w:t>
      </w:r>
    </w:p>
    <w:p>
      <w:pPr>
        <w:spacing w:after="0" w:line="5" w:lineRule="exact"/>
        <w:rPr>
          <w:sz w:val="20"/>
          <w:szCs w:val="20"/>
          <w:color w:val="auto"/>
        </w:rPr>
      </w:pPr>
    </w:p>
    <w:p>
      <w:pPr>
        <w:ind w:left="264" w:hanging="264"/>
        <w:spacing w:after="0"/>
        <w:tabs>
          <w:tab w:leader="none" w:pos="264"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the Special Cash Payment to the Parent and (iii) pay Transaction Costs;</w:t>
      </w:r>
    </w:p>
    <w:p>
      <w:pPr>
        <w:spacing w:after="0" w:line="206" w:lineRule="exact"/>
        <w:rPr>
          <w:rFonts w:ascii="Times New Roman" w:cs="Times New Roman" w:eastAsia="Times New Roman" w:hAnsi="Times New Roman"/>
          <w:sz w:val="18"/>
          <w:szCs w:val="18"/>
          <w:color w:val="auto"/>
        </w:rPr>
      </w:pPr>
    </w:p>
    <w:p>
      <w:pPr>
        <w:ind w:left="644" w:hanging="204"/>
        <w:spacing w:after="0"/>
        <w:tabs>
          <w:tab w:leader="none" w:pos="644"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has requested that the Lenders extend credit in the form of the Initial Term Loans described above; and</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are willing to extend such credit on the terms and subject to the conditions set forth herein.</w:t>
      </w:r>
    </w:p>
    <w:p>
      <w:pPr>
        <w:spacing w:after="0" w:line="225" w:lineRule="exact"/>
        <w:rPr>
          <w:rFonts w:ascii="Times New Roman" w:cs="Times New Roman" w:eastAsia="Times New Roman" w:hAnsi="Times New Roman"/>
          <w:sz w:val="18"/>
          <w:szCs w:val="18"/>
          <w:color w:val="auto"/>
        </w:rPr>
      </w:pPr>
    </w:p>
    <w:p>
      <w:pPr>
        <w:ind w:left="644" w:hanging="204"/>
        <w:spacing w:after="0"/>
        <w:tabs>
          <w:tab w:leader="none" w:pos="644"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Accordingly, the parties hereto agree as follows:</w:t>
      </w:r>
    </w:p>
    <w:p>
      <w:pPr>
        <w:spacing w:after="0" w:line="200" w:lineRule="exact"/>
        <w:rPr>
          <w:sz w:val="20"/>
          <w:szCs w:val="20"/>
          <w:color w:val="auto"/>
        </w:rPr>
      </w:pPr>
    </w:p>
    <w:p>
      <w:pPr>
        <w:spacing w:after="0" w:line="24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1.01. Defined Terms. As used in this Agreement, the following terms have the meanings specified below:</w:t>
      </w:r>
    </w:p>
    <w:p>
      <w:pPr>
        <w:spacing w:after="0" w:line="113"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w:t>
      </w:r>
    </w:p>
    <w:p>
      <w:pPr>
        <w:spacing w:after="0" w:line="9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64"/>
          </w:cols>
          <w:pgMar w:left="436" w:top="270" w:right="499" w:bottom="1440" w:gutter="0" w:footer="0" w:header="0"/>
        </w:sectPr>
      </w:pPr>
    </w:p>
    <w:bookmarkStart w:id="329" w:name="page330"/>
    <w:bookmarkEnd w:id="329"/>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xml:space="preserve">” means an intercreditor agreement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an intercreditor agreement substantially in the form of </w:t>
      </w:r>
      <w:r>
        <w:rPr>
          <w:rFonts w:ascii="Times New Roman" w:cs="Times New Roman" w:eastAsia="Times New Roman" w:hAnsi="Times New Roman"/>
          <w:sz w:val="18"/>
          <w:szCs w:val="18"/>
          <w:u w:val="single" w:color="auto"/>
          <w:color w:val="auto"/>
        </w:rPr>
        <w:t>Exhibit Q</w:t>
      </w:r>
      <w:r>
        <w:rPr>
          <w:rFonts w:ascii="Times New Roman" w:cs="Times New Roman" w:eastAsia="Times New Roman" w:hAnsi="Times New Roman"/>
          <w:sz w:val="18"/>
          <w:szCs w:val="18"/>
          <w:color w:val="auto"/>
        </w:rPr>
        <w:t>, a Market Intercreditor Agreement or another intercreditor agreement that is reasonably satisfactory to the Administrative Agent and the Borrower (which may, if applicable, consist of a payment “waterfall”).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ACH</w:t>
      </w:r>
      <w:r>
        <w:rPr>
          <w:rFonts w:ascii="Times New Roman" w:cs="Times New Roman" w:eastAsia="Times New Roman" w:hAnsi="Times New Roman"/>
          <w:sz w:val="18"/>
          <w:szCs w:val="18"/>
          <w:color w:val="auto"/>
        </w:rPr>
        <w:t>” means automated clearing house transfers.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Borrower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Commitment</w:t>
      </w:r>
      <w:r>
        <w:rPr>
          <w:rFonts w:ascii="Times New Roman" w:cs="Times New Roman" w:eastAsia="Times New Roman" w:hAnsi="Times New Roman"/>
          <w:sz w:val="18"/>
          <w:szCs w:val="18"/>
          <w:color w:val="auto"/>
        </w:rPr>
        <w:t xml:space="preserve">” means any commitment hereunder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Credit Facilities</w:t>
      </w:r>
      <w:r>
        <w:rPr>
          <w:rFonts w:ascii="Times New Roman" w:cs="Times New Roman" w:eastAsia="Times New Roman" w:hAnsi="Times New Roman"/>
          <w:sz w:val="18"/>
          <w:szCs w:val="18"/>
          <w:color w:val="auto"/>
        </w:rPr>
        <w:t xml:space="preserve">” means any credit facilities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Letter of Credit Facility</w:t>
      </w:r>
      <w:r>
        <w:rPr>
          <w:rFonts w:ascii="Times New Roman" w:cs="Times New Roman" w:eastAsia="Times New Roman" w:hAnsi="Times New Roman"/>
          <w:sz w:val="18"/>
          <w:szCs w:val="18"/>
          <w:color w:val="auto"/>
        </w:rPr>
        <w:t>” means any facility established by the Borrower and/or any Restricted Subsidiary outside of this Agreement to obtain letters of credit, bank guarantees, bankers’ acceptances or other similar instruments required by customers, suppliers, landlords, regulators or Governmental Authorities or otherwise in the ordinary course of business.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Loans</w:t>
      </w:r>
      <w:r>
        <w:rPr>
          <w:rFonts w:ascii="Times New Roman" w:cs="Times New Roman" w:eastAsia="Times New Roman" w:hAnsi="Times New Roman"/>
          <w:sz w:val="18"/>
          <w:szCs w:val="18"/>
          <w:color w:val="auto"/>
        </w:rPr>
        <w:t>” means any Additional Revolving Loans and any Additional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Commitment</w:t>
      </w:r>
      <w:r>
        <w:rPr>
          <w:rFonts w:ascii="Times New Roman" w:cs="Times New Roman" w:eastAsia="Times New Roman" w:hAnsi="Times New Roman"/>
          <w:sz w:val="18"/>
          <w:szCs w:val="18"/>
          <w:color w:val="auto"/>
        </w:rPr>
        <w:t xml:space="preserve">” means any revolving credit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Credit Exposure</w:t>
      </w:r>
      <w:r>
        <w:rPr>
          <w:rFonts w:ascii="Times New Roman" w:cs="Times New Roman" w:eastAsia="Times New Roman" w:hAnsi="Times New Roman"/>
          <w:sz w:val="18"/>
          <w:szCs w:val="18"/>
          <w:color w:val="auto"/>
        </w:rPr>
        <w:t>” means, with respect to any Lender at any time, the aggregate Outstanding Amount at such time of all Additional Revolving Loans of such Lender, plus the aggregate amount at such time of such Lender’s LC Exposure and Swingline Exposure, in each case, attributable to its Additional Revolving Credit Commitment.</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Lender</w:t>
      </w:r>
      <w:r>
        <w:rPr>
          <w:rFonts w:ascii="Times New Roman" w:cs="Times New Roman" w:eastAsia="Times New Roman" w:hAnsi="Times New Roman"/>
          <w:sz w:val="18"/>
          <w:szCs w:val="18"/>
          <w:color w:val="auto"/>
        </w:rPr>
        <w:t>” means any Lender with an Additional Revolving Credit Commitment or any Additional Revolving Credit Exposure.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Revolving Loans</w:t>
      </w:r>
      <w:r>
        <w:rPr>
          <w:rFonts w:ascii="Times New Roman" w:cs="Times New Roman" w:eastAsia="Times New Roman" w:hAnsi="Times New Roman"/>
          <w:sz w:val="18"/>
          <w:szCs w:val="18"/>
          <w:color w:val="auto"/>
        </w:rPr>
        <w:t xml:space="preserve">” means any revolving loan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 Commitment</w:t>
      </w:r>
      <w:r>
        <w:rPr>
          <w:rFonts w:ascii="Times New Roman" w:cs="Times New Roman" w:eastAsia="Times New Roman" w:hAnsi="Times New Roman"/>
          <w:sz w:val="18"/>
          <w:szCs w:val="18"/>
          <w:color w:val="auto"/>
        </w:rPr>
        <w:t xml:space="preserve">” means any term loan commitment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Term Loans</w:t>
      </w:r>
      <w:r>
        <w:rPr>
          <w:rFonts w:ascii="Times New Roman" w:cs="Times New Roman" w:eastAsia="Times New Roman" w:hAnsi="Times New Roman"/>
          <w:sz w:val="18"/>
          <w:szCs w:val="18"/>
          <w:color w:val="auto"/>
        </w:rPr>
        <w:t xml:space="preserve">” means any term loan added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440" w:top="266" w:right="619" w:bottom="1440" w:gutter="0" w:footer="0" w:header="0"/>
        </w:sectPr>
      </w:pPr>
    </w:p>
    <w:bookmarkStart w:id="330" w:name="page331"/>
    <w:bookmarkEnd w:id="330"/>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Adverse Proceeding</w:t>
      </w:r>
      <w:r>
        <w:rPr>
          <w:rFonts w:ascii="Times New Roman" w:cs="Times New Roman" w:eastAsia="Times New Roman" w:hAnsi="Times New Roman"/>
          <w:sz w:val="18"/>
          <w:szCs w:val="18"/>
          <w:color w:val="auto"/>
        </w:rPr>
        <w:t>” means any action, suit, proceeding (whether administrative, judicial or otherwise), governmental investigation or arbitration (whether or not purportedly on behalf of the Borrower or any of its Restricted Subsidiaries) at law or in equity, or before or by any Governmental Authority, domestic or foreign, whether pending or, to the knowledge of the Borrower or any of its Restricted Subsidiaries, threatened in writing, against or affecting the Borrower or any of its Restricted Subsidiaries or any property of the Borrower or any of its Restricted Subsidiaries.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None of the Administrative Agent, the Collateral Agent, any Arranger, any Lender (other than any Affiliated Lender) or any of their respective Affiliates shall be considered an Affiliate of the Borrower or any subsidiary thereof. Notwithstanding anything herein to the contrary, neither Parent nor any of its Subsidiaries shall be considered an Affiliate of the Borrower or any subsidiary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w:t>
      </w:r>
      <w:r>
        <w:rPr>
          <w:rFonts w:ascii="Times New Roman" w:cs="Times New Roman" w:eastAsia="Times New Roman" w:hAnsi="Times New Roman"/>
          <w:sz w:val="18"/>
          <w:szCs w:val="18"/>
          <w:color w:val="auto"/>
        </w:rPr>
        <w:t>” means the Borrower and/or any of its Subsidiaries.</w:t>
      </w:r>
    </w:p>
    <w:p>
      <w:pPr>
        <w:spacing w:after="0" w:line="22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 Assignment and Assumption</w:t>
      </w:r>
      <w:r>
        <w:rPr>
          <w:rFonts w:ascii="Times New Roman" w:cs="Times New Roman" w:eastAsia="Times New Roman" w:hAnsi="Times New Roman"/>
          <w:sz w:val="18"/>
          <w:szCs w:val="18"/>
          <w:color w:val="auto"/>
        </w:rPr>
        <w:t xml:space="preserve">” means an assignment and assumption entered into by a Lender and an Affiliated Lender (with the consent of any party whose consent is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each of the Administrative Agent, the Collateral Agent and any other Person appointed under the Loan Documents to service in an agent or similar capacity.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Payments</w:t>
      </w:r>
      <w:r>
        <w:rPr>
          <w:rFonts w:ascii="Times New Roman" w:cs="Times New Roman" w:eastAsia="Times New Roman" w:hAnsi="Times New Roman"/>
          <w:sz w:val="18"/>
          <w:szCs w:val="18"/>
          <w:color w:val="auto"/>
        </w:rPr>
        <w:t>” means, with respect to a Contributing Guarantor as of any date of determination, an amount equal to (1) the aggregate amount of all payments and distributions made (including the greater of the book value or fair market value of any assets sold) on or before such date by such Contributing Guarantor in respect of the Loan Guarantee or its obligations under any other Loan Document (including in respect of this Agreement), minus (2) the aggregate amount of all payments received on or before such date by such Contributing Guarantor from the other Contributing Guarantors as contributions under this Agreement. The amounts payable as contributions hereunder shall be determined as of the date on which the related payment or distribution is made by the applicable Funding Guarantor.</w:t>
      </w:r>
    </w:p>
    <w:p>
      <w:pPr>
        <w:spacing w:after="0" w:line="18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Alternate Base Rate</w:t>
      </w:r>
      <w:r>
        <w:rPr>
          <w:rFonts w:ascii="Times New Roman" w:cs="Times New Roman" w:eastAsia="Times New Roman" w:hAnsi="Times New Roman"/>
          <w:sz w:val="18"/>
          <w:szCs w:val="18"/>
          <w:color w:val="auto"/>
        </w:rPr>
        <w:t xml:space="preserve">” means, for any day, a rate per annum equal to the highest of (a) the Federal Funds Effective Rate in effect on such day plus 0.50%, (b) to the extent ascertainable, the Eurocurrency Rate for Dollars (which rate shall be calculated based upon an Interest Period of one month and shall be determined on a daily basis based on the rate determined on such day for such Interest Period at 11:00 a.m.) plus 1.00%, (c) the Prime Rate and (d) if the Eurocurrency Rate for Dollars is not ascertainable, solely with respect to the Initial Term Loans, 1.00%. Any change in the Alternate Base Rate due to a change in the Prime Rate, the Federal Funds Effective Rate or the Eurocurrency Rate, as the case may be, shall be effective from and including the effective date of such change in the Prime Rate, the Federal Funds Effective Rate or the Eurocurrency Rate, as the case may be. If the Alternate Base Rate is being used as an alternate rate of interest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with respect to any Loans, then the Alternate Base Rate shall be the greater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and shall be determined without reference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6" w:right="479" w:bottom="1440" w:gutter="0" w:footer="0" w:header="0"/>
        </w:sectPr>
      </w:pPr>
    </w:p>
    <w:bookmarkStart w:id="331" w:name="page332"/>
    <w:bookmarkEnd w:id="331"/>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Alternate Currency</w:t>
      </w:r>
      <w:r>
        <w:rPr>
          <w:rFonts w:ascii="Times New Roman" w:cs="Times New Roman" w:eastAsia="Times New Roman" w:hAnsi="Times New Roman"/>
          <w:sz w:val="18"/>
          <w:szCs w:val="18"/>
          <w:color w:val="auto"/>
        </w:rPr>
        <w:t xml:space="preserve">” means in the case of Revolving Loans and Letters of Credit, Canadian Dollars, Euros, Sterling and each other currency that is approved in accordance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means, for any day, with respect to any Credit Extension:</w:t>
      </w:r>
    </w:p>
    <w:p>
      <w:pPr>
        <w:spacing w:after="0" w:line="121" w:lineRule="exact"/>
        <w:rPr>
          <w:sz w:val="20"/>
          <w:szCs w:val="20"/>
          <w:color w:val="auto"/>
        </w:rPr>
      </w:pPr>
    </w:p>
    <w:p>
      <w:pPr>
        <w:ind w:left="684" w:hanging="244"/>
        <w:spacing w:after="0"/>
        <w:tabs>
          <w:tab w:leader="none" w:pos="684"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SONIA for the day that is five RFR Business Days prior to (A) if such day is an RFR Business Day, such day or</w:t>
      </w:r>
    </w:p>
    <w:p>
      <w:pPr>
        <w:spacing w:after="0" w:line="27" w:lineRule="exact"/>
        <w:rPr>
          <w:rFonts w:ascii="Times New Roman" w:cs="Times New Roman" w:eastAsia="Times New Roman" w:hAnsi="Times New Roman"/>
          <w:sz w:val="18"/>
          <w:szCs w:val="18"/>
          <w:color w:val="auto"/>
        </w:rPr>
      </w:pPr>
    </w:p>
    <w:p>
      <w:pPr>
        <w:ind w:left="4" w:right="460" w:hanging="4"/>
        <w:spacing w:after="0" w:line="260" w:lineRule="auto"/>
        <w:tabs>
          <w:tab w:leader="none" w:pos="28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is not an RFR Business Day, the RFR Business Day immediately preceding such RFR Interest Day, in each case, as such SONIA is published by the SONIA Administrator on the SONIA Administrator’s Website ;</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Canadian Dollars, the Daily Simple CORRA;</w:t>
      </w:r>
    </w:p>
    <w:p>
      <w:pPr>
        <w:spacing w:after="0" w:line="225" w:lineRule="exact"/>
        <w:rPr>
          <w:rFonts w:ascii="Times New Roman" w:cs="Times New Roman" w:eastAsia="Times New Roman" w:hAnsi="Times New Roman"/>
          <w:sz w:val="18"/>
          <w:szCs w:val="18"/>
          <w:color w:val="auto"/>
        </w:rPr>
      </w:pPr>
    </w:p>
    <w:p>
      <w:pPr>
        <w:jc w:val="both"/>
        <w:ind w:left="4" w:right="80" w:firstLine="436"/>
        <w:spacing w:after="0" w:line="261" w:lineRule="auto"/>
        <w:tabs>
          <w:tab w:leader="none" w:pos="689"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Alternate Currency, other than Canadian Dollars (to the extent such Loans denominated in such currency will bear interest at a daily rate), the daily rate per annum as designated with respect to such Alternate Currency at the time such Alternate Currency is approved by the Administrative Agent and the relevant Lenders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plus the adjustment (if any) determined by the Administrative Agent and the relevant Lenders;</w:t>
      </w:r>
    </w:p>
    <w:p>
      <w:pPr>
        <w:spacing w:after="0" w:line="180" w:lineRule="exact"/>
        <w:rPr>
          <w:sz w:val="20"/>
          <w:szCs w:val="20"/>
          <w:color w:val="auto"/>
        </w:rPr>
      </w:pPr>
    </w:p>
    <w:p>
      <w:pPr>
        <w:ind w:left="4" w:right="12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Alternative Currency Daily Rate shall be less than zero percent (0%), such rate shall be deemed zero percent (0%) for purposes of this Agreement. Any change in any Alternative Currency Daily Rate shall be effective from and including the date of such change without further notice.</w:t>
      </w:r>
    </w:p>
    <w:p>
      <w:pPr>
        <w:spacing w:after="0" w:line="172"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Alternate Currency.</w:t>
      </w:r>
    </w:p>
    <w:p>
      <w:pPr>
        <w:spacing w:after="0" w:line="155"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means an Alternative Currency Daily Rate Loan or a Eurocurrency Rate Loan (other than a Eurocurrency Rate Loan Denominated in Dollars).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Applicable Make-Whole Premium</w:t>
      </w:r>
      <w:r>
        <w:rPr>
          <w:rFonts w:ascii="Times New Roman" w:cs="Times New Roman" w:eastAsia="Times New Roman" w:hAnsi="Times New Roman"/>
          <w:sz w:val="17"/>
          <w:szCs w:val="17"/>
          <w:color w:val="auto"/>
        </w:rPr>
        <w:t>” means, with respect to any Initial Term Loans prepaid, repaid or assigned subject to a Prepayment Premium Event on any date (the “</w:t>
      </w:r>
      <w:r>
        <w:rPr>
          <w:rFonts w:ascii="Times New Roman" w:cs="Times New Roman" w:eastAsia="Times New Roman" w:hAnsi="Times New Roman"/>
          <w:sz w:val="17"/>
          <w:szCs w:val="17"/>
          <w:b w:val="1"/>
          <w:bCs w:val="1"/>
          <w:color w:val="auto"/>
        </w:rPr>
        <w:t>Prepayment Premium Event Date</w:t>
      </w:r>
      <w:r>
        <w:rPr>
          <w:rFonts w:ascii="Times New Roman" w:cs="Times New Roman" w:eastAsia="Times New Roman" w:hAnsi="Times New Roman"/>
          <w:sz w:val="17"/>
          <w:szCs w:val="17"/>
          <w:color w:val="auto"/>
        </w:rPr>
        <w:t xml:space="preserve">”) prior to the first anniversary of the Closing Date, the greater of (x) the excess (to the extent positive) of: (i) the sum of (A) 100% of the principal amount of the Initial Term Loans prepaid, repaid or assigned subject to such Prepayment Premium Event, plus (B) the present value on such Prepayment Premium Event Date of the sum of (1) a payment on the first anniversary of the Closing Date (assuming for this purpose that the Initial Term Loans prepaid, repaid or assigned subject to such Prepayment Premium Event were to remain outstanding through the first anniversary of the Closing Date and then prepaid on first anniversary of the Closing Date) equal to 1.00% of the aggregate principal amount of the Initial Term Loans prepaid, repaid or assigned subject to such Prepayment Premium Event, plus (2) all required and unpaid interest payments that would have been due on the principal amount of the Initial Term Loans prepaid, repaid or assigned subject to such Prepayment Premium Event from such Prepayment Premium Event Date to the first anniversary of the Closing Date (excluding accrued but unpaid interest in respect of the Initial Term Loans prepaid, repaid or assigned subject to such Prepayment Premium Event as of such Prepayment Premium Event Date which, for the avoidance of doubt, shall be paid on the Prepayment Premium Event Date in accordance with </w:t>
      </w:r>
      <w:r>
        <w:rPr>
          <w:rFonts w:ascii="Times New Roman" w:cs="Times New Roman" w:eastAsia="Times New Roman" w:hAnsi="Times New Roman"/>
          <w:sz w:val="17"/>
          <w:szCs w:val="17"/>
          <w:u w:val="single" w:color="auto"/>
          <w:color w:val="auto"/>
        </w:rPr>
        <w:t>Section 2.13(f)</w:t>
      </w:r>
      <w:r>
        <w:rPr>
          <w:rFonts w:ascii="Times New Roman" w:cs="Times New Roman" w:eastAsia="Times New Roman" w:hAnsi="Times New Roman"/>
          <w:sz w:val="17"/>
          <w:szCs w:val="17"/>
          <w:color w:val="auto"/>
        </w:rPr>
        <w:t>), assuming that all such interest accrues at a rate equal to the interest rate applicable to such Initial Term Loans as in effect on the Prepayment Premium Event Date, with the present value in each case computed using a discount rate equal to the Treasury Rate as of the Prepayment Premium Event Date plus 50 basis points, over (ii) the principal amount of the Initial Term Loans prepaid, repaid or assigned subject to such Prepayment Premium Event, and (y) the product of</w:t>
      </w:r>
    </w:p>
    <w:p>
      <w:pPr>
        <w:spacing w:after="0" w:line="2" w:lineRule="exact"/>
        <w:rPr>
          <w:sz w:val="20"/>
          <w:szCs w:val="20"/>
          <w:color w:val="auto"/>
        </w:rPr>
      </w:pPr>
    </w:p>
    <w:p>
      <w:pPr>
        <w:ind w:left="5464" w:right="1680" w:hanging="5464"/>
        <w:spacing w:after="0" w:line="433" w:lineRule="auto"/>
        <w:tabs>
          <w:tab w:leader="none" w:pos="216" w:val="left"/>
        </w:tabs>
        <w:numPr>
          <w:ilvl w:val="0"/>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Initial Term Loans subject to such Prepayment Premium Event, multiplied by (ii) 1.00%. 4</w:t>
      </w:r>
    </w:p>
    <w:p>
      <w:pPr>
        <w:sectPr>
          <w:pgSz w:w="11900" w:h="16838" w:orient="portrait"/>
          <w:cols w:equalWidth="0" w:num="1">
            <w:col w:w="11024"/>
          </w:cols>
          <w:pgMar w:left="436" w:top="266" w:right="439" w:bottom="1440" w:gutter="0" w:footer="0" w:header="0"/>
        </w:sectPr>
      </w:pPr>
    </w:p>
    <w:bookmarkStart w:id="332" w:name="page333"/>
    <w:bookmarkEnd w:id="332"/>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Applicable Percentage</w:t>
      </w:r>
      <w:r>
        <w:rPr>
          <w:rFonts w:ascii="Times New Roman" w:cs="Times New Roman" w:eastAsia="Times New Roman" w:hAnsi="Times New Roman"/>
          <w:sz w:val="17"/>
          <w:szCs w:val="17"/>
          <w:color w:val="auto"/>
        </w:rPr>
        <w:t xml:space="preserve">” means (a) with respect to any Term Lender of any Class, a percentage equal to a fraction the numerator of which is the aggregate outstanding principal amount of the Term Loans and unused Additional Term Loan Commitments of such Term Lender under such Class and the denominator of which is the aggregate outstanding principal amount of the Term Loans and unused Additional Term Loan Commitments of all Term Lenders under such Class and (b) with respect to any Revolving Lender of any Class, the percentage of the aggregate amount of the Revolving Credit Commitments of such Class represented by such Lender’s Revolving Credit Commitment of such Class;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purposes of </w:t>
      </w:r>
      <w:r>
        <w:rPr>
          <w:rFonts w:ascii="Times New Roman" w:cs="Times New Roman" w:eastAsia="Times New Roman" w:hAnsi="Times New Roman"/>
          <w:sz w:val="17"/>
          <w:szCs w:val="17"/>
          <w:u w:val="single" w:color="auto"/>
          <w:color w:val="auto"/>
        </w:rPr>
        <w:t>Section 2.21</w:t>
      </w:r>
      <w:r>
        <w:rPr>
          <w:rFonts w:ascii="Times New Roman" w:cs="Times New Roman" w:eastAsia="Times New Roman" w:hAnsi="Times New Roman"/>
          <w:sz w:val="17"/>
          <w:szCs w:val="17"/>
          <w:color w:val="auto"/>
        </w:rPr>
        <w:t xml:space="preserve"> and otherwise herein, when there is a Defaulting Lender, such Defaulting Lender’s Revolving Credit Commitment shall be disregarded for any relevant calculation. In the case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in the event that the Revolving Credit Commitments of any Class have expired or been terminated, the Applicable Percentage of any Revolving Lender of such Class shall be determined on the basis of the Revolving Credit Exposure of such Revolving Lender with respect to such Class, giving effect to any assignments and to any Revolving Lender’s status as a Defaulting Lender at the time of determination.</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 for any day, (a) for Initial Term Loans, in the case of ABR Loans, [_]%, and, in the case of Eurocurrency Rate Loans, [_]%, and (b) for Revolving Loans, the applicable rate per annum set forth in the applicable Incremental Facility Amendment, Refinancing Amendment, Extension Amendment or other applicable amendment to this Agreement. The Applicable Rate for any other Class of Additional Term Loans or Additional Revolving Loans shall be as set forth in the applicable Refinancing Amendment, Incremental Facility Amendment, Extension Amendment or other applicable amendment to this Agreement.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SOFR Adjustment</w:t>
      </w:r>
      <w:r>
        <w:rPr>
          <w:rFonts w:ascii="Times New Roman" w:cs="Times New Roman" w:eastAsia="Times New Roman" w:hAnsi="Times New Roman"/>
          <w:sz w:val="18"/>
          <w:szCs w:val="18"/>
          <w:color w:val="auto"/>
        </w:rPr>
        <w:t>” means 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Commercial Bank</w:t>
      </w:r>
      <w:r>
        <w:rPr>
          <w:rFonts w:ascii="Times New Roman" w:cs="Times New Roman" w:eastAsia="Times New Roman" w:hAnsi="Times New Roman"/>
          <w:sz w:val="18"/>
          <w:szCs w:val="18"/>
          <w:color w:val="auto"/>
        </w:rPr>
        <w:t>” means a commercial bank with a consolidated combined capital surplus of at least $5,000,000,000.</w:t>
      </w:r>
    </w:p>
    <w:p>
      <w:pPr>
        <w:spacing w:after="0" w:line="225" w:lineRule="exact"/>
        <w:rPr>
          <w:sz w:val="20"/>
          <w:szCs w:val="20"/>
          <w:color w:val="auto"/>
        </w:rPr>
      </w:pPr>
    </w:p>
    <w:p>
      <w:pPr>
        <w:jc w:val="both"/>
        <w:ind w:right="8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Approved Fund</w:t>
      </w:r>
      <w:r>
        <w:rPr>
          <w:rFonts w:ascii="Times New Roman" w:cs="Times New Roman" w:eastAsia="Times New Roman" w:hAnsi="Times New Roman"/>
          <w:sz w:val="17"/>
          <w:szCs w:val="17"/>
          <w:color w:val="auto"/>
        </w:rPr>
        <w:t>” means, with respect to any Lender, any Person (other than a natural person) that is engaged in making, purchasing, holding or otherwise investing in commercial loans and similar extensions of credit in the ordinary course of its activities and is administered, advised or managed by (a) such Lender, (b) any Affiliate of such Lender or (c) any entity or any Affiliate of any entity that administers, advises or manages such Lender.</w:t>
      </w:r>
    </w:p>
    <w:p>
      <w:pPr>
        <w:spacing w:after="0" w:line="15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Jurisdiction</w:t>
      </w:r>
      <w:r>
        <w:rPr>
          <w:rFonts w:ascii="Times New Roman" w:cs="Times New Roman" w:eastAsia="Times New Roman" w:hAnsi="Times New Roman"/>
          <w:sz w:val="18"/>
          <w:szCs w:val="18"/>
          <w:color w:val="auto"/>
        </w:rPr>
        <w:t>” shall mean each of (i) a jurisdiction of another approved or existing Borrower and (ii) any other jurisdiction agreed to by the Borrower and each Revolving Lender.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Agreement</w:t>
      </w:r>
      <w:r>
        <w:rPr>
          <w:rFonts w:ascii="Times New Roman" w:cs="Times New Roman" w:eastAsia="Times New Roman" w:hAnsi="Times New Roman"/>
          <w:sz w:val="18"/>
          <w:szCs w:val="18"/>
          <w:color w:val="auto"/>
        </w:rPr>
        <w:t>” means, collectively, each Assignment and Assumption and each Affiliated Lender Assignment and Assumption.</w:t>
      </w:r>
    </w:p>
    <w:p>
      <w:pPr>
        <w:spacing w:after="0" w:line="225"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66" w:right="479" w:bottom="1440" w:gutter="0" w:footer="0" w:header="0"/>
        </w:sectPr>
      </w:pPr>
    </w:p>
    <w:bookmarkStart w:id="333" w:name="page334"/>
    <w:bookmarkEnd w:id="3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Agent</w:t>
      </w:r>
      <w:r>
        <w:rPr>
          <w:rFonts w:ascii="Times New Roman" w:cs="Times New Roman" w:eastAsia="Times New Roman" w:hAnsi="Times New Roman"/>
          <w:sz w:val="18"/>
          <w:szCs w:val="18"/>
          <w:color w:val="auto"/>
        </w:rPr>
        <w:t>” means (a) the Administrative Agent or any of its Affiliates or (b) any other financial institution or advisor engaged by the Borrower (whether or not an Affiliate of the Administrative Agent) to act as an arranger in connection with any Auction pursuant to the definition of “Dutch Auction”.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Availability Period</w:t>
      </w:r>
      <w:r>
        <w:rPr>
          <w:rFonts w:ascii="Times New Roman" w:cs="Times New Roman" w:eastAsia="Times New Roman" w:hAnsi="Times New Roman"/>
          <w:sz w:val="18"/>
          <w:szCs w:val="18"/>
          <w:color w:val="auto"/>
        </w:rPr>
        <w:t>” means the period set forth in the applicable Incremental Facility Amendment, Refinancing Amendment, Extension Amendment or other applicable amendment to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an amount equal to, without duplication:</w:t>
      </w:r>
    </w:p>
    <w:p>
      <w:pPr>
        <w:spacing w:after="0" w:line="121" w:lineRule="exact"/>
        <w:rPr>
          <w:sz w:val="20"/>
          <w:szCs w:val="20"/>
          <w:color w:val="auto"/>
        </w:rPr>
      </w:pPr>
    </w:p>
    <w:p>
      <w:pPr>
        <w:ind w:left="1100" w:hanging="241"/>
        <w:spacing w:after="0"/>
        <w:tabs>
          <w:tab w:leader="none" w:pos="1100"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greater of $562,500,000 and 25% of Consolidated Adjusted EBITDA as of the last day of the most recently ended Test Period;</w:t>
      </w:r>
    </w:p>
    <w:p>
      <w:pPr>
        <w:spacing w:after="0" w:line="38" w:lineRule="exact"/>
        <w:rPr>
          <w:rFonts w:ascii="Times New Roman" w:cs="Times New Roman" w:eastAsia="Times New Roman" w:hAnsi="Times New Roman"/>
          <w:sz w:val="17"/>
          <w:szCs w:val="17"/>
          <w:color w:val="auto"/>
        </w:rPr>
      </w:pPr>
    </w:p>
    <w:p>
      <w:pPr>
        <w:ind w:left="9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plus</w:t>
      </w:r>
    </w:p>
    <w:p>
      <w:pPr>
        <w:spacing w:after="0" w:line="98" w:lineRule="exact"/>
        <w:rPr>
          <w:rFonts w:ascii="Times New Roman" w:cs="Times New Roman" w:eastAsia="Times New Roman" w:hAnsi="Times New Roman"/>
          <w:sz w:val="17"/>
          <w:szCs w:val="17"/>
          <w:color w:val="auto"/>
        </w:rPr>
      </w:pPr>
    </w:p>
    <w:p>
      <w:pPr>
        <w:ind w:left="1660" w:hanging="272"/>
        <w:spacing w:after="0"/>
        <w:tabs>
          <w:tab w:leader="none" w:pos="1660" w:val="left"/>
        </w:tabs>
        <w:numPr>
          <w:ilvl w:val="1"/>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CNI Growth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amount shall not be available for any Restricted Payment pursuant to</w:t>
      </w:r>
    </w:p>
    <w:p>
      <w:pPr>
        <w:spacing w:after="0" w:line="27" w:lineRule="exact"/>
        <w:rPr>
          <w:sz w:val="20"/>
          <w:szCs w:val="20"/>
          <w:color w:val="auto"/>
        </w:rPr>
      </w:pPr>
    </w:p>
    <w:p>
      <w:pPr>
        <w:ind w:left="980" w:right="6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if any Event of Default has occurred and is continuing or would occur as a consequence of such Restricted Payment; plus</w:t>
      </w:r>
    </w:p>
    <w:p>
      <w:pPr>
        <w:spacing w:after="0" w:line="73" w:lineRule="exact"/>
        <w:rPr>
          <w:sz w:val="20"/>
          <w:szCs w:val="20"/>
          <w:color w:val="auto"/>
        </w:rPr>
      </w:pPr>
    </w:p>
    <w:p>
      <w:pPr>
        <w:ind w:left="1700" w:hanging="312"/>
        <w:spacing w:after="0"/>
        <w:tabs>
          <w:tab w:leader="none" w:pos="170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capital contributions or other proceeds of any issuance of Capital Stock (other than any amounts</w:t>
      </w:r>
    </w:p>
    <w:p>
      <w:pPr>
        <w:spacing w:after="0" w:line="27" w:lineRule="exact"/>
        <w:rPr>
          <w:rFonts w:ascii="Times New Roman" w:cs="Times New Roman" w:eastAsia="Times New Roman" w:hAnsi="Times New Roman"/>
          <w:sz w:val="18"/>
          <w:szCs w:val="18"/>
          <w:color w:val="auto"/>
        </w:rPr>
      </w:pPr>
    </w:p>
    <w:p>
      <w:pPr>
        <w:ind w:left="980" w:firstLine="7"/>
        <w:spacing w:after="0" w:line="250" w:lineRule="auto"/>
        <w:tabs>
          <w:tab w:leader="none" w:pos="1275"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constituting a Cure Amount, (x) constituting an Available Excluded Contribution Amount or proceeds of an issuance of Disqualified Capital Stock, (y) received from the Borrower or any Restricted Subsidiary or (z) consisting of the proceeds of any loan or advance made pursuant to </w:t>
      </w:r>
      <w:r>
        <w:rPr>
          <w:rFonts w:ascii="Times New Roman" w:cs="Times New Roman" w:eastAsia="Times New Roman" w:hAnsi="Times New Roman"/>
          <w:sz w:val="18"/>
          <w:szCs w:val="18"/>
          <w:u w:val="single" w:color="auto"/>
          <w:color w:val="auto"/>
        </w:rPr>
        <w:t>Section 6.06(h)(ii)</w:t>
      </w:r>
      <w:r>
        <w:rPr>
          <w:rFonts w:ascii="Times New Roman" w:cs="Times New Roman" w:eastAsia="Times New Roman" w:hAnsi="Times New Roman"/>
          <w:sz w:val="18"/>
          <w:szCs w:val="18"/>
          <w:color w:val="auto"/>
        </w:rPr>
        <w:t>) received as Cash equity by the Borrower or any of its Restricted Subsidiaries, plus the fair market value, as determined by the Borrower in good faith, of Cash Equivalents, marketable securities or other property received by the Borrower or any Restricted Subsidiary as a capital contribution or in return for any issuance of Capital Stock (other than any amounts (w) constituting a Cure Amount, (x) constituting an Available Excluded Contribution Amount or proceeds of any issuance of Disqualified Capital Stock or</w:t>
      </w:r>
    </w:p>
    <w:p>
      <w:pPr>
        <w:spacing w:after="0" w:line="2" w:lineRule="exact"/>
        <w:rPr>
          <w:rFonts w:ascii="Times New Roman" w:cs="Times New Roman" w:eastAsia="Times New Roman" w:hAnsi="Times New Roman"/>
          <w:sz w:val="18"/>
          <w:szCs w:val="18"/>
          <w:color w:val="auto"/>
        </w:rPr>
      </w:pPr>
    </w:p>
    <w:p>
      <w:pPr>
        <w:ind w:left="980" w:right="360" w:firstLine="7"/>
        <w:spacing w:after="0" w:line="260" w:lineRule="auto"/>
        <w:tabs>
          <w:tab w:leader="none" w:pos="1235"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the Borrower or any Restricted Subsidiary), in each case, during the period from and including the day immediately following the Closing Date through and including such time; plus</w:t>
      </w:r>
    </w:p>
    <w:p>
      <w:pPr>
        <w:spacing w:after="0" w:line="73" w:lineRule="exact"/>
        <w:rPr>
          <w:sz w:val="20"/>
          <w:szCs w:val="20"/>
          <w:color w:val="auto"/>
        </w:rPr>
      </w:pPr>
    </w:p>
    <w:p>
      <w:pPr>
        <w:ind w:left="980" w:right="120" w:firstLine="408"/>
        <w:spacing w:after="0" w:line="266" w:lineRule="auto"/>
        <w:tabs>
          <w:tab w:leader="none" w:pos="1686"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any Indebtedness or Disqualified Capital Stock, in each case, of the Borrower or any Restricted Subsidiary issued after the Closing Date (other than Indebtedness or such Disqualified Capital Stock issued to the Borrower or any Restricted Subsidiary), in each case, which has been converted into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66" w:right="479" w:bottom="1440" w:gutter="0" w:footer="0" w:header="0"/>
        </w:sectPr>
      </w:pPr>
    </w:p>
    <w:bookmarkStart w:id="334" w:name="page335"/>
    <w:bookmarkEnd w:id="334"/>
    <w:p>
      <w:pPr>
        <w:ind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exchanged for Capital Stock of the Borrower or any Restricted Subsidiary that does not constitute Disqualified Capital Stock, together with the fair market value of any Cash or Cash Equivalents (as determined by the Borrower in good faith) and the fair market value (as determined by the Borrower in good faith) of any property or assets received by the Borrower or such Restricted Subsidiary upon such exchange or conversion, in each case, during the period from and including the day immediately following the Closing Date through and including such time; plus</w:t>
      </w:r>
    </w:p>
    <w:p>
      <w:pPr>
        <w:spacing w:after="0" w:line="75" w:lineRule="exact"/>
        <w:rPr>
          <w:sz w:val="20"/>
          <w:szCs w:val="20"/>
          <w:color w:val="auto"/>
        </w:rPr>
      </w:pPr>
    </w:p>
    <w:p>
      <w:pPr>
        <w:ind w:firstLine="408"/>
        <w:spacing w:after="0" w:line="266" w:lineRule="auto"/>
        <w:tabs>
          <w:tab w:leader="none" w:pos="6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proceeds received by the Borrower or any Restricted Subsidiary during the period from and including the day immediately following the Closing Date through and including such time in connection with the Disposition to any Person (other than the Borrower or any Restricted Subsidiary) of any Investment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plus</w:t>
      </w:r>
    </w:p>
    <w:p>
      <w:pPr>
        <w:spacing w:after="0" w:line="67" w:lineRule="exact"/>
        <w:rPr>
          <w:rFonts w:ascii="Times New Roman" w:cs="Times New Roman" w:eastAsia="Times New Roman" w:hAnsi="Times New Roman"/>
          <w:sz w:val="18"/>
          <w:szCs w:val="18"/>
          <w:color w:val="auto"/>
        </w:rPr>
      </w:pPr>
    </w:p>
    <w:p>
      <w:pPr>
        <w:ind w:right="60" w:firstLine="408"/>
        <w:spacing w:after="0" w:line="254" w:lineRule="auto"/>
        <w:tabs>
          <w:tab w:leader="none" w:pos="70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already reflected as a return of capital with respect to such Investment for purposes of determining the amount of such Investment, the proceeds received by the Borrower or any Restricted Subsidiary during the period from and including the day immediately following the Closing Date through and including such time in connection with cash returns, cash profits, cash distributions and similar cash amounts, including cash principal repayments of loans and interest payments on loans, in each case received in respect of any Investment made after the Closing Date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or, without duplication, otherwise received by the Borrower or any Restricted Subsidiary from an Unrestricted Subsidiary (including any proceeds received on account of any issuance of Capital Stock by any Unrestricted Subsidiary (other than solely on account of the issuance of Capital Stock to the Borrower or any Restricted Subsidiary)); plus</w:t>
      </w:r>
    </w:p>
    <w:p>
      <w:pPr>
        <w:spacing w:after="0" w:line="83" w:lineRule="exact"/>
        <w:rPr>
          <w:rFonts w:ascii="Times New Roman" w:cs="Times New Roman" w:eastAsia="Times New Roman" w:hAnsi="Times New Roman"/>
          <w:sz w:val="18"/>
          <w:szCs w:val="18"/>
          <w:color w:val="auto"/>
        </w:rPr>
      </w:pPr>
    </w:p>
    <w:p>
      <w:pPr>
        <w:ind w:right="20" w:firstLine="408"/>
        <w:spacing w:after="0" w:line="254" w:lineRule="auto"/>
        <w:tabs>
          <w:tab w:leader="none" w:pos="7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(A) the amount of any Investments by the Borrower or any Restricted Subsidiary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in any Unrestricted Subsidiary that has been re-designated as a Restricted Subsidiary, (B) the amount of any Investments by the Borrower or any Restricted Subsidiary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xml:space="preserve"> in any Unrestricted Subsidiary or any Joint Venture that is not a Restricted Subsidiary that has been merged, consolidated or amalgamated with or into, or is liquidated, wound up or dissolved into, the Borrower or any Restricted Subsidiary and (C) the fair market value (as determined by the Borrower in good faith) of the property or assets of any Unrestricted Subsidiary or any Joint Venture that is not a Restricted Subsidiary that have been transferred, conveyed or otherwise distributed to the Borrower or any Restricted Subsidiary, in each case, during the period from and including the day immediately following the Closing Date through and including such time; plus</w:t>
      </w:r>
    </w:p>
    <w:p>
      <w:pPr>
        <w:spacing w:after="0" w:line="83" w:lineRule="exact"/>
        <w:rPr>
          <w:rFonts w:ascii="Times New Roman" w:cs="Times New Roman" w:eastAsia="Times New Roman" w:hAnsi="Times New Roman"/>
          <w:sz w:val="18"/>
          <w:szCs w:val="18"/>
          <w:color w:val="auto"/>
        </w:rPr>
      </w:pPr>
    </w:p>
    <w:p>
      <w:pPr>
        <w:ind w:left="820" w:hanging="412"/>
        <w:spacing w:after="0"/>
        <w:tabs>
          <w:tab w:leader="none" w:pos="8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Declined Proceeds; plus</w:t>
      </w:r>
    </w:p>
    <w:p>
      <w:pPr>
        <w:spacing w:after="0" w:line="117"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Retained Asset Sale Proceeds; plus</w:t>
      </w:r>
    </w:p>
    <w:p>
      <w:pPr>
        <w:spacing w:after="0" w:line="117" w:lineRule="exact"/>
        <w:rPr>
          <w:rFonts w:ascii="Times New Roman" w:cs="Times New Roman" w:eastAsia="Times New Roman" w:hAnsi="Times New Roman"/>
          <w:sz w:val="18"/>
          <w:szCs w:val="18"/>
          <w:color w:val="auto"/>
        </w:rPr>
      </w:pPr>
    </w:p>
    <w:p>
      <w:pPr>
        <w:ind w:right="60" w:firstLine="408"/>
        <w:spacing w:after="0" w:line="282" w:lineRule="auto"/>
        <w:tabs>
          <w:tab w:leader="none" w:pos="656"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the sale of any accounts receivable, royalty or other similar rights to payment and any other assets related thereto that are not reflected in the most recent consolidated balance sheet of the Borrower, plus</w:t>
      </w:r>
    </w:p>
    <w:p>
      <w:pPr>
        <w:spacing w:after="0" w:line="53" w:lineRule="exact"/>
        <w:rPr>
          <w:rFonts w:ascii="Times New Roman" w:cs="Times New Roman" w:eastAsia="Times New Roman" w:hAnsi="Times New Roman"/>
          <w:sz w:val="18"/>
          <w:szCs w:val="18"/>
          <w:color w:val="auto"/>
        </w:rPr>
      </w:pPr>
    </w:p>
    <w:p>
      <w:pPr>
        <w:ind w:left="720" w:hanging="312"/>
        <w:spacing w:after="0"/>
        <w:tabs>
          <w:tab w:leader="none" w:pos="720"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any Sale and Lease-Back Transaction not prohibited hereunder; minus</w:t>
      </w:r>
    </w:p>
    <w:p>
      <w:pPr>
        <w:spacing w:after="0" w:line="158"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20" w:top="270" w:right="459" w:bottom="1440" w:gutter="0" w:footer="0" w:header="0"/>
        </w:sectPr>
      </w:pPr>
    </w:p>
    <w:bookmarkStart w:id="335" w:name="page336"/>
    <w:bookmarkEnd w:id="335"/>
    <w:p>
      <w:pPr>
        <w:jc w:val="both"/>
        <w:ind w:left="440" w:firstLine="419"/>
        <w:spacing w:after="0" w:line="266" w:lineRule="auto"/>
        <w:tabs>
          <w:tab w:leader="none" w:pos="1118"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 amount equal to the sum of (i) Restricted Payments made pursuant to </w:t>
      </w:r>
      <w:r>
        <w:rPr>
          <w:rFonts w:ascii="Times New Roman" w:cs="Times New Roman" w:eastAsia="Times New Roman" w:hAnsi="Times New Roman"/>
          <w:sz w:val="18"/>
          <w:szCs w:val="18"/>
          <w:u w:val="single" w:color="auto"/>
          <w:color w:val="auto"/>
        </w:rPr>
        <w:t>Section 6.04(a)(iii)(A)</w:t>
      </w:r>
      <w:r>
        <w:rPr>
          <w:rFonts w:ascii="Times New Roman" w:cs="Times New Roman" w:eastAsia="Times New Roman" w:hAnsi="Times New Roman"/>
          <w:sz w:val="18"/>
          <w:szCs w:val="18"/>
          <w:color w:val="auto"/>
        </w:rPr>
        <w:t xml:space="preserve">, plus (ii) Restricted Debt Payments made pursuant to </w:t>
      </w:r>
      <w:r>
        <w:rPr>
          <w:rFonts w:ascii="Times New Roman" w:cs="Times New Roman" w:eastAsia="Times New Roman" w:hAnsi="Times New Roman"/>
          <w:sz w:val="18"/>
          <w:szCs w:val="18"/>
          <w:u w:val="single" w:color="auto"/>
          <w:color w:val="auto"/>
        </w:rPr>
        <w:t>Section 6.04(b)(vi)(A)</w:t>
      </w:r>
      <w:r>
        <w:rPr>
          <w:rFonts w:ascii="Times New Roman" w:cs="Times New Roman" w:eastAsia="Times New Roman" w:hAnsi="Times New Roman"/>
          <w:sz w:val="18"/>
          <w:szCs w:val="18"/>
          <w:color w:val="auto"/>
        </w:rPr>
        <w:t xml:space="preserve">, plus (iii) Investments made pursuant to </w:t>
      </w:r>
      <w:r>
        <w:rPr>
          <w:rFonts w:ascii="Times New Roman" w:cs="Times New Roman" w:eastAsia="Times New Roman" w:hAnsi="Times New Roman"/>
          <w:sz w:val="18"/>
          <w:szCs w:val="18"/>
          <w:u w:val="single" w:color="auto"/>
          <w:color w:val="auto"/>
        </w:rPr>
        <w:t>Section 6.06(r)(i)</w:t>
      </w:r>
      <w:r>
        <w:rPr>
          <w:rFonts w:ascii="Times New Roman" w:cs="Times New Roman" w:eastAsia="Times New Roman" w:hAnsi="Times New Roman"/>
          <w:sz w:val="18"/>
          <w:szCs w:val="18"/>
          <w:color w:val="auto"/>
        </w:rPr>
        <w:t>, in each case, after the Closing Date and prior to such time or contemporaneously therewith.</w:t>
      </w:r>
    </w:p>
    <w:p>
      <w:pPr>
        <w:spacing w:after="0" w:line="17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Excluded Contribution Amount</w:t>
      </w:r>
      <w:r>
        <w:rPr>
          <w:rFonts w:ascii="Times New Roman" w:cs="Times New Roman" w:eastAsia="Times New Roman" w:hAnsi="Times New Roman"/>
          <w:sz w:val="18"/>
          <w:szCs w:val="18"/>
          <w:color w:val="auto"/>
        </w:rPr>
        <w:t>” means the aggregate amount of Cash or Cash Equivalents or the fair market value of other assets or property (as determined by the Borrower in good faith), but excluding any (x) Cure Amounts and (y) amounts that are applied to increase the Available Amount, received by the Borrower or any of its Restricted Subsidiaries after the Closing Date from:</w:t>
      </w:r>
    </w:p>
    <w:p>
      <w:pPr>
        <w:spacing w:after="0" w:line="67" w:lineRule="exact"/>
        <w:rPr>
          <w:sz w:val="20"/>
          <w:szCs w:val="20"/>
          <w:color w:val="auto"/>
        </w:rPr>
      </w:pPr>
    </w:p>
    <w:p>
      <w:pPr>
        <w:ind w:left="980" w:right="300" w:firstLine="7"/>
        <w:spacing w:after="0" w:line="282" w:lineRule="auto"/>
        <w:tabs>
          <w:tab w:leader="none" w:pos="1235"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respect of Qualified Capital Stock (other than any amounts or other assets received from the Borrower or any of its Restricted Subsidiaries),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Qualified Capital Stock of the Borrower or any of its Restricted Subsidiaries (other than (x) to the Borrower or any</w:t>
      </w:r>
    </w:p>
    <w:p>
      <w:pPr>
        <w:spacing w:after="0" w:line="27" w:lineRule="exact"/>
        <w:rPr>
          <w:rFonts w:ascii="Times New Roman" w:cs="Times New Roman" w:eastAsia="Times New Roman" w:hAnsi="Times New Roman"/>
          <w:sz w:val="18"/>
          <w:szCs w:val="18"/>
          <w:color w:val="auto"/>
        </w:rPr>
      </w:pPr>
    </w:p>
    <w:p>
      <w:pPr>
        <w:ind w:left="980" w:right="4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Subsidiary of the Borrower, (y) pursuant to any management equity plan or stock option plan or any other management or employee benefit plan or (z) with the proceeds of any loan or advance made pursuant to </w:t>
      </w:r>
      <w:r>
        <w:rPr>
          <w:rFonts w:ascii="Times New Roman" w:cs="Times New Roman" w:eastAsia="Times New Roman" w:hAnsi="Times New Roman"/>
          <w:sz w:val="18"/>
          <w:szCs w:val="18"/>
          <w:u w:val="single" w:color="auto"/>
          <w:color w:val="auto"/>
        </w:rPr>
        <w:t>Section 6.06(h)(ii)</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means each and any of the following bank services: commercial credit cards, stored value cards, debit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foreign exchange and currency management services, Qualified Supply Chain Financings, and any arrangements or services similar to any of the foregoing and/or otherwise in connection with Cash management and Deposit Accounts.</w:t>
      </w:r>
    </w:p>
    <w:p>
      <w:pPr>
        <w:spacing w:after="0" w:line="17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 Obligations</w:t>
      </w:r>
      <w:r>
        <w:rPr>
          <w:rFonts w:ascii="Times New Roman" w:cs="Times New Roman" w:eastAsia="Times New Roman" w:hAnsi="Times New Roman"/>
          <w:sz w:val="18"/>
          <w:szCs w:val="18"/>
          <w:color w:val="auto"/>
        </w:rPr>
        <w:t xml:space="preserve">” means any and all obligations of the Borrower or any Restricted Subsidiary, whether absolute or contingent and however and whenever created, arising, evidenced or acquired (including all renewals, extensions and modifications thereof and substitutions therefor) (a) under any arrangement that is in effect on the Closing Date between the Borrower or any Restricted Subsidiary and a counterparty that is (or is an Affiliate of) the Administrative Agent, any Lender or any Arranger as of the Closing Date or any other Person designated in writing by the Borrower to the Administrative Agent as such counterparty or (b) under any arrangement that is entered into after the Closing Date by the Borrower or any Restricted Subsidiary with any counterparty that is (or is an Affiliate of) the Administrative Agent, any Lender or any Arranger at the time such arrangement is entered into or any other Person designated in writing by the Borrower to the Administrative Agent as such counterparty,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connection with Banking Services designated to the Administrative Agent in writing on the Closing Date or from time to time thereafter by the Borrower</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36" w:name="page337"/>
    <w:bookmarkEnd w:id="336"/>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constituting “Banking Services Obligations” for purposes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obligations in connection with Banking Services may be designated as “Banking Services Obligations” hereunder if such obligations constitute “Banking Services Obligations” (or similar term) under the Pro Rata Credit Agreement), it being understood that each counterparty thereto shall be deemed (A) to appoint each of the Administrative Agent and the Collateral Agent as its agent under the applicable Loan Documents and (B) to agree to be bound by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 xml:space="preserve"> and each Acceptable Intercreditor Agreement, in each case as if it were a Lender.</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BLR Group</w:t>
      </w:r>
      <w:r>
        <w:rPr>
          <w:rFonts w:ascii="Times New Roman" w:cs="Times New Roman" w:eastAsia="Times New Roman" w:hAnsi="Times New Roman"/>
          <w:sz w:val="18"/>
          <w:szCs w:val="18"/>
          <w:color w:val="auto"/>
        </w:rPr>
        <w:t>” means: (i) Brian L. Roberts (“</w:t>
      </w:r>
      <w:r>
        <w:rPr>
          <w:rFonts w:ascii="Times New Roman" w:cs="Times New Roman" w:eastAsia="Times New Roman" w:hAnsi="Times New Roman"/>
          <w:sz w:val="18"/>
          <w:szCs w:val="18"/>
          <w:b w:val="1"/>
          <w:bCs w:val="1"/>
          <w:color w:val="auto"/>
        </w:rPr>
        <w:t>BLR</w:t>
      </w:r>
      <w:r>
        <w:rPr>
          <w:rFonts w:ascii="Times New Roman" w:cs="Times New Roman" w:eastAsia="Times New Roman" w:hAnsi="Times New Roman"/>
          <w:sz w:val="18"/>
          <w:szCs w:val="18"/>
          <w:color w:val="auto"/>
        </w:rPr>
        <w:t xml:space="preserve">”),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Exchange Act) of which any of the foregoing is a member;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such group, the member or members specified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collectively own, directly or indirectly, more than 50% of the total voting power of the voting stock of the Borrower held by such group.</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Governors of the Federal Reserve System of the U.S.</w:t>
      </w:r>
    </w:p>
    <w:p>
      <w:pPr>
        <w:spacing w:after="0" w:line="225" w:lineRule="exact"/>
        <w:rPr>
          <w:sz w:val="20"/>
          <w:szCs w:val="20"/>
          <w:color w:val="auto"/>
        </w:rPr>
      </w:pPr>
    </w:p>
    <w:p>
      <w:pPr>
        <w:ind w:left="4" w:right="2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Bona Fide Debt Fund</w:t>
      </w:r>
      <w:r>
        <w:rPr>
          <w:rFonts w:ascii="Times New Roman" w:cs="Times New Roman" w:eastAsia="Times New Roman" w:hAnsi="Times New Roman"/>
          <w:sz w:val="17"/>
          <w:szCs w:val="17"/>
          <w:color w:val="auto"/>
        </w:rPr>
        <w:t>” means any diversified debt fund, investment vehicle, regulated bank entity or unregulated lending entity that is primarily engaged in making, purchasing, holding or otherwise investing in commercial loans and similar extensions of credit in the ordinary course of business for financial investment purposes and which is managed, sponsored or advised by any Person controlling, controlled by or under common control with</w:t>
      </w:r>
    </w:p>
    <w:p>
      <w:pPr>
        <w:spacing w:after="0" w:line="1" w:lineRule="exact"/>
        <w:rPr>
          <w:sz w:val="20"/>
          <w:szCs w:val="20"/>
          <w:color w:val="auto"/>
        </w:rPr>
      </w:pPr>
    </w:p>
    <w:p>
      <w:pPr>
        <w:ind w:left="4" w:right="40" w:hanging="4"/>
        <w:spacing w:after="0" w:line="252" w:lineRule="auto"/>
        <w:tabs>
          <w:tab w:leader="none" w:pos="249"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that is otherwise a Disqualified Institution or (b) any Affiliate of such Disqualified Institution, but, in each case, with respect to which no personnel involved with any investment in such Person or the management, control or operation of such Person directly or indirectly makes, has the right to make or participates with others in making any investment decisions, or otherwise causing the direction of the investment policies, with respect to such debt fund, investment vehicle, regulated bank entity or unregulated lending entity; it being understood and agreed that the term “Bona Fide Debt Fund” shall not include any Person that is separately identified to the Arrangers or the Administrative Agent in accordance with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(a)(ii)</w:t>
      </w:r>
      <w:r>
        <w:rPr>
          <w:rFonts w:ascii="Times New Roman" w:cs="Times New Roman" w:eastAsia="Times New Roman" w:hAnsi="Times New Roman"/>
          <w:sz w:val="18"/>
          <w:szCs w:val="18"/>
          <w:color w:val="auto"/>
        </w:rPr>
        <w:t xml:space="preserve"> of the definition of “Disqualified Institution” or any clearly identifiable Affiliate of any such Person solely on the basis of the similarity of its name to the name of a Disqualified Institution.</w:t>
      </w:r>
    </w:p>
    <w:p>
      <w:pPr>
        <w:spacing w:after="0" w:line="184" w:lineRule="exact"/>
        <w:rPr>
          <w:sz w:val="20"/>
          <w:szCs w:val="20"/>
          <w:color w:val="auto"/>
        </w:rPr>
      </w:pPr>
    </w:p>
    <w:p>
      <w:pPr>
        <w:ind w:left="4"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means, as the context may require, Versant Media Group, Inc. (unless and until succeeded by a Successor Borrower, as applicable), any Successor Borrower and/or any Additional Borrower. Following the consummation of a transaction permitted hereunder that results in a Successor Borrower, such Successor Borrower shall be substituted for the existing Borrower to which it is the successor and such existing Borrower shall be released as such. For the avoidance of doubt, any</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337" w:name="page338"/>
    <w:bookmarkEnd w:id="337"/>
    <w:p>
      <w:pPr>
        <w:ind w:left="4"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 in any Loan Document to a Borrower (or the Borrowers) shall be construed, where the context requires, to refer to a Borrower (or the Borrowers) in respect of the relevant Class of Loans or Commitments, and not to make any Borrower primarily liable for Obligations of any Class in respect of which it has not been designated a co-Borrower or for which it is not a Borrower.</w:t>
      </w:r>
    </w:p>
    <w:p>
      <w:pPr>
        <w:spacing w:after="0" w:line="17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Distribution</w:t>
      </w:r>
      <w:r>
        <w:rPr>
          <w:rFonts w:ascii="Times New Roman" w:cs="Times New Roman" w:eastAsia="Times New Roman" w:hAnsi="Times New Roman"/>
          <w:sz w:val="18"/>
          <w:szCs w:val="18"/>
          <w:color w:val="auto"/>
        </w:rPr>
        <w:t>” means the issuance by the Borrower to the Parent of the Borrower’s common stock for distribution to the Parent’s</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existing shareholders in contemplation of the Distribution, as may be further described or referred to in, or contemplated by, the Separation Agreements.</w:t>
      </w:r>
    </w:p>
    <w:p>
      <w:pPr>
        <w:spacing w:after="0" w:line="214" w:lineRule="exact"/>
        <w:rPr>
          <w:sz w:val="20"/>
          <w:szCs w:val="20"/>
          <w:color w:val="auto"/>
        </w:rPr>
      </w:pPr>
    </w:p>
    <w:p>
      <w:pPr>
        <w:ind w:left="4"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any Loans of the same Type and Class made, converted or continued on the same date and, in the case of Eurocurrency Rate Loans and Term CORRA Loans, denominated in a single currency and as to which a single Interest Period is in effect.</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 Request</w:t>
      </w:r>
      <w:r>
        <w:rPr>
          <w:rFonts w:ascii="Times New Roman" w:cs="Times New Roman" w:eastAsia="Times New Roman" w:hAnsi="Times New Roman"/>
          <w:sz w:val="18"/>
          <w:szCs w:val="18"/>
          <w:color w:val="auto"/>
        </w:rPr>
        <w:t xml:space="preserve">” means a request by the Borrower for a Borrowing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substantially in the form approved by the Administrative Agent and separately provided to the Borrower.</w:t>
      </w:r>
    </w:p>
    <w:p>
      <w:pPr>
        <w:spacing w:after="0" w:line="155" w:lineRule="exact"/>
        <w:rPr>
          <w:sz w:val="20"/>
          <w:szCs w:val="20"/>
          <w:color w:val="auto"/>
        </w:rPr>
      </w:pPr>
    </w:p>
    <w:p>
      <w:pPr>
        <w:ind w:left="4"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 any day that is not a Saturday, Sunday or other day on which commercial banks in New York City are authorized or required by law to remain closed and (b) when used in connection with a Eurocurrency Rate Loan, Alternative Currency Daily Rate Loans or CORRA Loan (i) denominated in Dollars, the term “Business Day” shall also exclude any day that is not a U.S. Government Securities Business Day,</w:t>
      </w:r>
    </w:p>
    <w:p>
      <w:pPr>
        <w:ind w:left="4" w:right="60" w:hanging="4"/>
        <w:spacing w:after="0" w:line="265" w:lineRule="auto"/>
        <w:tabs>
          <w:tab w:leader="none" w:pos="269" w:val="left"/>
        </w:tabs>
        <w:numPr>
          <w:ilvl w:val="0"/>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denominated in Canadian Dollars, the term “Business Day” shall also exclude any day on which banks are not open for dealings in Canadian Dollar deposits in the Toronto interbank market, (iii) denominated in Euros, the term “Business Day” shall also exclude any day that is not a TARGET Day,</w:t>
      </w:r>
    </w:p>
    <w:p>
      <w:pPr>
        <w:ind w:left="304" w:hanging="304"/>
        <w:spacing w:after="0"/>
        <w:tabs>
          <w:tab w:leader="none" w:pos="304"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Sterling, the term “Business Day” shall also exclude any day on which banks are closed for general business in London and</w:t>
      </w:r>
    </w:p>
    <w:p>
      <w:pPr>
        <w:spacing w:after="0" w:line="9" w:lineRule="exact"/>
        <w:rPr>
          <w:rFonts w:ascii="Times New Roman" w:cs="Times New Roman" w:eastAsia="Times New Roman" w:hAnsi="Times New Roman"/>
          <w:sz w:val="18"/>
          <w:szCs w:val="18"/>
          <w:color w:val="auto"/>
        </w:rPr>
      </w:pPr>
    </w:p>
    <w:p>
      <w:pPr>
        <w:ind w:left="4" w:right="140" w:hanging="4"/>
        <w:spacing w:after="0" w:line="260" w:lineRule="auto"/>
        <w:tabs>
          <w:tab w:leader="none" w:pos="259"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an Alternate Currency, the term “Business Day” shall also exclude any day on which banks are not open for dealings in deposits in such Alternate Currency in the applicable interbank market and in the principal financial center for that currency.</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8"/>
          <w:szCs w:val="18"/>
          <w:color w:val="auto"/>
        </w:rPr>
        <w:t>” refers to the lawful money of Canada.</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w:t>
      </w:r>
      <w:r>
        <w:rPr>
          <w:rFonts w:ascii="Times New Roman" w:cs="Times New Roman" w:eastAsia="Times New Roman" w:hAnsi="Times New Roman"/>
          <w:sz w:val="18"/>
          <w:szCs w:val="18"/>
          <w:color w:val="auto"/>
        </w:rPr>
        <w:t xml:space="preserve">” means, on any day, the rate determined by the Administrative Agent to be the 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the above rates shall be less than 0.00%, such rate shall be deemed to be 0.00% for purposes of this Agreement. Any change in the Canadian Prime Rate due to a change in the PRIMCAN Index shall be effective from and including the effective date of such change in the PRIMCAN Index.</w:t>
      </w:r>
    </w:p>
    <w:p>
      <w:pPr>
        <w:spacing w:after="0" w:line="182"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Canadian Prime Rate Loan</w:t>
      </w:r>
      <w:r>
        <w:rPr>
          <w:rFonts w:ascii="Times New Roman" w:cs="Times New Roman" w:eastAsia="Times New Roman" w:hAnsi="Times New Roman"/>
          <w:sz w:val="18"/>
          <w:szCs w:val="18"/>
          <w:color w:val="auto"/>
        </w:rPr>
        <w:t>” means a Loan denominated in Canadian Dollars and bearing interest at a rate determined by reference to the Canadian Prime Rate.</w:t>
      </w:r>
    </w:p>
    <w:p>
      <w:pPr>
        <w:spacing w:after="0" w:line="15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as applied to any Person for any period, the aggregate amount, without duplication, of all expenditures (whether paid in cash or accrued as liabilities and including in all events all amounts expended or capitalized under Finance Leases) that in accordance with GAAP, are, or are required to be, included as capital expenditures on the consolidated statement of cash flows for such Person for such period.</w:t>
      </w:r>
    </w:p>
    <w:p>
      <w:pPr>
        <w:spacing w:after="0" w:line="10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4"/>
          </w:cols>
          <w:pgMar w:left="436" w:top="270" w:right="499" w:bottom="1440" w:gutter="0" w:footer="0" w:header="0"/>
        </w:sectPr>
      </w:pPr>
    </w:p>
    <w:bookmarkStart w:id="338" w:name="page339"/>
    <w:bookmarkEnd w:id="338"/>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 (including Convertible Indebtedness) and any Packaged Rights.</w:t>
      </w:r>
    </w:p>
    <w:p>
      <w:pPr>
        <w:spacing w:after="0" w:line="176" w:lineRule="exact"/>
        <w:rPr>
          <w:sz w:val="20"/>
          <w:szCs w:val="20"/>
          <w:color w:val="auto"/>
        </w:rPr>
      </w:pPr>
    </w:p>
    <w:p>
      <w:pPr>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Restricted Subsidiary of the Borrower that is subject to regulation as an insurance company (or any Restricted Subsidiary thereof).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ind w:left="4" w:right="8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 means, as at any date of determination, (a) marketable securities (i) issued or directly and unconditionally guaranteed or insured as to interest and principal by the U.S., U.K., Canada, a member state of the European Union or Japan or any political subdivision of any of the foregoing or (ii) issued by any agency or instrumentality of the U.S., U.K., Canada, a member state of the European Union or Japan or any political subdivision of any of the foregoing, the obligations of which are backed by the full faith and credit of the U.S., U.K., Canada, a member state of the European Union or Japan or any political subdivision of any of the foregoing, in each case maturing within two years after such date and, in each case, including repurchase agreements and reverse repurchase agreements relating thereto; (b) marketable direct obligations issued by any state of the U.S., the District of Columbia or any political subdivision thereof or any public instrumentality thereof or by any foreign government, in each case maturing within two years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w:t>
      </w:r>
    </w:p>
    <w:p>
      <w:pPr>
        <w:spacing w:after="0" w:line="5" w:lineRule="exact"/>
        <w:rPr>
          <w:sz w:val="20"/>
          <w:szCs w:val="20"/>
          <w:color w:val="auto"/>
        </w:rPr>
      </w:pPr>
    </w:p>
    <w:p>
      <w:pPr>
        <w:ind w:left="4" w:hanging="4"/>
        <w:spacing w:after="0" w:line="251" w:lineRule="auto"/>
        <w:tabs>
          <w:tab w:leader="none" w:pos="259"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deposits, money market deposits, time deposit accounts, certificates of deposit or bankers’ acceptances (or similar instruments) issued or accepted by any Lender or by any bank organized under, or authorized to operate as a bank under, the laws of the U.S., any state thereof or the District of Columbia or any political subdivision thereof or any foreign bank or its branches or agencies and that has capital and surplus of not less than $75,000,000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$75,000,000; (f) Indebtedness or Preferred Capital Stock issued by Persons with a rating of at least BBB- from S&amp;P or at least Baa3 from Moody’s (or, if at the time, neither is issuing comparable ratings, then a comparable rating of another nationally recognized statistical rating agency) with maturities of 12 months or less from the date of acquisition; (g) bills of exchange issued in the U.S., U.K., Canada, a member state of the European Union or Japan eligible for rediscount at the relevant central bank and accepted by a bank (or any dematerialized equivalent); (h) shares of any money market mutual fund that has (i) substantially all of its assets invested in the types of investments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above, (ii) net assets of not less than $250,000,000 and (iii) a rating of at least A-2 from S&amp;P or at least P-2 from Moody’s (or, if at any time either S&amp;P or Moody’s are not rating such fund, an equivalent rating from another nationally recognized statistical rating agency); (i) solely with respect to any Captive Insurance Subsidiary, any investment that such Captive Insurance Subsidiary is not prohibited to make in accordance with applicable law; (j) any cash equivalents (as determined in accordance with GAAP); and (k) shares or other interests of any investment company, money market mutual fund or other money market or enhanced high yield fund that invests 95% or more of its assets in instruments of the types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(which investment company or fund may also hold Cash pending investment or distribution).</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4"/>
          </w:cols>
          <w:pgMar w:left="436" w:top="266" w:right="459" w:bottom="1440" w:gutter="0" w:footer="0" w:header="0"/>
        </w:sectPr>
      </w:pPr>
    </w:p>
    <w:bookmarkStart w:id="339" w:name="page340"/>
    <w:bookmarkEnd w:id="339"/>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term “Cash Equivalents” shall also include (x) credit card receivables, (y) Investments of the type and maturity described in the definition of “Cash Equivalents” of foreign obligors, which Investments or obligors (or the parent companies thereof) have the ratings (if any) described in such clauses or equivalent ratings from comparable foreign rating agencies and (z) other short-term Investments utilized by Foreign Subsidiaries in accordance with normal investment practices for cash management in Investments analogous to the Investments described in the definition of “Cash Equivalents” and in this paragraph.</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CBR Loan</w:t>
      </w:r>
      <w:r>
        <w:rPr>
          <w:rFonts w:ascii="Times New Roman" w:cs="Times New Roman" w:eastAsia="Times New Roman" w:hAnsi="Times New Roman"/>
          <w:sz w:val="18"/>
          <w:szCs w:val="18"/>
          <w:color w:val="auto"/>
        </w:rPr>
        <w:t>” means a Loan that bears interest at a rate determined by reference to the Central Bank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CBR Spread</w:t>
      </w:r>
      <w:r>
        <w:rPr>
          <w:rFonts w:ascii="Times New Roman" w:cs="Times New Roman" w:eastAsia="Times New Roman" w:hAnsi="Times New Roman"/>
          <w:sz w:val="18"/>
          <w:szCs w:val="18"/>
          <w:color w:val="auto"/>
        </w:rPr>
        <w:t>” means the Applicable Rate, applicable to such Loan that is replaced by a CBR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as defined in Section 957 of the Code.</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w:t>
      </w:r>
      <w:r>
        <w:rPr>
          <w:rFonts w:ascii="Times New Roman" w:cs="Times New Roman" w:eastAsia="Times New Roman" w:hAnsi="Times New Roman"/>
          <w:sz w:val="18"/>
          <w:szCs w:val="18"/>
          <w:color w:val="auto"/>
        </w:rPr>
        <w:t>” means, the greater of (a)(i) for any Loan denominated in (A) Euros, one of the following three rates as may be selected by the Administrative Agent in its reasonable discretion and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(B) Sterling, the Bank of England (or any successor thereto)’s “Bank Rate” as published by the Bank of England (or any successor thereto) from time to time and (C) any other Alternate Currency determined after the Closing Date, a central bank rate as determined by the Administrative Agent in its reasonable discretion and in consultation with the Borrower; plus (ii) the applicable Central Bank Rate Adjustment and (b) zero.</w:t>
      </w:r>
    </w:p>
    <w:p>
      <w:pPr>
        <w:spacing w:after="0" w:line="18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Adjustment</w:t>
      </w:r>
      <w:r>
        <w:rPr>
          <w:rFonts w:ascii="Times New Roman" w:cs="Times New Roman" w:eastAsia="Times New Roman" w:hAnsi="Times New Roman"/>
          <w:sz w:val="18"/>
          <w:szCs w:val="18"/>
          <w:color w:val="auto"/>
        </w:rPr>
        <w:t xml:space="preserve">” means, for any day, for any Loan denominated in (a) Euros, a rate equal to the difference (which may be a positive or negative value or zero) of (i) the average of the Eurocurrency Rate for Loans denominated in Euros for the five most recent Business Days preceding such day for which the EURIBO Screen Rate was available (excluding, from such averaging, the highest and the lowest Eurocurrency Rate for Loans denominated in Euros applicable during such period of five Business Days) minus (ii) the Central Bank Rate in respect of Euros in effect on the last Business Day in such period, (b) Sterling, a rate equal to the difference (which may be a positive or negative value or zero) of (i) the average of Alternative Currency Daily Rate for Loans denominated in Sterling for the five most recent RFR Business Days preceding such day for which Alternative Currency Daily Rate for Loans denominated in Sterling was available (excluding, from such averaging, the highest and the lowest such Alternative Currency Daily Rate for Loans denominated in Sterling applicable during such period of five RFR Business Days) minus (ii) the Central Bank Rate in respect of Sterling in effect on the last RFR Business Day in such period and (c) any other Alternate Currency determined after the Closing Date, a Central Bank Rate Adjustment as determined by the Administrative Agent in its reasonable discretion. For purposes of this definition, (x) the term Central Bank Rate shall be determined disregarding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the definition of such term and (y) the Eurocurrency Rate for Loans denominated in Euros on any day shall be based on the EURIBO Screen Rate, on such day at approximately the time referred to in the definition of such term for deposits in the applicable currency for a maturity of one month.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340" w:name="page341"/>
    <w:bookmarkEnd w:id="34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xml:space="preserve">” means (a) the adoption of any law, rule or regulation after the Closing Date, (b) any change in any law, rule or regulation or in the interpretation, implementation or application thereof by any Governmental Authority after the Closing Date or (c) compliance by any Lender or any Issuing Bank (or, for purposes of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 xml:space="preserve">, by any lending office of such Lender or such Issuing Bank or by such Lender’s or such Issuing Bank’s holding company, if any) with any request, guideline or directive (whether or not having the force of law) of any Governmental Authority made or issued after the Closing Date (other than any such request, guideline or directive to comply with any law, rule or regulation that was in effect on the Closing Date). For purposes of this definition and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(x) the Dodd-Frank Wall Street Reform and Consumer Protection Act and all requests, rules, guidelines, requirements and directives thereunder or issued in connection therewith or in implementation thereof and (y) all requests, rules, guidelines, requirements or directives promulgated by the Bank for International Settlements, the Basel Committee on Banking Supervision (or any successor or similar authority) or U.S. or applicable foreign regulatory authorities, in each case pursuant to Basel III, shall in each case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be deemed to be a Change in Law, regardless of the date enacted, adopted, issued or implemented.</w:t>
      </w:r>
    </w:p>
    <w:p>
      <w:pPr>
        <w:spacing w:after="0" w:line="18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at any time from and after the Closing Date, any Person or “group” (within the meaning of Rules 13d-3 and 13d-5 under the Exchange Act), but excluding (w) any Employee Benefit Plan and/or Person acting as the trustee, agent or other fiduciary or administrator therefor, (x) the BLR Group, (y) any underwriter in connection with any public offering and (z) the Parent or any of its Subsidiaries, or any other entity that (as an intermediate step for the purpose of consummating the Distribution and other transactions contemplated in connection therewith) shall hold any of the Capital Stock of the Borrower in connection with the Separation, shall have acquired beneficial ownership of 50% or more on a fully diluted basis of the total voting power of the Capital Stock of the Borrower entitled to vote in the election of the board of directors (or similar governing body) of the Borrower.</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passive holding company or special purpose acquisition vehicle or a Subsidiary thereof shall not be considered a “Person” and instead the equityholders of such passive holding company or special purpose acquisition vehicle (other than any other passive holding company or special purpose acquisition vehicle) shall be considered for purposes of the foregoing.</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preceding clauses or any provision of Section 13d-3 of the Exchange Act as in effect on the Closing Date, (i) 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and (ii)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Capital Stock of such parent entity entitled to vote in the election of the board of directors or board of managers of such parent entity and (B) such directors or managers elected by the Person or group have a majority of the aggregate votes on the board of directors (or similar body) of such parent entity.</w:t>
      </w:r>
    </w:p>
    <w:p>
      <w:pPr>
        <w:spacing w:after="0" w:line="19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In addition, without limiting the foregoing, any transaction made as part of, or which is reasonably necessary or appropriate (as determined by the Borrower in good faith) to effect or facilitate, the Separation, including the Restructuring, the Borrower Distribution and the Distribution, or otherwise pursuant to the Separation Agreements shall not be a Change of Control.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66" w:right="479" w:bottom="1440" w:gutter="0" w:footer="0" w:header="0"/>
        </w:sectPr>
      </w:pPr>
    </w:p>
    <w:bookmarkStart w:id="341" w:name="page342"/>
    <w:bookmarkEnd w:id="341"/>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(including premium, make-whole or penalty payments), cost, accrual or reserve (including adjustments to existing reserves) of any kind.</w:t>
      </w:r>
    </w:p>
    <w:p>
      <w:pPr>
        <w:spacing w:after="0" w:line="15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Initial Term Loans, Additional Term Loans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 xml:space="preserve">, Additional Revolving Loans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 xml:space="preserve"> or Swingline Loans, (b) any Commitment, refers to whether such Commitment is an Initial Term Loan Commitment, an Additional Term Loan Commitment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w:t>
      </w:r>
      <w:r>
        <w:rPr>
          <w:rFonts w:ascii="Times New Roman" w:cs="Times New Roman" w:eastAsia="Times New Roman" w:hAnsi="Times New Roman"/>
          <w:sz w:val="18"/>
          <w:szCs w:val="18"/>
          <w:color w:val="auto"/>
        </w:rPr>
        <w:t xml:space="preserve">, an Additional Revolving Credit Commitment of any series established as a separate “Class” pursuant to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10.02(c)(ii)</w:t>
      </w:r>
      <w:r>
        <w:rPr>
          <w:rFonts w:ascii="Times New Roman" w:cs="Times New Roman" w:eastAsia="Times New Roman" w:hAnsi="Times New Roman"/>
          <w:sz w:val="18"/>
          <w:szCs w:val="18"/>
          <w:color w:val="auto"/>
        </w:rPr>
        <w:t>, (c) any Lender, refers to whether such Lender has a Loan or Commitment of a particular Class and (d) any Revolving Credit Exposure, refers to whether such Revolving Credit Exposure is attributable to a Revolving Credit Commitment of a particular Class (or Revolving Loans incurred or Letters of Credit issued under a Revolving Credit Commitment of a particular Class).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means the date on which the conditions specified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CNI Growth Amount</w:t>
      </w:r>
      <w:r>
        <w:rPr>
          <w:rFonts w:ascii="Times New Roman" w:cs="Times New Roman" w:eastAsia="Times New Roman" w:hAnsi="Times New Roman"/>
          <w:sz w:val="18"/>
          <w:szCs w:val="18"/>
          <w:color w:val="auto"/>
        </w:rPr>
        <w:t xml:space="preserve">” means, at any date of determination, an amount (which amount shall not be less than zero) equal to 50% of Consolidated Net Income for the cumulative period from the first day of the Fiscal Quarter of the Borrower during which the Closing Date occurs to and including the last day of the most recently ended Fiscal Quarter of the Borrower prior to such date for which consolidated financial statements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delivered or, at the Borrower’s election, are internally available (treated as one accounting period).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any and all property of any Loan Party subject to a Lien under any Collateral Document and any and all other property of any Loan Party, now existing or hereafter acquired, that is or becomes subject to a Lien pursuant to any Collateral Document to secure the Obligations. For the avoidance of doubt, in no event shall “Collateral” include any Excluded Asset, unless specifically consented to in writing by the Borrower.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assigned to such term in the preamble to this Agreement.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and Guarantee Requirement</w:t>
      </w:r>
      <w:r>
        <w:rPr>
          <w:rFonts w:ascii="Times New Roman" w:cs="Times New Roman" w:eastAsia="Times New Roman" w:hAnsi="Times New Roman"/>
          <w:sz w:val="18"/>
          <w:szCs w:val="18"/>
          <w:color w:val="auto"/>
        </w:rPr>
        <w:t xml:space="preserve">” means, at any time on and after the Closing Date, subject to (x) the applicable limitations set forth in this Agreement and/or any other Loan Document (including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5.17 and any Acceptable Intercreditor Agreement) and (y) the time periods (and extensions thereof) set forth in the applicable provisions of this Agreement (including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and/or any other Loan Document, the requirement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5172075</wp:posOffset>
            </wp:positionH>
            <wp:positionV relativeFrom="paragraph">
              <wp:posOffset>-310515</wp:posOffset>
            </wp:positionV>
            <wp:extent cx="22860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5">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52" w:lineRule="exact"/>
        <w:rPr>
          <w:sz w:val="20"/>
          <w:szCs w:val="20"/>
          <w:color w:val="auto"/>
        </w:rPr>
      </w:pPr>
    </w:p>
    <w:p>
      <w:pPr>
        <w:ind w:left="440" w:firstLine="419"/>
        <w:spacing w:after="0" w:line="269" w:lineRule="auto"/>
        <w:tabs>
          <w:tab w:leader="none" w:pos="1108" w:val="left"/>
        </w:tabs>
        <w:numPr>
          <w:ilvl w:val="1"/>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case of any Person that becomes (or is required to become) a Loan Party on or after the Closing Date, (i) the Administrative Agent shall have received (A) a Counterpart Agreement or such other documents in form reasonably acceptable to the Administrative Agent, in each case, to cause such person to Guarantee the Obligations and become a Subsidiary Guarantor, (B) counterparts of, or supplements to, the applicable Collateral Documents (or, at the option of the Loan Party, new Collateral Documents in substantially similar form or such other form reasonably satisfactory to the Collateral Agent), if applicable, in the form specified therefor or otherwise reasonably acceptable to the Collateral Agent and</w:t>
      </w:r>
    </w:p>
    <w:p>
      <w:pPr>
        <w:spacing w:after="0" w:line="2" w:lineRule="exact"/>
        <w:rPr>
          <w:rFonts w:ascii="Times New Roman" w:cs="Times New Roman" w:eastAsia="Times New Roman" w:hAnsi="Times New Roman"/>
          <w:sz w:val="17"/>
          <w:szCs w:val="17"/>
          <w:color w:val="auto"/>
        </w:rPr>
      </w:pPr>
    </w:p>
    <w:p>
      <w:pPr>
        <w:ind w:left="720" w:hanging="284"/>
        <w:spacing w:after="0"/>
        <w:tabs>
          <w:tab w:leader="none" w:pos="72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joinder to any</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66" w:right="479" w:bottom="1440" w:gutter="0" w:footer="0" w:header="0"/>
        </w:sectPr>
      </w:pPr>
    </w:p>
    <w:bookmarkStart w:id="342" w:name="page343"/>
    <w:bookmarkEnd w:id="34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Acceptable Intercreditor Agreement that is then applicable in substantially the form attached as an exhibit thereto or otherwise reasonably acceptable to the Collateral Agent and (ii) except as otherwise contemplated by this Agreement or any Collateral Document, all original securities, instruments and chattel paper required to be delivered to the Collateral Agent pursuant to the terms of the Collateral Documents, shall have been delivered to the Collateral Agent (or its bailee pursuant to the terms of any Acceptable Intercreditor Agreement) and all documents and instruments, including Uniform Commercial Code financing statements and filings with the United States Copyright Office and the United States Patent and Trademark Office covering United States issued patents and registered trademarks and copyrights (and pending applications for the foregoing) and all other actions reasonably requested by the Collateral Agent pursuant to the terms of the Collateral Documents (including those required by applicable Requirements of Law) or otherwise required pursuant to a Collateral Document to be delivered, filed, registered or recorded to create the Liens intended to be created by the Collateral Documents (in each case, including any supplements thereto) and perfect such Liens to the extent required by, and with the priority required by, the Collateral Documents, shall have been delivered, filed, registered or recorded or delivered to the Collateral Agent for filing, registration or the recording concurrently with, or promptly following, the execution and delivery of each such Collateral Document;</w:t>
      </w:r>
    </w:p>
    <w:p>
      <w:pPr>
        <w:spacing w:after="0" w:line="82" w:lineRule="exact"/>
        <w:rPr>
          <w:sz w:val="20"/>
          <w:szCs w:val="20"/>
          <w:color w:val="auto"/>
        </w:rPr>
      </w:pPr>
    </w:p>
    <w:p>
      <w:pPr>
        <w:ind w:right="20" w:firstLine="419"/>
        <w:spacing w:after="0" w:line="261" w:lineRule="auto"/>
        <w:tabs>
          <w:tab w:leader="none" w:pos="678"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Material Real Estate Asset acquired by a Loan Party organized under the laws of the United States (or any state thereof) after the Closing Date, the Collateral Agent shall have received with respect to any Material Real Estate Asset (other than an Excluded Asset), a Mortgage and any necessary UCC fixture filing in respect thereof, in each case together with, to the extent customary and appropriate (as reasonably determined by the Collateral Agent and the Borrower):</w:t>
      </w:r>
    </w:p>
    <w:p>
      <w:pPr>
        <w:spacing w:after="0" w:line="71" w:lineRule="exact"/>
        <w:rPr>
          <w:rFonts w:ascii="Times New Roman" w:cs="Times New Roman" w:eastAsia="Times New Roman" w:hAnsi="Times New Roman"/>
          <w:sz w:val="18"/>
          <w:szCs w:val="18"/>
          <w:color w:val="auto"/>
        </w:rPr>
      </w:pPr>
    </w:p>
    <w:p>
      <w:pPr>
        <w:ind w:left="540" w:firstLine="408"/>
        <w:spacing w:after="0" w:line="256" w:lineRule="auto"/>
        <w:tabs>
          <w:tab w:leader="none" w:pos="1156"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 counterparts of such Mortgage have been duly executed, acknowledged and delivered and such Mortgage and any corresponding UCC or equivalent fixture filing are in form suitable for filing or recording in all filing or recording offices that the Collateral Agent may deem reasonably necessary in order to create a valid and subsisting Lien on such Material Real Estate Asset in favor of the Collateral Agent for the benefit of the Secured Parties, (B) such Mortgage and any corresponding UCC or equivalent fixture filings have been duly recorded or filed, as applicable and (C) all filing and recording taxes and fees have been paid or otherwise provided for in a manner reasonably satisfactory to the Collateral Agent;</w:t>
      </w:r>
    </w:p>
    <w:p>
      <w:pPr>
        <w:spacing w:after="0" w:line="75" w:lineRule="exact"/>
        <w:rPr>
          <w:rFonts w:ascii="Times New Roman" w:cs="Times New Roman" w:eastAsia="Times New Roman" w:hAnsi="Times New Roman"/>
          <w:sz w:val="18"/>
          <w:szCs w:val="18"/>
          <w:color w:val="auto"/>
        </w:rPr>
      </w:pPr>
    </w:p>
    <w:p>
      <w:pPr>
        <w:ind w:left="540" w:right="40" w:firstLine="408"/>
        <w:spacing w:after="0" w:line="256" w:lineRule="auto"/>
        <w:tabs>
          <w:tab w:leader="none" w:pos="1206"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 paid policy of lender’s title insurance (a “</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in an amount reasonably acceptable to the Collateral Agent (not to exceed the fair market value of such Material Real Estate Asset (as determined by the Borrower in good faith)) issued by a nationally recognized title insurance company in the applicable jurisdiction that is reasonably acceptable to the Collateral Agent, insuring the relevant Mortgage as having created a valid and enforceable Lien on the real property described therein with the ranking or the priority which it is expressed to have in such Mortgage, subject only to Permitted Liens and other Liens acceptable to the Collateral Agent, together with such endorsements, coinsurance and reinsurance as the Collateral Agent may reasonably request to the extent the same are available in the applicable jurisdiction at a commercially reasonable rate;</w:t>
      </w:r>
    </w:p>
    <w:p>
      <w:pPr>
        <w:spacing w:after="0" w:line="78" w:lineRule="exact"/>
        <w:rPr>
          <w:rFonts w:ascii="Times New Roman" w:cs="Times New Roman" w:eastAsia="Times New Roman" w:hAnsi="Times New Roman"/>
          <w:sz w:val="18"/>
          <w:szCs w:val="18"/>
          <w:color w:val="auto"/>
        </w:rPr>
      </w:pPr>
    </w:p>
    <w:p>
      <w:pPr>
        <w:jc w:val="both"/>
        <w:ind w:left="540" w:right="360" w:firstLine="408"/>
        <w:spacing w:after="0" w:line="266" w:lineRule="auto"/>
        <w:tabs>
          <w:tab w:leader="none" w:pos="1256"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legal opinion of local counsel for the relevant Loan Party in the jurisdiction in which such Material Real Estate Asset is located and, if applicable, in the jurisdiction of formation of the relevant Loan Party, in each case as the Collateral Agent may reasonably request; and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343" w:name="page344"/>
    <w:bookmarkEnd w:id="343"/>
    <w:p>
      <w:pPr>
        <w:ind w:left="980" w:right="80" w:firstLine="408"/>
        <w:spacing w:after="0" w:line="258" w:lineRule="auto"/>
        <w:tabs>
          <w:tab w:leader="none" w:pos="1686"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a new survey or a copy of any existing survey currently in the possession of the Borrower or any of its Subsidiaries if such existing survey is, together with a no-change affidavit, sufficient for the relevant title insurance company to remove the standard survey exception and issue the survey-related endorsements, (B) to the extent applicable, an appraisal (if required under the Financial Institutions Reform Recovery and Enforcement Act of 1989, as amended) and (C) a “Life-of-Loan” flood determination under Regulation H of the Board (together with evidence of flood insurance for any such Flood Hazard Property).</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 provision of any Loan Document to the contrary, if any mortgage tax or similar tax or charge is owed on the entire amount of the Loan Document Obligations evidenced hereby in connection with the delivery of a mortgage or UCC fixture filing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then, to the extent permitted by, and in accordance with, applicable Requirements of Law, the amount of such mortgage tax or similar tax or charge shall be calculated based on the lesser of (x) the amount of the Loan Document Obligations allocated to the applicable Material Real Estate Asset and (y) the fair market value of the applicable Material Real Estate Asset at the time the Mortgage is entered into and determined in a manner reasonably acceptable to Administrative Agent and the Borrower.</w:t>
      </w:r>
    </w:p>
    <w:p>
      <w:pPr>
        <w:spacing w:after="0" w:line="187"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no Mortgage shall be executed and delivered (and no Mortgage shall be required to be so executed and delivered under this Agreement or any other Loan Document) with respect to any real property located in the United States unless and until each Revolving Lender has received, at least twenty business days prior to such execution and delivery, a life of loan flood zone determination and such other documents as it may reasonably request to complete its flood insurance due diligence and has confirmed to the Administrative Agent that flood insurance due diligence and flood insurance compliance has been completed to its satisfaction.</w:t>
      </w:r>
    </w:p>
    <w:p>
      <w:pPr>
        <w:spacing w:after="0" w:line="183"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Agreement or any other Loan Document to the contrary, no Collateral Document or Loan Guarantee shall be required to be in effect prior to the Closing Date.</w:t>
      </w:r>
    </w:p>
    <w:p>
      <w:pPr>
        <w:spacing w:after="0" w:line="158"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collectively, (i) the Security Agreement, (ii) each Mortgage (if any), (iii) each Intellectual Property Security Agreement, (iv) any supplement to any of the foregoing delivered to the Administrative Agent and/or the Collateral Agent (in each case, including any successor or predecessor of either of the foregoing) pursuant to the definition of “Collateral and Guarantee Requirement” and (v) each of the other instruments and documents pursuant to which any Loan Party grants a Lien on any Collateral as security for payment of the Obligations.</w:t>
      </w:r>
    </w:p>
    <w:p>
      <w:pPr>
        <w:spacing w:after="0" w:line="176"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Commercial Letter of Credit</w:t>
      </w:r>
      <w:r>
        <w:rPr>
          <w:rFonts w:ascii="Times New Roman" w:cs="Times New Roman" w:eastAsia="Times New Roman" w:hAnsi="Times New Roman"/>
          <w:sz w:val="18"/>
          <w:szCs w:val="18"/>
          <w:color w:val="auto"/>
        </w:rPr>
        <w:t>” means any Letter of Credit issued for the purpose of providing the primary payment mechanism in connection with the purchase of any materials, goods or services by the Borrower or any of its Restricted Subsidiaries in the ordinary course of business of such Person.</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with respect to each Lender, such Lender’s Initial Term Loan Commitment and Additional Commitment, as applicable, in effect as of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w:t>
      </w:r>
      <w:r>
        <w:rPr>
          <w:rFonts w:ascii="Times New Roman" w:cs="Times New Roman" w:eastAsia="Times New Roman" w:hAnsi="Times New Roman"/>
          <w:sz w:val="18"/>
          <w:szCs w:val="18"/>
          <w:color w:val="auto"/>
        </w:rPr>
        <w:t xml:space="preserve">” has the meaning assigned for such term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Fee Rate</w:t>
      </w:r>
      <w:r>
        <w:rPr>
          <w:rFonts w:ascii="Times New Roman" w:cs="Times New Roman" w:eastAsia="Times New Roman" w:hAnsi="Times New Roman"/>
          <w:sz w:val="18"/>
          <w:szCs w:val="18"/>
          <w:color w:val="auto"/>
        </w:rPr>
        <w:t>” means, on any date the applicable rate per annum set forth in the applicable Incremental Facility Amendment, Refinancing Amendment, Extension Amendment or other applicable amendment to this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 Schedule</w:t>
      </w:r>
      <w:r>
        <w:rPr>
          <w:rFonts w:ascii="Times New Roman" w:cs="Times New Roman" w:eastAsia="Times New Roman" w:hAnsi="Times New Roman"/>
          <w:sz w:val="18"/>
          <w:szCs w:val="18"/>
          <w:color w:val="auto"/>
        </w:rPr>
        <w:t xml:space="preserve">” means the Schedule attached hereto as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344" w:name="page345"/>
    <w:bookmarkEnd w:id="34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means the Commodity Exchange Act (7 U.S.C. § 1 et seq.).</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w:t>
      </w:r>
      <w:r>
        <w:rPr>
          <w:rFonts w:ascii="Times New Roman" w:cs="Times New Roman" w:eastAsia="Times New Roman" w:hAnsi="Times New Roman"/>
          <w:sz w:val="18"/>
          <w:szCs w:val="18"/>
          <w:color w:val="auto"/>
        </w:rPr>
        <w:t>” means any competitor of the Borrower and/or any of its subsidiaries.</w:t>
      </w:r>
    </w:p>
    <w:p>
      <w:pPr>
        <w:spacing w:after="0" w:line="225" w:lineRule="exact"/>
        <w:rPr>
          <w:sz w:val="20"/>
          <w:szCs w:val="20"/>
          <w:color w:val="auto"/>
        </w:rPr>
      </w:pPr>
    </w:p>
    <w:p>
      <w:pPr>
        <w:ind w:left="4"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compliance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in any other form approved by the Administrative Agent and the Borrower.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Adjusted EBITDA</w:t>
      </w:r>
      <w:r>
        <w:rPr>
          <w:rFonts w:ascii="Times New Roman" w:cs="Times New Roman" w:eastAsia="Times New Roman" w:hAnsi="Times New Roman"/>
          <w:sz w:val="17"/>
          <w:szCs w:val="17"/>
          <w:color w:val="auto"/>
        </w:rPr>
        <w:t xml:space="preserve">” means, as to any Person for any period, an amount determined for such Person and its Restricted Subsidiaries on a consolidated basis equal to the total of (a) Consolidated Net Income for such period plus (b) the sum, without duplication and at the election of the Borrower, of (to the extent deducted in calculating Consolidated Net Income, other than in respect of </w:t>
      </w:r>
      <w:r>
        <w:rPr>
          <w:rFonts w:ascii="Times New Roman" w:cs="Times New Roman" w:eastAsia="Times New Roman" w:hAnsi="Times New Roman"/>
          <w:sz w:val="17"/>
          <w:szCs w:val="17"/>
          <w:u w:val="single" w:color="auto"/>
          <w:color w:val="auto"/>
        </w:rPr>
        <w:t>clauses (vi)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(viii)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(xiv)</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(xix)</w:t>
      </w:r>
      <w:r>
        <w:rPr>
          <w:rFonts w:ascii="Times New Roman" w:cs="Times New Roman" w:eastAsia="Times New Roman" w:hAnsi="Times New Roman"/>
          <w:sz w:val="17"/>
          <w:szCs w:val="17"/>
          <w:color w:val="auto"/>
        </w:rPr>
        <w:t xml:space="preserve"> and</w:t>
      </w:r>
    </w:p>
    <w:p>
      <w:pPr>
        <w:spacing w:after="0" w:line="1" w:lineRule="exact"/>
        <w:rPr>
          <w:sz w:val="20"/>
          <w:szCs w:val="20"/>
          <w:color w:val="auto"/>
        </w:rPr>
      </w:pPr>
    </w:p>
    <w:p>
      <w:pPr>
        <w:ind w:left="344" w:hanging="344"/>
        <w:spacing w:after="0"/>
        <w:tabs>
          <w:tab w:leader="none" w:pos="344" w:val="left"/>
        </w:tabs>
        <w:numPr>
          <w:ilvl w:val="0"/>
          <w:numId w:val="44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below) the amounts of:</w:t>
      </w:r>
    </w:p>
    <w:p>
      <w:pPr>
        <w:spacing w:after="0" w:line="98" w:lineRule="exact"/>
        <w:rPr>
          <w:rFonts w:ascii="Times New Roman" w:cs="Times New Roman" w:eastAsia="Times New Roman" w:hAnsi="Times New Roman"/>
          <w:sz w:val="18"/>
          <w:szCs w:val="18"/>
          <w:u w:val="single" w:color="auto"/>
          <w:color w:val="auto"/>
        </w:rPr>
      </w:pPr>
    </w:p>
    <w:p>
      <w:pPr>
        <w:ind w:left="984" w:right="280" w:firstLine="408"/>
        <w:spacing w:after="0" w:line="257" w:lineRule="auto"/>
        <w:tabs>
          <w:tab w:leader="none" w:pos="1600" w:val="left"/>
        </w:tabs>
        <w:numPr>
          <w:ilvl w:val="2"/>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(including (A) fees and expenses paid to the Administrative Agent and the Collateral Agent in connection with their services hereunder, (B) other bank, administrative agency (or trustee) and financing fees (including rating agency fees), (C) costs of surety bonds in connection with financing activities (whether amortized or immediately expensed) and</w:t>
      </w:r>
    </w:p>
    <w:p>
      <w:pPr>
        <w:spacing w:after="0" w:line="1" w:lineRule="exact"/>
        <w:rPr>
          <w:rFonts w:ascii="Times New Roman" w:cs="Times New Roman" w:eastAsia="Times New Roman" w:hAnsi="Times New Roman"/>
          <w:sz w:val="18"/>
          <w:szCs w:val="18"/>
          <w:color w:val="auto"/>
        </w:rPr>
      </w:pPr>
    </w:p>
    <w:p>
      <w:pPr>
        <w:ind w:left="984" w:right="280" w:firstLine="7"/>
        <w:spacing w:after="0" w:line="260" w:lineRule="auto"/>
        <w:tabs>
          <w:tab w:leader="none" w:pos="1279" w:val="left"/>
        </w:tabs>
        <w:numPr>
          <w:ilvl w:val="1"/>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discounts and other fees and charges owed with respect to revolving commitments, letters of credit, bank guarantees, bankers’ acceptances or any similar facilities or financing and hedging agreements);</w:t>
      </w:r>
    </w:p>
    <w:p>
      <w:pPr>
        <w:spacing w:after="0" w:line="73" w:lineRule="exact"/>
        <w:rPr>
          <w:rFonts w:ascii="Times New Roman" w:cs="Times New Roman" w:eastAsia="Times New Roman" w:hAnsi="Times New Roman"/>
          <w:sz w:val="18"/>
          <w:szCs w:val="18"/>
          <w:color w:val="auto"/>
        </w:rPr>
      </w:pPr>
    </w:p>
    <w:p>
      <w:pPr>
        <w:ind w:left="984" w:right="160" w:firstLine="408"/>
        <w:spacing w:after="0" w:line="261" w:lineRule="auto"/>
        <w:tabs>
          <w:tab w:leader="none" w:pos="1650" w:val="left"/>
        </w:tabs>
        <w:numPr>
          <w:ilvl w:val="2"/>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and any provision for Taxes, including income, profits, capital, foreign, federal, state, local, sales,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Tax distribution) of such Person paid or accrued during the relevant period;</w:t>
      </w:r>
    </w:p>
    <w:p>
      <w:pPr>
        <w:spacing w:after="0" w:line="71" w:lineRule="exact"/>
        <w:rPr>
          <w:rFonts w:ascii="Times New Roman" w:cs="Times New Roman" w:eastAsia="Times New Roman" w:hAnsi="Times New Roman"/>
          <w:sz w:val="18"/>
          <w:szCs w:val="18"/>
          <w:color w:val="auto"/>
        </w:rPr>
      </w:pPr>
    </w:p>
    <w:p>
      <w:pPr>
        <w:ind w:left="984" w:right="860" w:firstLine="408"/>
        <w:spacing w:after="0" w:line="282" w:lineRule="auto"/>
        <w:tabs>
          <w:tab w:leader="none" w:pos="1700" w:val="left"/>
        </w:tabs>
        <w:numPr>
          <w:ilvl w:val="2"/>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depreciation, (B) amortization (including amortization of goodwill, software and other intangible assets), (C) any impairment Charge (including any bad debt expense) and (D) any asset write-off and/or write-down;</w:t>
      </w:r>
    </w:p>
    <w:p>
      <w:pPr>
        <w:spacing w:after="0" w:line="53" w:lineRule="exact"/>
        <w:rPr>
          <w:rFonts w:ascii="Times New Roman" w:cs="Times New Roman" w:eastAsia="Times New Roman" w:hAnsi="Times New Roman"/>
          <w:sz w:val="18"/>
          <w:szCs w:val="18"/>
          <w:color w:val="auto"/>
        </w:rPr>
      </w:pPr>
    </w:p>
    <w:p>
      <w:pPr>
        <w:ind w:left="984" w:right="80" w:firstLine="408"/>
        <w:spacing w:after="0" w:line="258" w:lineRule="auto"/>
        <w:tabs>
          <w:tab w:leader="none" w:pos="1690" w:val="left"/>
        </w:tabs>
        <w:numPr>
          <w:ilvl w:val="2"/>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including the excess of rent expense over actual Cash rent paid, the benefit of lease incentives (in the case of a charge) during such period due to the use of straight line rent for GAAP purposes, and any non-cash Charge pursuant to any management equity plan, stock option plan or any other management or employee benefit plan, agreement or any stock subscription or shareholder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non-Cash Charge represents an accrual or reserve for potential Cash items in any future period, such Person may determine not to add back such non-Cash Charge in the then-current period);</w:t>
      </w:r>
    </w:p>
    <w:p>
      <w:pPr>
        <w:spacing w:after="0" w:line="75"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2"/>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345" w:name="page346"/>
    <w:bookmarkEnd w:id="345"/>
    <w:p>
      <w:pPr>
        <w:ind w:left="-7" w:right="180" w:firstLine="408"/>
        <w:spacing w:after="0" w:line="282" w:lineRule="auto"/>
        <w:tabs>
          <w:tab w:leader="none" w:pos="698"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Receivables Fees and the amount of loss or discount on the sale of Receivables Facility Assets and related assets in connection with any Qualified Receivables Facility;</w:t>
      </w:r>
    </w:p>
    <w:p>
      <w:pPr>
        <w:spacing w:after="0" w:line="53" w:lineRule="exact"/>
        <w:rPr>
          <w:rFonts w:ascii="Times New Roman" w:cs="Times New Roman" w:eastAsia="Times New Roman" w:hAnsi="Times New Roman"/>
          <w:sz w:val="18"/>
          <w:szCs w:val="18"/>
          <w:color w:val="auto"/>
        </w:rPr>
      </w:pPr>
    </w:p>
    <w:p>
      <w:pPr>
        <w:ind w:left="-7" w:right="80" w:firstLine="408"/>
        <w:spacing w:after="0" w:line="261" w:lineRule="auto"/>
        <w:tabs>
          <w:tab w:leader="none" w:pos="748"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management, monitoring, consulting, transaction, advisory, investment banking, termination and similar fees and related indemnities and expenses (including reimbursements) paid or accrued and payments to outside directors of the Borrower actually paid by or on behalf of, or accrued by, such Person or any of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payment is permitted under this Agreement;</w:t>
      </w:r>
    </w:p>
    <w:p>
      <w:pPr>
        <w:spacing w:after="0" w:line="71" w:lineRule="exact"/>
        <w:rPr>
          <w:rFonts w:ascii="Times New Roman" w:cs="Times New Roman" w:eastAsia="Times New Roman" w:hAnsi="Times New Roman"/>
          <w:sz w:val="18"/>
          <w:szCs w:val="18"/>
          <w:color w:val="auto"/>
        </w:rPr>
      </w:pPr>
    </w:p>
    <w:p>
      <w:pPr>
        <w:ind w:left="813" w:hanging="412"/>
        <w:spacing w:after="0"/>
        <w:tabs>
          <w:tab w:leader="none" w:pos="813"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deferred revenue;</w:t>
      </w:r>
    </w:p>
    <w:p>
      <w:pPr>
        <w:spacing w:after="0" w:line="117" w:lineRule="exact"/>
        <w:rPr>
          <w:rFonts w:ascii="Times New Roman" w:cs="Times New Roman" w:eastAsia="Times New Roman" w:hAnsi="Times New Roman"/>
          <w:sz w:val="18"/>
          <w:szCs w:val="18"/>
          <w:color w:val="auto"/>
        </w:rPr>
      </w:pPr>
    </w:p>
    <w:p>
      <w:pPr>
        <w:ind w:left="-7" w:right="300" w:firstLine="408"/>
        <w:spacing w:after="0" w:line="261" w:lineRule="auto"/>
        <w:tabs>
          <w:tab w:leader="none" w:pos="698"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earn-out, non-compete and other contingent consideration obligations (including to the extent accounted for as bonuses, compensation or otherwise) and adjustments thereof and purchase price (or similar) adjustments incurred in connection with</w:t>
      </w:r>
    </w:p>
    <w:p>
      <w:pPr>
        <w:ind w:left="-7" w:right="820" w:firstLine="7"/>
        <w:spacing w:after="0" w:line="260" w:lineRule="auto"/>
        <w:tabs>
          <w:tab w:leader="none" w:pos="287"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Investments completed prior to the Closing Date, (B) any acquisition or other Investment permitted by this Agreement, in each case, which is paid or accrued during the applicable period and (C) the Separation;</w:t>
      </w:r>
    </w:p>
    <w:p>
      <w:pPr>
        <w:spacing w:after="0" w:line="73" w:lineRule="exact"/>
        <w:rPr>
          <w:rFonts w:ascii="Times New Roman" w:cs="Times New Roman" w:eastAsia="Times New Roman" w:hAnsi="Times New Roman"/>
          <w:sz w:val="18"/>
          <w:szCs w:val="18"/>
          <w:color w:val="auto"/>
        </w:rPr>
      </w:pPr>
    </w:p>
    <w:p>
      <w:pPr>
        <w:ind w:left="-7" w:firstLine="408"/>
        <w:spacing w:after="0" w:line="254" w:lineRule="auto"/>
        <w:tabs>
          <w:tab w:leader="none" w:pos="648" w:val="left"/>
        </w:tabs>
        <w:numPr>
          <w:ilvl w:val="1"/>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forma adjustments, including pro forma “run rate” cost savings, operating expense reductions, operational improvements and cost synergies (in each case, net of amounts actually realized)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that are reasonably identifiable, factually supportable (or certified by a Responsible Officer of such Person in good faith) and projected by such Person in good faith as of the date Consolidated Adjusted EBITDA is being calculated to result from actions that have been taken or with respect to which steps have been taken or are expected to be taken (in the good faith determination of such Person), in each case related to (A) the Transactions and</w:t>
      </w:r>
    </w:p>
    <w:p>
      <w:pPr>
        <w:spacing w:after="0" w:line="3" w:lineRule="exact"/>
        <w:rPr>
          <w:rFonts w:ascii="Times New Roman" w:cs="Times New Roman" w:eastAsia="Times New Roman" w:hAnsi="Times New Roman"/>
          <w:sz w:val="18"/>
          <w:szCs w:val="18"/>
          <w:color w:val="auto"/>
        </w:rPr>
      </w:pPr>
    </w:p>
    <w:p>
      <w:pPr>
        <w:ind w:left="-7" w:right="20" w:firstLine="7"/>
        <w:spacing w:after="0" w:line="251" w:lineRule="auto"/>
        <w:tabs>
          <w:tab w:leader="none" w:pos="277"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(including the commencement of activities constituting a business line), combination, Investment, de novos, Disposition (including the termination or discontinuance of activities constituting a business line), operating improvement, restructuring, cost savings initiative, similar initiative (including the effect of arrangements or efficiencies from the shifting of production from one facility to another) and/or specified transaction, in each case undertaken prior to, on or after the Closing Date (any such operating improvement, restructuring, cost savings initiative, similar initiative or specified transaction,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(in each case, calculated on a Pro Forma Basis as though such Expected Cost Savings and/or Cost Saving Initiative had been realized in full on the first day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results of such Expected Cost Savings and/or Cost Saving Initiatives are projected by such Person in good faith to result from actions that have been taken or with respect to which steps have been taken or are expected to be taken (in the good faith determination of such Person) within 24 months after the date of any such operating improvement, restructuring, cost savings initiative, similar initiative or specified transaction;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the aggregate amount added to or included in Consolidated Adjusted EBITDA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shall not, for any Test Period, exceed an amount equal to 30% of Consolidated Adjusted EBITDA for such Test Period, calculated after giving effect to any such add-backs or inclusion (and all other add-backs and inclusions);</w:t>
      </w:r>
    </w:p>
    <w:p>
      <w:pPr>
        <w:spacing w:after="0" w:line="84" w:lineRule="exact"/>
        <w:rPr>
          <w:rFonts w:ascii="Times New Roman" w:cs="Times New Roman" w:eastAsia="Times New Roman" w:hAnsi="Times New Roman"/>
          <w:sz w:val="18"/>
          <w:szCs w:val="18"/>
          <w:color w:val="auto"/>
        </w:rPr>
      </w:pPr>
    </w:p>
    <w:p>
      <w:pPr>
        <w:ind w:left="713" w:hanging="312"/>
        <w:spacing w:after="0"/>
        <w:tabs>
          <w:tab w:leader="none" w:pos="713" w:val="left"/>
        </w:tabs>
        <w:numPr>
          <w:ilvl w:val="1"/>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ind w:left="443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13"/>
          </w:cols>
          <w:pgMar w:left="1427" w:top="270" w:right="459" w:bottom="1440" w:gutter="0" w:footer="0" w:header="0"/>
        </w:sectPr>
      </w:pPr>
    </w:p>
    <w:bookmarkStart w:id="346" w:name="page347"/>
    <w:bookmarkEnd w:id="346"/>
    <w:p>
      <w:pPr>
        <w:ind w:left="-20" w:right="40" w:firstLine="408"/>
        <w:spacing w:after="0" w:line="254" w:lineRule="auto"/>
        <w:tabs>
          <w:tab w:leader="none" w:pos="73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to the extent such Charge is covered by insurance, indemnification or otherwise reimbursable by a third party (whether or not then realized so long as the Borrower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80" w:lineRule="exact"/>
        <w:rPr>
          <w:rFonts w:ascii="Times New Roman" w:cs="Times New Roman" w:eastAsia="Times New Roman" w:hAnsi="Times New Roman"/>
          <w:sz w:val="18"/>
          <w:szCs w:val="18"/>
          <w:color w:val="auto"/>
        </w:rPr>
      </w:pPr>
    </w:p>
    <w:p>
      <w:pPr>
        <w:ind w:left="800" w:hanging="412"/>
        <w:spacing w:after="0"/>
        <w:tabs>
          <w:tab w:leader="none" w:pos="80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losses in the fair market value of any arrangements under Hedge Agreements;</w:t>
      </w:r>
    </w:p>
    <w:p>
      <w:pPr>
        <w:spacing w:after="0" w:line="117"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77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w:t>
      </w:r>
      <w:r>
        <w:rPr>
          <w:rFonts w:ascii="Times New Roman" w:cs="Times New Roman" w:eastAsia="Times New Roman" w:hAnsi="Times New Roman"/>
          <w:sz w:val="18"/>
          <w:szCs w:val="18"/>
          <w:u w:val="single" w:color="auto"/>
          <w:color w:val="auto"/>
        </w:rPr>
        <w:t>clause (c)(i)</w:t>
      </w:r>
      <w:r>
        <w:rPr>
          <w:rFonts w:ascii="Times New Roman" w:cs="Times New Roman" w:eastAsia="Times New Roman" w:hAnsi="Times New Roman"/>
          <w:sz w:val="18"/>
          <w:szCs w:val="18"/>
          <w:color w:val="auto"/>
        </w:rPr>
        <w:t xml:space="preserve"> below for any previous period and not added back;</w:t>
      </w:r>
    </w:p>
    <w:p>
      <w:pPr>
        <w:spacing w:after="0" w:line="71"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“bad debt” expense related to revenue earned prior to the Closing Date;</w:t>
      </w:r>
    </w:p>
    <w:p>
      <w:pPr>
        <w:spacing w:after="0" w:line="117" w:lineRule="exact"/>
        <w:rPr>
          <w:rFonts w:ascii="Times New Roman" w:cs="Times New Roman" w:eastAsia="Times New Roman" w:hAnsi="Times New Roman"/>
          <w:sz w:val="18"/>
          <w:szCs w:val="18"/>
          <w:color w:val="auto"/>
        </w:rPr>
      </w:pPr>
    </w:p>
    <w:p>
      <w:pPr>
        <w:ind w:left="-20" w:right="260" w:firstLine="408"/>
        <w:spacing w:after="0" w:line="282" w:lineRule="auto"/>
        <w:tabs>
          <w:tab w:leader="none" w:pos="77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Charge included in the Borrower’s consolidated financial statements due to the application of Accounting Standards Codification Topic 810 (“</w:t>
      </w:r>
      <w:r>
        <w:rPr>
          <w:rFonts w:ascii="Times New Roman" w:cs="Times New Roman" w:eastAsia="Times New Roman" w:hAnsi="Times New Roman"/>
          <w:sz w:val="18"/>
          <w:szCs w:val="18"/>
          <w:u w:val="single" w:color="auto"/>
          <w:color w:val="auto"/>
        </w:rPr>
        <w:t>ASC 810</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0" w:right="360" w:firstLine="408"/>
        <w:spacing w:after="0" w:line="282" w:lineRule="auto"/>
        <w:tabs>
          <w:tab w:leader="none" w:pos="8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Charge consisting of income attributable to minority equity interests of third parties in any non-Wholly-Owned Subsidiary;</w:t>
      </w:r>
    </w:p>
    <w:p>
      <w:pPr>
        <w:spacing w:after="0" w:line="53" w:lineRule="exact"/>
        <w:rPr>
          <w:rFonts w:ascii="Times New Roman" w:cs="Times New Roman" w:eastAsia="Times New Roman" w:hAnsi="Times New Roman"/>
          <w:sz w:val="18"/>
          <w:szCs w:val="18"/>
          <w:color w:val="auto"/>
        </w:rPr>
      </w:pPr>
    </w:p>
    <w:p>
      <w:pPr>
        <w:ind w:left="880" w:hanging="492"/>
        <w:spacing w:after="0"/>
        <w:tabs>
          <w:tab w:leader="none" w:pos="880"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expenses and other Charges incurred, or reserves taken, in connection with the Transactions;</w:t>
      </w:r>
    </w:p>
    <w:p>
      <w:pPr>
        <w:spacing w:after="0" w:line="117"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77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earned or billed amounts or other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 and</w:t>
      </w:r>
    </w:p>
    <w:p>
      <w:pPr>
        <w:spacing w:after="0" w:line="71" w:lineRule="exact"/>
        <w:rPr>
          <w:rFonts w:ascii="Times New Roman" w:cs="Times New Roman" w:eastAsia="Times New Roman" w:hAnsi="Times New Roman"/>
          <w:sz w:val="18"/>
          <w:szCs w:val="18"/>
          <w:color w:val="auto"/>
        </w:rPr>
      </w:pPr>
    </w:p>
    <w:p>
      <w:pPr>
        <w:ind w:left="-20" w:firstLine="408"/>
        <w:spacing w:after="0" w:line="261" w:lineRule="auto"/>
        <w:tabs>
          <w:tab w:leader="none" w:pos="726"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Borrower, any other adjustments, exclusions and add-backs (x) that are consistent with Regulation S-X (as in effect prior to January 1, 2021) or (y) that are identified or set forth in any quality of earnings analysis or report prepared by financial advisors reasonably acceptable to the Administrative Agent (it being understood that the “Big Four” accounting firms are acceptable) and delivered to the Administrative Agent in connection with any acquisition or other Investment not prohibited hereunder;</w:t>
      </w:r>
    </w:p>
    <w:p>
      <w:pPr>
        <w:spacing w:after="0" w:line="11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80"/>
          </w:cols>
          <w:pgMar w:left="1440" w:top="270" w:right="479" w:bottom="1440" w:gutter="0" w:footer="0" w:header="0"/>
        </w:sectPr>
      </w:pPr>
    </w:p>
    <w:bookmarkStart w:id="347" w:name="page348"/>
    <w:bookmarkEnd w:id="3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minus (c) without duplication, to the extent such amounts increase Consolidated Net Income:</w:t>
      </w:r>
    </w:p>
    <w:p>
      <w:pPr>
        <w:spacing w:after="0" w:line="117" w:lineRule="exact"/>
        <w:rPr>
          <w:sz w:val="20"/>
          <w:szCs w:val="20"/>
          <w:color w:val="auto"/>
        </w:rPr>
      </w:pPr>
    </w:p>
    <w:p>
      <w:pPr>
        <w:jc w:val="both"/>
        <w:ind w:left="980" w:right="220" w:firstLine="408"/>
        <w:spacing w:after="0" w:line="282" w:lineRule="auto"/>
        <w:tabs>
          <w:tab w:leader="none" w:pos="159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non-Cash gains or income;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non-Cash gain or income represents an accrual or deferred income in respect of potential Cash items in any future period, such Person may determine not to deduct such non-Cash gain or income in the current period;</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gains in the fair market value of any arrangements under Hedge Agreements;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8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added back to Consolidated Adjusted EBITDA pursuant to </w:t>
      </w:r>
      <w:r>
        <w:rPr>
          <w:rFonts w:ascii="Times New Roman" w:cs="Times New Roman" w:eastAsia="Times New Roman" w:hAnsi="Times New Roman"/>
          <w:sz w:val="18"/>
          <w:szCs w:val="18"/>
          <w:u w:val="single" w:color="auto"/>
          <w:color w:val="auto"/>
        </w:rPr>
        <w:t>clause (b)(xii)</w:t>
      </w:r>
      <w:r>
        <w:rPr>
          <w:rFonts w:ascii="Times New Roman" w:cs="Times New Roman" w:eastAsia="Times New Roman" w:hAnsi="Times New Roman"/>
          <w:sz w:val="18"/>
          <w:szCs w:val="18"/>
          <w:color w:val="auto"/>
        </w:rPr>
        <w:t xml:space="preserve"> above (as described in such clause) to the extent the relevant business interruption insurance proceeds were not received within the time period required by such clause;</w:t>
      </w:r>
    </w:p>
    <w:p>
      <w:pPr>
        <w:spacing w:after="0" w:line="53" w:lineRule="exact"/>
        <w:rPr>
          <w:rFonts w:ascii="Times New Roman" w:cs="Times New Roman" w:eastAsia="Times New Roman" w:hAnsi="Times New Roman"/>
          <w:sz w:val="18"/>
          <w:szCs w:val="18"/>
          <w:color w:val="auto"/>
        </w:rPr>
      </w:pPr>
    </w:p>
    <w:p>
      <w:pPr>
        <w:ind w:left="980" w:right="460" w:firstLine="408"/>
        <w:spacing w:after="0" w:line="282" w:lineRule="auto"/>
        <w:tabs>
          <w:tab w:leader="none" w:pos="163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Person adds back the amount of any non-Cash charge to Consolidated Adjusted EBITDA pursuant to </w:t>
      </w:r>
      <w:r>
        <w:rPr>
          <w:rFonts w:ascii="Times New Roman" w:cs="Times New Roman" w:eastAsia="Times New Roman" w:hAnsi="Times New Roman"/>
          <w:sz w:val="18"/>
          <w:szCs w:val="18"/>
          <w:u w:val="single" w:color="auto"/>
          <w:color w:val="auto"/>
        </w:rPr>
        <w:t>clause (b)(iv)</w:t>
      </w:r>
      <w:r>
        <w:rPr>
          <w:rFonts w:ascii="Times New Roman" w:cs="Times New Roman" w:eastAsia="Times New Roman" w:hAnsi="Times New Roman"/>
          <w:sz w:val="18"/>
          <w:szCs w:val="18"/>
          <w:color w:val="auto"/>
        </w:rPr>
        <w:t xml:space="preserve"> above, the cash payment in respect thereof in the relevant future period;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actual Cash rent paid over rent expense during such period due to the use of straight line rent for GAAP purposes;</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Consolidated Net Income included in the Borrower’s consolidated financial statements due to the application of ASC 810;</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980" w:firstLine="408"/>
        <w:spacing w:after="0" w:line="282" w:lineRule="auto"/>
        <w:tabs>
          <w:tab w:leader="none" w:pos="1786"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gains from losses attributable to minority equity interests of third parties in any non-wholly owned Restricted Subsidiary;</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(without duplication) by, as applicable, any adjustments resulting from the application of Accounting Standards Codification Topic 460 or any comparable regulation.</w:t>
      </w:r>
    </w:p>
    <w:p>
      <w:pPr>
        <w:spacing w:after="0" w:line="15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Lien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first priority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First Lien Debt” shall be calculated after applying or excluding (as applicable) the Netted Amounts.</w:t>
      </w:r>
    </w:p>
    <w:p>
      <w:pPr>
        <w:spacing w:after="0" w:line="17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the sum of (a) consolidated total interest expense of such Person and its Restricted Subsidiaries for such period, whether paid or accrued and whether or not capitalized (including (without duplication), amortization of any debt issuance cost and/or original issue discount, any premium paid to obtain payment, financial assurance or similar bonds, any interest capitalized during construction, any non-cash interest payment, the interest component of any deferred payment obligation, commissions, discounts, yield and other fees and charges (including any interest expense) related to any Qualified Receivables Facility, the interest component of any payment under any Finance Lease (regardless of whether accounted for as interest expense under GAAP), any commission, discount and/or other fee or charge owed with respect to any letter of credit, bank guarantee and/or bankers’ acceptance or any similar facilities, any fee and/or expense paid to the Administrative Agent and/or the Collateral Agent in connection with their services hereunder, any other bank, administrative agency (or trustee) and/or financing fee and any cost associated</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48" w:name="page349"/>
    <w:bookmarkEnd w:id="348"/>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any surety bond in connection with financing activities (whether amortized or immediately expensed)), plus (b) any cash dividend or distribution paid or payable in respect of Disqualified Capital Stock during such period other than to such Person or any Loan Party, plus (c) any net losses, obligations or payments arising from or under any Hedge Agreement and/or other derivative financial instrument issued by such Person for the benefit of such Person or its subsidiaries, in each case determined on a consolidated basis for such period. For purposes of this definition, interest in respect of any Finance Lease shall be deemed to accrue at an interest rate reasonably determined by such Person to be the rate of interest implicit in such Finance Lease in accordance with GAAP (or, if not implicit, as otherwise determined in accordance with GAAP).</w:t>
      </w:r>
    </w:p>
    <w:p>
      <w:pPr>
        <w:spacing w:after="0" w:line="183"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means, as to any Person (the “</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xml:space="preserve">”) for any period, the net income (or loss) of the Subject Person and its Restricted Subsidiaries on a consolidated basis for such period taken as a single accounting period determined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without duplication,</w:t>
      </w:r>
    </w:p>
    <w:p>
      <w:pPr>
        <w:spacing w:after="0" w:line="67" w:lineRule="exact"/>
        <w:rPr>
          <w:sz w:val="20"/>
          <w:szCs w:val="20"/>
          <w:color w:val="auto"/>
        </w:rPr>
      </w:pPr>
    </w:p>
    <w:p>
      <w:pPr>
        <w:ind w:left="440" w:right="40" w:firstLine="419"/>
        <w:spacing w:after="0" w:line="267" w:lineRule="auto"/>
        <w:tabs>
          <w:tab w:leader="none" w:pos="1108" w:val="left"/>
        </w:tabs>
        <w:numPr>
          <w:ilvl w:val="1"/>
          <w:numId w:val="4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net income (loss) of any Person if such Person is not the Subject Person or a Restricted Subsidiary thereof, except that Consolidated Net Income will be increased by the amount of dividends, distributions or other payments made in Cash or Cash Equivalents (or converted into Cash or Cash Equivalents) or that could have been made during such period (as determined in good faith by the Borrower) by such Person to the Subject Person or any other Restricted Subsidiary thereof (subject, in the case of any such Restricted Subsidiary that is not a Loan Party, to the limitations contained in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below) and (ii) solely for the purpose of determining the amount available for Restricted Payments under </w:t>
      </w:r>
      <w:r>
        <w:rPr>
          <w:rFonts w:ascii="Times New Roman" w:cs="Times New Roman" w:eastAsia="Times New Roman" w:hAnsi="Times New Roman"/>
          <w:sz w:val="17"/>
          <w:szCs w:val="17"/>
          <w:u w:val="single" w:color="auto"/>
          <w:color w:val="auto"/>
        </w:rPr>
        <w:t>Section 6.04(a)(iii)(A)</w:t>
      </w:r>
      <w:r>
        <w:rPr>
          <w:rFonts w:ascii="Times New Roman" w:cs="Times New Roman" w:eastAsia="Times New Roman" w:hAnsi="Times New Roman"/>
          <w:sz w:val="17"/>
          <w:szCs w:val="17"/>
          <w:color w:val="auto"/>
        </w:rPr>
        <w:t xml:space="preserve"> or the amount of Excess Cash Flow, any net income (loss) of any Restricted Subsidiary (other than a Loan Party) if such Subsidiary is subject to restrictions on the payment of dividends or the making of distributions by such Restricted Subsidiary, directly or indirectly, to the Subject Person or a Loan Party by operation of its Organizational Documents or any agreement, instrument, judgment, decree, order, statute or governmental rule or regulation applicable thereto (other than (x) any restriction that has been waived or otherwise released and</w:t>
      </w:r>
    </w:p>
    <w:p>
      <w:pPr>
        <w:spacing w:after="0" w:line="5" w:lineRule="exact"/>
        <w:rPr>
          <w:rFonts w:ascii="Times New Roman" w:cs="Times New Roman" w:eastAsia="Times New Roman" w:hAnsi="Times New Roman"/>
          <w:sz w:val="17"/>
          <w:szCs w:val="17"/>
          <w:color w:val="auto"/>
        </w:rPr>
      </w:pPr>
    </w:p>
    <w:p>
      <w:pPr>
        <w:ind w:left="440" w:hanging="4"/>
        <w:spacing w:after="0" w:line="252" w:lineRule="auto"/>
        <w:tabs>
          <w:tab w:leader="none" w:pos="695"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 set forth in the Loan Documents, the documents related to any Pro Rata Facilities, Other Secured Debt, Incremental Loans and/or Incremental Equivalent Debt and the documents relating to any Replacement Debt or Refinancing Indebtedness in respect of any of the foregoing), except that Consolidated Net Income will be increased by the amount of dividends, distributions or other payments made in Cash or Cash Equivalents (or converted into Cash or Cash Equivalents) or that could have been made in Cash or Cash Equivalents during such period (as determined in good faith by the Borrower) by the Restricted Subsidiary (subject, in the case of a dividend, distribution or other payment to another Restricted Subsidiary, to the limitations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gain or Charge from (A) any extraordinary or exceptional item (as determined in good faith by such Person) and/or (B) any</w:t>
      </w:r>
    </w:p>
    <w:p>
      <w:pPr>
        <w:spacing w:after="0" w:line="27" w:lineRule="exact"/>
        <w:rPr>
          <w:sz w:val="20"/>
          <w:szCs w:val="20"/>
          <w:color w:val="auto"/>
        </w:rPr>
      </w:pPr>
    </w:p>
    <w:p>
      <w:pPr>
        <w:ind w:left="440" w:right="440"/>
        <w:spacing w:after="0" w:line="260" w:lineRule="auto"/>
        <w:rPr>
          <w:sz w:val="20"/>
          <w:szCs w:val="20"/>
          <w:color w:val="auto"/>
        </w:rPr>
      </w:pPr>
      <w:r>
        <w:rPr>
          <w:rFonts w:ascii="Times New Roman" w:cs="Times New Roman" w:eastAsia="Times New Roman" w:hAnsi="Times New Roman"/>
          <w:sz w:val="18"/>
          <w:szCs w:val="18"/>
          <w:color w:val="auto"/>
        </w:rPr>
        <w:t>non-recurring, infrequent, special or unusual item (as determined in good faith by such Person) and/or (ii) any Charge associated with and/or payment of any actual or prospective legal settlement, fine, judgment or order, including ordinary legal expenses related thereto;</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49" w:name="page350"/>
    <w:bookmarkEnd w:id="349"/>
    <w:p>
      <w:pPr>
        <w:ind w:left="4" w:firstLine="419"/>
        <w:spacing w:after="0" w:line="254" w:lineRule="auto"/>
        <w:tabs>
          <w:tab w:leader="none" w:pos="681"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any unrealized or realized net foreign currency translation or transaction gains or Charges impacting net income (including currency re-measurements of Indebtedness, any net gains or Charges resulting from Hedge Agreements for currency exchange risk associated with the above or any other currency related risk, any gains or Charges relating to translation of assets and liabilities denominated in a foreign currency and those resulting from intercompany Indebtedness), (ii) any realized or unrealized gain or Charge in respect of (x) any obligation under any Hedge Agreement as determined in accordance with GAAP and/or (y) any other derivative instrument pursuant to,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Financial Accounting Standards Board’s Accounting Standards Codification No. 815-Derivatives and Hedging and (iii) unrealized gains or losses in respect of any Hedge Agreement and any ineffectiveness recognized in earnings related to qualifying hedge transactions or the fair value of changes therein recognized in earnings for derivatives that do not qualify as hedge transactions, in respect of Hedge Agreements;</w:t>
      </w:r>
    </w:p>
    <w:p>
      <w:pPr>
        <w:spacing w:after="0" w:line="8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71"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Charge with respect to (i) any disposed, abandoned, divested and/or discontinued asset, property or operation (other than, at the option of the Borrower, any asset, property or operation pending the disposal, abandonment, divestiture and/or termination thereof), (ii) any disposal, abandonment, divestiture and/or discontinuation of any asset, property or operation (other than, at the option of the Borrower, relating to assets or properties held for sale or pending the divestiture or discontinuation thereof) and/or (iii) any facility that has been closed during such period;</w:t>
      </w:r>
    </w:p>
    <w:p>
      <w:pPr>
        <w:spacing w:after="0" w:line="75"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651"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or Charge (less all fees and expenses related thereto) attributable to (i) the early extinguishment or cancellation of Indebtedness or (ii) any Derivative Transaction;</w:t>
      </w:r>
    </w:p>
    <w:p>
      <w:pPr>
        <w:spacing w:after="0" w:line="53"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81"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Charge incurred as a result of, in connection with or pursuant to any management equity plan, profits interest or stock option plan or any other management or employee benefit plan or agreement, any pension plan (including any post-employment benefit scheme which has been agreed with the relevant pension trustee), any stock subscription or shareholders agreement, any employee benefit trust, any employee benefit scheme, any distributor equity plan or any similar equity plan or agreement (including any deferred compensation arrangement or trust),</w:t>
      </w:r>
    </w:p>
    <w:p>
      <w:pPr>
        <w:spacing w:after="0" w:line="2" w:lineRule="exact"/>
        <w:rPr>
          <w:rFonts w:ascii="Times New Roman" w:cs="Times New Roman" w:eastAsia="Times New Roman" w:hAnsi="Times New Roman"/>
          <w:sz w:val="18"/>
          <w:szCs w:val="18"/>
          <w:color w:val="auto"/>
        </w:rPr>
      </w:pPr>
    </w:p>
    <w:p>
      <w:pPr>
        <w:ind w:left="4" w:right="40" w:hanging="4"/>
        <w:spacing w:after="0" w:line="252" w:lineRule="auto"/>
        <w:tabs>
          <w:tab w:leader="none" w:pos="268"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Charge incurred in connection with the rollover, acceleration or payout of Capital Stock held by management of the Subject Person and/or any of its subsidiaries, in each case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to the extent that any such cash Charge is funded with net Cash proceeds contributed to the Subject Person as a capital contribution or as a result of the sale or issuance of Qualified Capital Stock of the Subject Person and (iii) the amount of payments made to optionholders of such Person in connection with, or as a result of, any distribution being made to equityholders of such Person, which payments are being made to compensate such optionholders as though they were equityholders at the time of, and entitled to share in, such distribution, in each case to the extent permitted hereunder;</w:t>
      </w:r>
    </w:p>
    <w:p>
      <w:pPr>
        <w:spacing w:after="0" w:line="81" w:lineRule="exact"/>
        <w:rPr>
          <w:rFonts w:ascii="Times New Roman" w:cs="Times New Roman" w:eastAsia="Times New Roman" w:hAnsi="Times New Roman"/>
          <w:sz w:val="18"/>
          <w:szCs w:val="18"/>
          <w:color w:val="auto"/>
        </w:rPr>
      </w:pPr>
    </w:p>
    <w:p>
      <w:pPr>
        <w:ind w:left="4" w:right="60" w:firstLine="419"/>
        <w:spacing w:after="0" w:line="272" w:lineRule="auto"/>
        <w:tabs>
          <w:tab w:leader="none" w:pos="681" w:val="left"/>
        </w:tabs>
        <w:numPr>
          <w:ilvl w:val="1"/>
          <w:numId w:val="4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Charge that is established, adjusted and/or incurred, as applicable, (i) within 12 months after the Closing Date that is required to be established, adjusted or incurred, as applicable, as a result of the Transactions in accordance with GAAP, (ii) within 12 months after the closing of any acquisition that is required to be established, adjusted or incurred, as applicable, as a result of such acquisition in accordance with GAAP or</w:t>
      </w:r>
    </w:p>
    <w:p>
      <w:pPr>
        <w:spacing w:after="0" w:line="1"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any change in, or the adoption or modification of, accounting principles or policies;</w:t>
      </w:r>
    </w:p>
    <w:p>
      <w:pPr>
        <w:spacing w:after="0" w:line="98"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41" w:val="left"/>
        </w:tabs>
        <w:numPr>
          <w:ilvl w:val="1"/>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write-off or amortization made in such period of deferred financing costs and premiums paid or other expenses incurred directly in connection with any early extinguishment of Indebtedness, (B) goodwill or other asset impairment charges, write-offs or write-downs,</w:t>
      </w:r>
    </w:p>
    <w:p>
      <w:pPr>
        <w:ind w:left="4" w:right="2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amortization of intangible assets and (D) other amortization (including amortization of goodwill, software, deferred or capitalized financing fees, debt issuance costs, commissions and expenses and other intangible assets);</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350" w:name="page351"/>
    <w:bookmarkEnd w:id="350"/>
    <w:p>
      <w:pPr>
        <w:ind w:right="20" w:firstLine="419"/>
        <w:spacing w:after="0" w:line="253" w:lineRule="auto"/>
        <w:tabs>
          <w:tab w:leader="none" w:pos="63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the effects of adjustments (including the effects of such adjustments pushed down to the Subject Person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in-process research and development, deferred revenue, advanced billing and debt line items thereof), resulting from the application of recapitalization accounting or acquisition or purchase accounting, as the case may be, in relation to the Transactions or any consummated acquisition or similar Investment or the amortization or write-off of any amounts thereof (including any write-off of in process research and development) and/or (B) the cumulative effect of any change in accounting principles or policies (effected by way of either a cumulative effect adjustment or as a retroactive application, in each case, in accordance with GAAP) (except that, if the Borrower determines in good faith that the cumulative effects thereof are not material to the interests of the Lenders, the effects of any change in any such principles or policies may be included in any subsequent period after the Fiscal Quarter in which such change, adoption or modification was made);</w:t>
      </w:r>
    </w:p>
    <w:p>
      <w:pPr>
        <w:spacing w:after="0" w:line="8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income or loss of any Person accrued prior to the date on which such Person became a Restricted Subsidiary of such Subject Person or is merged into or consolidated with such Subject Person or any Restricted Subsidiary of such Subject Person or the date that such other Person’s assets are acquired by such Subject Person or any Restricted Subsidiary of such Subject Person (except to the extent required for any calculation of Consolidated Adjusted EBITDA on a Pro Forma Basis in accordance with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140" w:firstLine="419"/>
        <w:spacing w:after="0" w:line="282" w:lineRule="auto"/>
        <w:tabs>
          <w:tab w:leader="none" w:pos="63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Tax expense associated with any tax deduction or net operating loss arising as a result of the Transactions, or the release of any valuation allowance related to any such item;</w:t>
      </w:r>
    </w:p>
    <w:p>
      <w:pPr>
        <w:spacing w:after="0" w:line="53" w:lineRule="exact"/>
        <w:rPr>
          <w:rFonts w:ascii="Times New Roman" w:cs="Times New Roman" w:eastAsia="Times New Roman" w:hAnsi="Times New Roman"/>
          <w:sz w:val="18"/>
          <w:szCs w:val="18"/>
          <w:color w:val="auto"/>
        </w:rPr>
      </w:pPr>
    </w:p>
    <w:p>
      <w:pPr>
        <w:ind w:right="260" w:firstLine="419"/>
        <w:spacing w:after="0" w:line="282" w:lineRule="auto"/>
        <w:tabs>
          <w:tab w:leader="none" w:pos="72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non-cash deemed finance Charges in respect of any pension liabilities or other provisions and (ii) income (loss) attributable to deferred compensation plans or trusts;</w:t>
      </w:r>
    </w:p>
    <w:p>
      <w:pPr>
        <w:spacing w:after="0" w:line="53" w:lineRule="exact"/>
        <w:rPr>
          <w:rFonts w:ascii="Times New Roman" w:cs="Times New Roman" w:eastAsia="Times New Roman" w:hAnsi="Times New Roman"/>
          <w:sz w:val="18"/>
          <w:szCs w:val="18"/>
          <w:color w:val="auto"/>
        </w:rPr>
      </w:pPr>
    </w:p>
    <w:p>
      <w:pPr>
        <w:ind w:right="440" w:firstLine="419"/>
        <w:spacing w:after="0" w:line="266"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compensation or otherwise) and adjustments thereof and purchase price adjustments, including in connection with any acquisition or Investment permitted hereunder or in respect of any acquisition consummated prior to the Closing Date;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4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 Costs and Charges or other costs incurred in connection with the Transactions, (B) any Charge incurred (1) in connection with any transaction (in each case, regardless of whether consummated), whether or not permitted under this Agreement, including any issuance and/or incurrence of Indebtedness and/or any issuance and/or offering of Capital Stock,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or in connection with becoming a standalone company (including duplicative integration costs or similar duplicate or increased costs in respect of any transition services agreement) and/or (2) in connection with any public offering (whether or not consummated), (C) the amount of any Charge that is actually reimbursed or reimbursable by third parties pursuant to indemnification or reimbursement provisions or similar agreements or insurance (it being</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351" w:name="page352"/>
    <w:bookmarkEnd w:id="351"/>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understood that if the amount received in cash under any such agreement in any period exceeds the amount of expense paid during such period, any excess amount received may be carried forward and applied against any expense in any future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respect of any reimbursable Charge that is added back in reliance on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such relevant Person in good faith expects to receive reimbursement for such Charge within the next four Fiscal Quarters (with a deduction in the applicable future period for any amount so added back to the extent not so reimbursed within the next four Fiscal Quarters) and/or (D) Public Company Costs;</w:t>
      </w:r>
    </w:p>
    <w:p>
      <w:pPr>
        <w:spacing w:after="0" w:line="75" w:lineRule="exact"/>
        <w:rPr>
          <w:sz w:val="20"/>
          <w:szCs w:val="20"/>
          <w:color w:val="auto"/>
        </w:rPr>
      </w:pPr>
    </w:p>
    <w:p>
      <w:pPr>
        <w:ind w:right="100" w:firstLine="419"/>
        <w:spacing w:after="0" w:line="261" w:lineRule="auto"/>
        <w:tabs>
          <w:tab w:leader="none" w:pos="67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incurred or accrued in connection with any single or one-time event (as determined in good faith by such Person), including in connection with (A) the Transactions and/or any acquisition consummated after the Closing Date (including legal, accounting and other professional fees and expenses incurred in connection with acquisitions and other Investments made prior to the Closing Date), (B) the closing, consolidation or reconfiguration of any facility during such period or (C) one-time consulting costs;</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64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(including any Charge relating to any tax restructuring); Charges attributable to any carveout; integration, implementation and/or transition Charges; retention, recruiting, training, relocation, reallocation, signing or completion Charges or bonus; one time compensation Charges; stock option and other equity-based compensation expenses and the amount of payments made to option holders in connection with, or as a result of, any distribution being made to shareholders; severance Charges; one time systems establishment Charges; any system design and implementation Charges; any Charges relating to any entry into new markets and contracts (including, without limitation, any renewals, extensions or other modifications thereof) or new product introductions or exiting a market, contract or product; Charges relating to any strategic initiative or contract; Charges associated with office and facility openings, pre-openings, closings, expansions and consolidations (including but not limited to termination costs, moving costs and legal costs); lease run-off Charges; expansion and/or relocation Charges; Charges in connection with new operations; Charges in connection with unused warehouse space; corporate development Charges; software and other intellectual property development Charges; project start-up Charges; Charges relating to rights fee arrangements (including any early terminations thereof); consulting Charges; Charges relating to rights fee arrangements (including any early terminations thereof); Charges associated with any modification or curtailment to any pension and post-retirement employee benefit plan (including any settlement of pension liabilities); Charges attributable to the undertaking and/or implementation of new initiatives, business optimization activities, cost savings initiatives (including Cost Savings Initiatives), cost rationalization programs, operating expense reductions, synergies and/or similar initiatives or programs (including, without limitation, in connection with: any inventory and/or equipment optimization program and/or any curtailment; any reconstruction, decommissioning, recommissioning or reconfiguration of fixed assets for alternative uses; and any implementation of one-time operational and reporting systems and technology initiatives (including any Charges relating to the one-time implementation of enhanced accounting or IT functions)); employee ramp-up Charges; Charges related to temporary decreases in work volume; Charges related to underutilized personnel (including duplicative personnel); Charges related to customer disputes, distribution networks or sales channels;</w:t>
      </w:r>
    </w:p>
    <w:p>
      <w:pPr>
        <w:spacing w:after="0" w:line="82" w:lineRule="exact"/>
        <w:rPr>
          <w:rFonts w:ascii="Times New Roman" w:cs="Times New Roman" w:eastAsia="Times New Roman" w:hAnsi="Times New Roman"/>
          <w:sz w:val="18"/>
          <w:szCs w:val="18"/>
          <w:color w:val="auto"/>
        </w:rPr>
      </w:pPr>
    </w:p>
    <w:p>
      <w:pPr>
        <w:ind w:right="560" w:firstLine="419"/>
        <w:spacing w:after="0" w:line="261" w:lineRule="auto"/>
        <w:tabs>
          <w:tab w:leader="none" w:pos="658"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Charges and/or any other non-cash Charges arising from the granting of any stock, stock option or similar arrangement (including any profits interest or phantom stock), the granting of any restricted stock, stock appreciation right and/or similar arrangement (including any repricing, amendment, modification, substitution or change of any such stock option, restricted stock, stock appreciation right, profits interest, phantom stock or similar arrangement or the vesting of any warrant); and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0"/>
          </w:cols>
          <w:pgMar w:left="880" w:top="270" w:right="459" w:bottom="1440" w:gutter="0" w:footer="0" w:header="0"/>
        </w:sectPr>
      </w:pPr>
    </w:p>
    <w:bookmarkStart w:id="352" w:name="page353"/>
    <w:bookmarkEnd w:id="352"/>
    <w:p>
      <w:pPr>
        <w:ind w:left="440" w:right="600" w:firstLine="419"/>
        <w:spacing w:after="0" w:line="282" w:lineRule="auto"/>
        <w:tabs>
          <w:tab w:leader="none" w:pos="1078"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such amount would otherwise increase Consolidated Net Income, Taxes paid (including pursuant to any Tax sharing arrangement) in cash (including, to the extent paid in cash, Taxes arising out of any tax examination).</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Consolidated Net Income will include the proceeds of business interruption insurance in an amount representing the earnings for the applicable period that such proceeds are intended to replace (whether or not received so long as the Borrower in good faith expects to receive such proceeds within the next four Fiscal Quarters (with a deduction in the applicable future period for any amount so added back to the extent not so received within the next four Fiscal Quarters)).</w:t>
      </w:r>
    </w:p>
    <w:p>
      <w:pPr>
        <w:spacing w:after="0" w:line="179"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Lien on any asset or property of such Person or its Restricted Subsidiaries that constitutes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Secured Debt” shall be calculated after applying or netting (as applicable) the Netted Amounts.</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to any Person, at any date, all amounts that would, in conformity with GAAP, be set forth opposite the caption “total assets” (or any like caption) on a consolidated balance sheet of the applicable Person at such date.</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to any Person at any date of determination, the aggregate principal amount of all third party debt for borrowed money (including LC Disbursements that have not been reimbursed within three Business Days and the outstanding principal balance of all Indebtedness of such Person represented by notes, bonds and similar instruments), Finance Leases and purchase money Indebtedness (but excluding in each case, for the avoidance of doubt, undrawn letters of credit), in each case as reflected on a balance sheet of such Person prepared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“Consolidated Total Debt”, “Consolidated First Lien Debt” and “Consolidated Secured Debt” shall in each case (but without duplication) be calculated (for all purposes hereunder, including as a component of the definitions of First Lien Leverage Ratio, Secured Leverage Ratio and Total Leverage Ratio, and any applications of such definitions) (i) net of the Unrestricted Cash Amount, (ii) to exclude any obligation, liability or indebtedness of such Person if, upon or after issuance thereof or upon or prior to the maturity thereof, such Person holds, or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(iii) to exclude any obligation, liability or indebtedness of such Person to the extent that, upon or after the issuance thereof, such obligation, liability or indebtedness is secured by the cash proceeds thereof and/or other amounts provided to, by or on behalf of such Person pursuant to an escrow or similar arrangement, and for so long as such obligation, liability or indebtedness is so secured, such cash proceeds and other amounts are not included in the calculation of the Unrestricted Cash Amount, (iv) to exclude obligations under any Derivative Transaction, any Qualified Receivables Facility, or under any Indebtedness that is non-recourse to such Person and its Restricted Subsidiaries and (v) to exclude obligations under any Non-Finance Lease Obligation (items (i) through (v) of this proviso, the “</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xml:space="preserve">”). For the avoidance of doubt, Consolidated Total Debt shall be calculated in accordance with GAAP, pursuant to the terms of </w:t>
      </w:r>
      <w:r>
        <w:rPr>
          <w:rFonts w:ascii="Times New Roman" w:cs="Times New Roman" w:eastAsia="Times New Roman" w:hAnsi="Times New Roman"/>
          <w:sz w:val="18"/>
          <w:szCs w:val="18"/>
          <w:u w:val="single" w:color="auto"/>
          <w:color w:val="auto"/>
        </w:rPr>
        <w:t>Section 1.04(a)(i)</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means, as at any date of determination, the excess of Current Assets over Current Liabilities.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70" w:right="499" w:bottom="1440" w:gutter="0" w:footer="0" w:header="0"/>
        </w:sectPr>
      </w:pPr>
    </w:p>
    <w:bookmarkStart w:id="353" w:name="page354"/>
    <w:bookmarkEnd w:id="35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Working Capital Adjustment</w:t>
      </w:r>
      <w:r>
        <w:rPr>
          <w:rFonts w:ascii="Times New Roman" w:cs="Times New Roman" w:eastAsia="Times New Roman" w:hAnsi="Times New Roman"/>
          <w:sz w:val="18"/>
          <w:szCs w:val="18"/>
          <w:color w:val="auto"/>
        </w:rPr>
        <w:t xml:space="preserve">” means, for any period on a consolidated basis, the amount (which may be a negative number) by which Consolidated Working Capital as of the beginning of such period exceeds (or is less than) Consolidated Working Capital as of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be excluded (a) the effect of reclassification during such period between current assets and long term assets and current liabilities and long term liabilities (with a corresponding restatement of the prior period to give effect to such reclassification), (b) the effect of any Disposition of any Person, facility or line of business or acquisition of any Person, facility or line of business during such period, (c) the effect of any fluctuations in the amount of accrued and contingent obligations under any Hedge Agreement and (d) the application of purchase or recapitalization accounting.</w:t>
      </w:r>
    </w:p>
    <w:p>
      <w:pPr>
        <w:spacing w:after="0" w:line="183"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applied to any Person, any provision of any Security issued by that Person or of any indenture, mortgage, deed of trust, contract, undertaking, agreement or other instrument to which that Person is a party or by which it or any of its properties is bound or to which it or any of its properties is subject.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17"/>
          <w:szCs w:val="17"/>
          <w:b w:val="1"/>
          <w:bCs w:val="1"/>
          <w:color w:val="auto"/>
        </w:rPr>
        <w:t>Controlling</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Controlled</w:t>
      </w:r>
      <w:r>
        <w:rPr>
          <w:rFonts w:ascii="Times New Roman" w:cs="Times New Roman" w:eastAsia="Times New Roman" w:hAnsi="Times New Roman"/>
          <w:sz w:val="17"/>
          <w:szCs w:val="17"/>
          <w:color w:val="auto"/>
        </w:rPr>
        <w:t>” have meanings correlative thereto.</w:t>
      </w:r>
    </w:p>
    <w:p>
      <w:pPr>
        <w:spacing w:after="0" w:line="132"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Indebtedness of the Borrower or any Restricted Subsidiary (which may be guaranteed by the Guarantors or any Restricted Subsidiary) permitted to be incurred hereunder that is either (a) convertible into or exchangeable for Capital Stock of the Borrower (and cash in lieu of fractional shares) or cash (in an amount determined by reference to the price of such Capital Stock or a market measure of such Capital Stock), or a combination thereof or (b) sold as units with call options, warrants or rights to purchase (or substantially equivalent derivative transactions) that are exercisable for Qualified Capital Stock of the Borrower or cash (in an amount determined by reference to the price of such Qualified Capital Stock).</w:t>
      </w:r>
    </w:p>
    <w:p>
      <w:pPr>
        <w:spacing w:after="0" w:line="182"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Copyright</w:t>
      </w:r>
      <w:r>
        <w:rPr>
          <w:rFonts w:ascii="Times New Roman" w:cs="Times New Roman" w:eastAsia="Times New Roman" w:hAnsi="Times New Roman"/>
          <w:sz w:val="18"/>
          <w:szCs w:val="18"/>
          <w:color w:val="auto"/>
        </w:rPr>
        <w:t>” means all copyrights, rights and interests in copyrights, works protectable by copyright, copyright registrations and copyright applications.</w:t>
      </w:r>
    </w:p>
    <w:p>
      <w:pPr>
        <w:spacing w:after="0" w:line="155" w:lineRule="exact"/>
        <w:rPr>
          <w:sz w:val="20"/>
          <w:szCs w:val="20"/>
          <w:color w:val="auto"/>
        </w:rPr>
      </w:pPr>
    </w:p>
    <w:p>
      <w:pPr>
        <w:ind w:right="9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w:t>
      </w:r>
      <w:r>
        <w:rPr>
          <w:rFonts w:ascii="Times New Roman" w:cs="Times New Roman" w:eastAsia="Times New Roman" w:hAnsi="Times New Roman"/>
          <w:sz w:val="18"/>
          <w:szCs w:val="18"/>
          <w:color w:val="auto"/>
        </w:rPr>
        <w:t>” means the Canadian Overnight Repo Rate Average administered and published by the Bank of Canada (or any successor administrator).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 Borrowings</w:t>
      </w:r>
      <w:r>
        <w:rPr>
          <w:rFonts w:ascii="Times New Roman" w:cs="Times New Roman" w:eastAsia="Times New Roman" w:hAnsi="Times New Roman"/>
          <w:sz w:val="18"/>
          <w:szCs w:val="18"/>
          <w:color w:val="auto"/>
        </w:rPr>
        <w:t>” means Term CORRA Borrowings and Daily Simple CORRA Borrowings.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225" w:lineRule="exact"/>
        <w:rPr>
          <w:sz w:val="20"/>
          <w:szCs w:val="20"/>
          <w:color w:val="auto"/>
        </w:rPr>
      </w:pPr>
    </w:p>
    <w:p>
      <w:pPr>
        <w:ind w:right="4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Counterpart Agreement</w:t>
      </w:r>
      <w:r>
        <w:rPr>
          <w:rFonts w:ascii="Times New Roman" w:cs="Times New Roman" w:eastAsia="Times New Roman" w:hAnsi="Times New Roman"/>
          <w:sz w:val="18"/>
          <w:szCs w:val="18"/>
          <w:color w:val="auto"/>
        </w:rPr>
        <w:t xml:space="preserve">” means a Counterpart Agreement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delivered by a Loan Party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a similar agreement, in form and substance reasonably acceptable to the Administrative Agent, pursuant to which any Loan Party becomes a Guarantor hereunder. Such Counterpart Agreement may, if reasonably requested by the Borrower, include limitations on guarantees applicable to such Restricted Subsidiary and required or advisable under applicable Requirements of Law.</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Agreement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6.03(d)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20"/>
          </w:cols>
          <w:pgMar w:left="440" w:top="266" w:right="539" w:bottom="1440" w:gutter="0" w:footer="0" w:header="0"/>
        </w:sectPr>
      </w:pPr>
    </w:p>
    <w:bookmarkStart w:id="354" w:name="page355"/>
    <w:bookmarkEnd w:id="354"/>
    <w:p>
      <w:pPr>
        <w:jc w:val="both"/>
        <w:ind w:left="4"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each of (i) the making of a Revolving Loan or Swingline Loan or (ii) the issuance, amendment, modification, renewal or extension of any Letter of Credit (other than any such amendment, modification, renewal or extension that does not increase the Stated Amount of the relevant Letter of Credit).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the Revolving Facility and the Term Facility.</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Amount</w:t>
      </w:r>
      <w:r>
        <w:rPr>
          <w:rFonts w:ascii="Times New Roman" w:cs="Times New Roman" w:eastAsia="Times New Roman" w:hAnsi="Times New Roman"/>
          <w:sz w:val="18"/>
          <w:szCs w:val="18"/>
          <w:color w:val="auto"/>
        </w:rPr>
        <w:t>” has the meaning assigned to such term (or substantially equivalent term) in the Pro Rata Credit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Cured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 means, at any date, all assets of the Borrower and its Restricted Subsidiaries which under GAAP would be classified as current assets (excluding any (i) cash or Cash Equivalents (including cash and Cash Equivalents held on deposit for third parties by the Borrower and/or any Restricted Subsidiary), (ii) permitted loans to third parties, (iii) deferred bank fees and derivative financial instruments related to Indebtedness, (iv) the current portion of current and deferred Taxes and (v) assets held for sale or pension assets).</w:t>
      </w:r>
    </w:p>
    <w:p>
      <w:pPr>
        <w:spacing w:after="0" w:line="176"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Current Liabilities</w:t>
      </w:r>
      <w:r>
        <w:rPr>
          <w:rFonts w:ascii="Times New Roman" w:cs="Times New Roman" w:eastAsia="Times New Roman" w:hAnsi="Times New Roman"/>
          <w:sz w:val="18"/>
          <w:szCs w:val="18"/>
          <w:color w:val="auto"/>
        </w:rPr>
        <w:t>” means, at any date, all liabilities of the Borrower and its Restricted Subsidiaries which under GAAP would be classified as current liabilities, other than (i) current maturities of long term debt, (ii) outstanding revolving loans and letter of credit exposure, (iii) accruals of Consolidated Interest Expense (excluding Consolidated Interest Expense that is due and unpaid), (iv) obligations in respect of derivative financial instruments related to Indebtedness, (v) the current portion of current and deferred Taxes, (vi) liabilities in respect of unpaid earn-outs, (vii) accruals relating to restructuring reserves, (viii) liabilities in respect of funds of third parties on deposit with the Borrower and/or any Restricted Subsidiary,</w:t>
      </w:r>
    </w:p>
    <w:p>
      <w:pPr>
        <w:spacing w:after="0" w:line="3" w:lineRule="exact"/>
        <w:rPr>
          <w:sz w:val="20"/>
          <w:szCs w:val="20"/>
          <w:color w:val="auto"/>
        </w:rPr>
      </w:pPr>
    </w:p>
    <w:p>
      <w:pPr>
        <w:ind w:left="304" w:hanging="304"/>
        <w:spacing w:after="0"/>
        <w:tabs>
          <w:tab w:leader="none" w:pos="30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any Finance Lease and the current portion of any Non-Finance Lease Obligation that is otherwise required to be capitalized,</w:t>
      </w:r>
    </w:p>
    <w:p>
      <w:pPr>
        <w:spacing w:after="0" w:line="9" w:lineRule="exact"/>
        <w:rPr>
          <w:rFonts w:ascii="Times New Roman" w:cs="Times New Roman" w:eastAsia="Times New Roman" w:hAnsi="Times New Roman"/>
          <w:sz w:val="18"/>
          <w:szCs w:val="18"/>
          <w:color w:val="auto"/>
        </w:rPr>
      </w:pPr>
    </w:p>
    <w:p>
      <w:pPr>
        <w:ind w:left="4" w:right="100" w:hanging="4"/>
        <w:spacing w:after="0" w:line="253" w:lineRule="auto"/>
        <w:tabs>
          <w:tab w:leader="none" w:pos="259"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recorded in connection with stock based awards, partnership interest based awards, awards of profits interests, deferred compensation awards and similar initiative based compensation awards or arrangements, (xi) any accrued professional liability risks and/or any amounts relating to litigations, judgments and/or settlements, (xii) the current portion of any current or deferred pension plan liabilities and (xiii) the current portion of any other long term liability for borrowed money.</w:t>
      </w:r>
    </w:p>
    <w:p>
      <w:pPr>
        <w:spacing w:after="0" w:line="185"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Customary Term A Loans</w:t>
      </w:r>
      <w:r>
        <w:rPr>
          <w:rFonts w:ascii="Times New Roman" w:cs="Times New Roman" w:eastAsia="Times New Roman" w:hAnsi="Times New Roman"/>
          <w:sz w:val="18"/>
          <w:szCs w:val="18"/>
          <w:color w:val="auto"/>
        </w:rPr>
        <w:t>” means any term loans that are syndicated primarily to Persons regulated as banks in the primary syndication thereof, that, when made, have scheduled amortization of at least 2.5% per year prior to maturity, and that contain other provisions consistent with the Pro Rata Credit Agreement or otherwise customary for “term A loans,” as reasonably determined by the Borrower in good faith in consultation with the Administrative Agent.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 Borrowing</w:t>
      </w:r>
      <w:r>
        <w:rPr>
          <w:rFonts w:ascii="Times New Roman" w:cs="Times New Roman" w:eastAsia="Times New Roman" w:hAnsi="Times New Roman"/>
          <w:sz w:val="18"/>
          <w:szCs w:val="18"/>
          <w:color w:val="auto"/>
        </w:rPr>
        <w:t>” means a Borrowing comprised of Daily Simple CORRA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CORRA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bears interest at a rate based on Daily Simple CORRA.</w:t>
      </w:r>
    </w:p>
    <w:p>
      <w:pPr>
        <w:spacing w:after="0" w:line="225" w:lineRule="exact"/>
        <w:rPr>
          <w:sz w:val="20"/>
          <w:szCs w:val="20"/>
          <w:color w:val="auto"/>
        </w:rPr>
      </w:pPr>
    </w:p>
    <w:p>
      <w:pPr>
        <w:ind w:left="4" w:right="3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Simple CORRA</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color w:val="auto"/>
        </w:rPr>
        <w:t>CORRA Rate Day</w:t>
      </w:r>
      <w:r>
        <w:rPr>
          <w:rFonts w:ascii="Times New Roman" w:cs="Times New Roman" w:eastAsia="Times New Roman" w:hAnsi="Times New Roman"/>
          <w:sz w:val="17"/>
          <w:szCs w:val="17"/>
          <w:color w:val="auto"/>
        </w:rPr>
        <w:t>”), a rate per annum equal to CORRA for the day (such day “</w:t>
      </w:r>
      <w:r>
        <w:rPr>
          <w:rFonts w:ascii="Times New Roman" w:cs="Times New Roman" w:eastAsia="Times New Roman" w:hAnsi="Times New Roman"/>
          <w:sz w:val="17"/>
          <w:szCs w:val="17"/>
          <w:b w:val="1"/>
          <w:bCs w:val="1"/>
          <w:color w:val="auto"/>
        </w:rPr>
        <w:t>CORRA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Determination Date</w:t>
      </w:r>
      <w:r>
        <w:rPr>
          <w:rFonts w:ascii="Times New Roman" w:cs="Times New Roman" w:eastAsia="Times New Roman" w:hAnsi="Times New Roman"/>
          <w:sz w:val="17"/>
          <w:szCs w:val="17"/>
          <w:color w:val="auto"/>
        </w:rPr>
        <w:t>”) that is five (5) RFR Business Days prior to (i) if such CORRA Rate Day is an RFR Business Day, such CORRA Rate Day or</w:t>
      </w:r>
    </w:p>
    <w:p>
      <w:pPr>
        <w:spacing w:after="0" w:line="1" w:lineRule="exact"/>
        <w:rPr>
          <w:sz w:val="20"/>
          <w:szCs w:val="20"/>
          <w:color w:val="auto"/>
        </w:rPr>
      </w:pPr>
    </w:p>
    <w:p>
      <w:pPr>
        <w:ind w:left="4" w:right="40" w:hanging="4"/>
        <w:spacing w:after="0" w:line="260" w:lineRule="auto"/>
        <w:tabs>
          <w:tab w:leader="none" w:pos="269"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CORRA Rate Day is not an RFR Business Day, the RFR Business Day immediately preceding such CORRA Rate Day, in each case, as such CORRA is published by the CORRA Administrator on the CORRA</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84"/>
          </w:cols>
          <w:pgMar w:left="436" w:top="266" w:right="479" w:bottom="1440" w:gutter="0" w:footer="0" w:header="0"/>
        </w:sectPr>
      </w:pPr>
    </w:p>
    <w:bookmarkStart w:id="355" w:name="page356"/>
    <w:bookmarkEnd w:id="35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RFR Business Day for which such CORRA was published on the CORRA Administrator’s website, so long as such first preceding RFR Business Day is not more than five (5) Business Days prior to such CORRA Determination Date. If Daily Simple CORRA shall ever be less than zero, then Daily Simple CORRA shall be deemed to be zero.</w:t>
      </w:r>
    </w:p>
    <w:p>
      <w:pPr>
        <w:spacing w:after="0" w:line="18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U.S., and all other liquidation, conservatorship, bankruptcy, general assignment for the benefit of creditors, moratorium, rearrangement, receivership, insolvency, statutory management administration, reorganization, corporate arrangement or restructuring or similar debtor relief laws of the U.S. or any other applicable jurisdiction from time to time in effect and affecting the rights of creditors generally.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become an Event of Default.</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any Lender that has (a) defaulted in (or is otherwise unable to perform) its obligations under this Agreement, including without limitation, to make a Loan within one Business Day of the date required to be made by it hereunder or to fund its participation in a Letter of Credit or Swingline Loan required to be funded by it hereunder within two Business Days of the date such obligation arose or such Loan, Letter of Credit or Swingline Loan was required to be made or funded, (b) notified the Administrative Agent, any Issuing Bank or the Swingline Lender or any Loan Party in writing that it does not intend to satisfy any such obligation or has made a public statement to the effect that it does not intend to comply with its funding obligations under this Agreement or under agreements in which it commits to extend credit generally (unless such written notice relates to such Lender’s obligation to fund a Loan hereunder and states that such position is based on such Lender’s good faith determination that a condition precedent to funding (which condition precedent, together with any applicable default, shall be specifically identified in such writing or public statement) cannot be satisfied), (c) failed, within two Business Days after the request of the Administrative Agent or the Borrower, to confirm in writing that it will comply with the terms of this Agreement relating to its obligations to fund prospective Loans and participations in then outstanding Letters of Credit and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receipt of such written confirmation by the Administrative Agent, (d) become (or any parent company thereof has become) insolvent or been determined by any Governmental Authority having regulatory authority over such Person or its assets, to be insolvent, or the assets or management of which has been taken over by any Governmental Authority, (e) become (or any parent company thereof has become) the subject of a bankruptcy or insolvency proceeding, or has had a receiver, conservator, trustee, administrator, assignee for the benefit of creditors or similar Person charged with reorganization or liquidation of its business or custodian, appointed for it, or has taken any action in furtherance of, or indicating its consent to, approval of or acquiescence in, any such proceeding or appointment, unless in the case of any Lender subject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the Borrower and the Administrative Agent shall each have determined that such Lender intends, and has all approvals required to enable it (in form and substance satisfactory to the Borrower and the Administrative Agent), to continue to perform its obligations as a Lender hereunder or (f) become (or any parent company thereof has become) the subject of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deemed to be a Defaulting Lender solely by virtue of the ownership or acquisition of any Capital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356" w:name="page357"/>
    <w:bookmarkEnd w:id="356"/>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 in such Lender or its parent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action does not result in or provide such Lender with immunity from the jurisdiction of courts within the U.S. or from the enforcement of judgments or writs of attachment on its assets or permit such Lender (or such Governmental Authority) to reject, repudiate, disavow or disaffirm any contract or agreement to which such Lender is a party.</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Divided LLC</w:t>
      </w:r>
      <w:r>
        <w:rPr>
          <w:rFonts w:ascii="Times New Roman" w:cs="Times New Roman" w:eastAsia="Times New Roman" w:hAnsi="Times New Roman"/>
          <w:sz w:val="18"/>
          <w:szCs w:val="18"/>
          <w:color w:val="auto"/>
        </w:rPr>
        <w:t>” means any Delaware LLC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55" w:lineRule="exact"/>
        <w:rPr>
          <w:sz w:val="20"/>
          <w:szCs w:val="20"/>
          <w:color w:val="auto"/>
        </w:rPr>
      </w:pPr>
    </w:p>
    <w:p>
      <w:pPr>
        <w:ind w:right="5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 Account</w:t>
      </w:r>
      <w:r>
        <w:rPr>
          <w:rFonts w:ascii="Times New Roman" w:cs="Times New Roman" w:eastAsia="Times New Roman" w:hAnsi="Times New Roman"/>
          <w:sz w:val="18"/>
          <w:szCs w:val="18"/>
          <w:color w:val="auto"/>
        </w:rPr>
        <w:t>” means a demand, time, savings, passbook or like account with a bank, savings and loan association, credit union or like organization, excluding, for the avoidance of doubt, any investment property (within the meaning of the UCC) or any account evidenced by an instrument or negotiable certificate of deposit (within the meaning of the UCC).</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xml:space="preserve">”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 no phantom stock or similar plan providing for payments only on account of services provided by current or former directors, officers, employees, members of management, managers or consultants of the Borrower or its subsidiaries shall constitute a Derivative Transaction and (ii) no Packaged Right, Permitted Bond Hedge Transaction or Permitted Warrant Transaction shall, in each case, constitute a Derivative Transaction.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means the fair market value (as determined by the Borrower in good faith) of non-Cash consideration received by the Borrower or any Restricted Subsidiary in connection with any Disposition pursuant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is designated as Designated Non-Cash Consideration (which amount will be reduced by the amount of Cash or Cash Equivalents received in connection with a subsequent sale or conversion of such Designated Non-Cash Consideration to Cash or Cash Equivalents).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has the meaning assigned to such term in the definition of “Dutch Auction”.</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357" w:name="page358"/>
    <w:bookmarkEnd w:id="357"/>
    <w:p>
      <w:pPr>
        <w:ind w:left="4" w:right="6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Disposition</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Dispose</w:t>
      </w:r>
      <w:r>
        <w:rPr>
          <w:rFonts w:ascii="Times New Roman" w:cs="Times New Roman" w:eastAsia="Times New Roman" w:hAnsi="Times New Roman"/>
          <w:sz w:val="17"/>
          <w:szCs w:val="17"/>
          <w:color w:val="auto"/>
        </w:rPr>
        <w:t xml:space="preserve">” means the sale, lease, sublease or other disposition of any property of any Person, including any disposition of property to a Delaware Divided LLC pursuant to a Delaware LLC Division. The fair market value of any assets or other property Disposed of shall be determined by the Borrower in good faith and shall be measured at the time provided for in </w:t>
      </w:r>
      <w:r>
        <w:rPr>
          <w:rFonts w:ascii="Times New Roman" w:cs="Times New Roman" w:eastAsia="Times New Roman" w:hAnsi="Times New Roman"/>
          <w:sz w:val="17"/>
          <w:szCs w:val="17"/>
          <w:u w:val="single" w:color="auto"/>
          <w:color w:val="auto"/>
        </w:rPr>
        <w:t>Section 1.04(e)</w:t>
      </w:r>
      <w:r>
        <w:rPr>
          <w:rFonts w:ascii="Times New Roman" w:cs="Times New Roman" w:eastAsia="Times New Roman" w:hAnsi="Times New Roman"/>
          <w:sz w:val="17"/>
          <w:szCs w:val="17"/>
          <w:color w:val="auto"/>
        </w:rPr>
        <w:t>. Notwithstanding any other provision of this Agreement, no license (or sub-license) of property or assets of the Borrower or a Restricted Subsidiary to another Person shall constitute a Disposition.</w:t>
      </w:r>
    </w:p>
    <w:p>
      <w:pPr>
        <w:spacing w:after="0" w:line="161"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Disqualified Capital Stock</w:t>
      </w:r>
      <w:r>
        <w:rPr>
          <w:rFonts w:ascii="Times New Roman" w:cs="Times New Roman" w:eastAsia="Times New Roman" w:hAnsi="Times New Roman"/>
          <w:sz w:val="17"/>
          <w:szCs w:val="17"/>
          <w:color w:val="auto"/>
        </w:rPr>
        <w:t>”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prior to 91 days following the Latest Maturity Date at the time such Capital Stock is issued (it being understood that if any such redemption is in part, only such part coming into effect prior to 91 days following the Latest Maturity Date at the time such Capital Stock is issued shall constitute Disqualified Capital Stock), (b) is or becomes convertible into or exchangeable (unless at the sole option of the issuer thereof) for (i) debt securities or (ii) any Capital Stock that would constitute Disqualified Capital Stock, in each case at any time prior to 91 days following the Latest Maturity Date at the time such Capital Stock is issued (it being understood that if any such conversion or exchange is in part, only such part coming into effect prior to 91 days following the Latest Maturity Date at the time such Capital Stock is issued shall constitute Disqualified Capital Stock), (c) contains any mandatory repurchase obligation or any other repurchase obligation at the option of the holder thereof (other than for Qualified Capital Stock), in whole or in part, which may come into effect prior to 91 days following the Latest Maturity Date at the time such Capital Stock is issued (it being understood that if any such repurchase obligation is in part, only such part coming into effect prior to 91 days following such Latest Maturity Date at the time such Capital Stock is issued shall constitute Disqualified Capital Stock) or</w:t>
      </w:r>
    </w:p>
    <w:p>
      <w:pPr>
        <w:spacing w:after="0" w:line="3" w:lineRule="exact"/>
        <w:rPr>
          <w:sz w:val="20"/>
          <w:szCs w:val="20"/>
          <w:color w:val="auto"/>
        </w:rPr>
      </w:pPr>
    </w:p>
    <w:p>
      <w:pPr>
        <w:ind w:left="4" w:right="40" w:hanging="4"/>
        <w:spacing w:after="0" w:line="251" w:lineRule="auto"/>
        <w:tabs>
          <w:tab w:leader="none" w:pos="259"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requires the scheduled payments of dividends in Cash prior to 91 days following the Latest Maturity Date at the time such Capital Stock is issued;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public offering or any Disposition occurring prior to 91 days following the Latest Maturity Date at the time such Capital Stock is issued shall not constitute Disqualified Capital Stock if such Capital Stock provides that the issuer thereof will not redeem any such Capital Stock pursuant to such provisions prior to the Termination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Permitted Warrant Transaction shall constitute Disqualified Capital Stock. The amount of Disqualified Capital Stock deemed to be outstanding at any time for purposes of this Agreement shall be the maximum amount that the Borrower and its Restricted Subsidiaries may become obligated to pay upon the maturity of, or pursuant to any mandatory redemption provisions of, such Disqualified Capital Stock, exclusive of accrued dividends.</w:t>
      </w:r>
    </w:p>
    <w:p>
      <w:pPr>
        <w:spacing w:after="0" w:line="19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Borrower or any Restricted Subsidiary, such Capital Stock shall not constitute Disqualified Capital Stock solely because it may be required to be repurchased by the issuer thereof in order to satisfy applicable statutory or regulatory obligations, (B) no Capital Stock held by any Permitted Payee shall be considered Disqualified Capital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and (C) the accrual of interest or dividends, the accretion of accreted value, the accretion or amortization of original issue discount and the payment of interest or dividends in the form of additional Disqualified Capital Stock of the same class shall not be deemed to be an issuance of Disqualified Capital Stock.</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4"/>
          </w:cols>
          <w:pgMar w:left="436" w:top="266" w:right="459" w:bottom="1440" w:gutter="0" w:footer="0" w:header="0"/>
        </w:sectPr>
      </w:pPr>
    </w:p>
    <w:bookmarkStart w:id="358" w:name="page359"/>
    <w:bookmarkEnd w:id="35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Disqualified Institution</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80" w:firstLine="419"/>
        <w:spacing w:after="0" w:line="268" w:lineRule="auto"/>
        <w:tabs>
          <w:tab w:leader="none" w:pos="1108"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any Person identified as such in writing to the “left” lead Arranger on or prior to October 6, 2025 by way of email from the Borrower (or its attorneys on such date), (ii) any Person identified as such by the Borrower in writing after October 6, 2025 (and reasonably acceptable) to the “left” lead Arranger (or if after the Closing Date, to the Administrative Agent), (iii) any Affiliate of any Person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that is clearly identifiable as an Affiliate of such Person solely on the basis of the similarity of its name to the name of a Disqualified Institution and (iv) any other Affiliate of any Person described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that is identified by the Borrower in a written notice to the “left” lead Arranger (if prior to the Closing Date) or the Administrative Agent (if after the Closing Date) (other than Bona Fide Debt Funds other than such Bona Fide Debt Funds excluded pursuant to </w:t>
      </w:r>
      <w:r>
        <w:rPr>
          <w:rFonts w:ascii="Times New Roman" w:cs="Times New Roman" w:eastAsia="Times New Roman" w:hAnsi="Times New Roman"/>
          <w:sz w:val="17"/>
          <w:szCs w:val="17"/>
          <w:u w:val="single" w:color="auto"/>
          <w:color w:val="auto"/>
        </w:rPr>
        <w:t>clause (a)(i)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(a)(ii)</w:t>
      </w:r>
      <w:r>
        <w:rPr>
          <w:rFonts w:ascii="Times New Roman" w:cs="Times New Roman" w:eastAsia="Times New Roman" w:hAnsi="Times New Roman"/>
          <w:sz w:val="17"/>
          <w:szCs w:val="17"/>
          <w:color w:val="auto"/>
        </w:rPr>
        <w:t xml:space="preserve"> of this paragraph) (each such person described in </w:t>
      </w:r>
      <w:r>
        <w:rPr>
          <w:rFonts w:ascii="Times New Roman" w:cs="Times New Roman" w:eastAsia="Times New Roman" w:hAnsi="Times New Roman"/>
          <w:sz w:val="17"/>
          <w:szCs w:val="17"/>
          <w:u w:val="single" w:color="auto"/>
          <w:color w:val="auto"/>
        </w:rPr>
        <w:t>clauses</w:t>
      </w:r>
    </w:p>
    <w:p>
      <w:pPr>
        <w:spacing w:after="0" w:line="2"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46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 “</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u w:val="single" w:color="auto"/>
          <w:color w:val="auto"/>
        </w:rPr>
      </w:pPr>
    </w:p>
    <w:p>
      <w:pPr>
        <w:ind w:left="440" w:firstLine="419"/>
        <w:spacing w:after="0" w:line="254" w:lineRule="auto"/>
        <w:tabs>
          <w:tab w:leader="none" w:pos="1118"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 that is or becomes a Company Competitor and/or any Affiliate of any Company Competitor (other than any Affiliate that is a Bona Fide Debt Fund) and is identified by the Borrower (or its attorneys) as such in writing to the “left” lead Arranger (if prior to the Closing Date) or the Administrative Agent (if after the Closing Date), (ii) any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(other than any Affiliate that is a Bona Fide Debt Fund) that is clearly identifiable as an Affiliate of such Person solely on the basis of the similarity of its name to the name of a Disqualified Institution and (iii) any other Affiliate of any Person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that is identified by the Borrower in a written notice to the “left” lead Arranger (if prior to the Closing Date) or to the Administrative Agent (if after the Closing Date) (it being understood and agreed that no Bona Fide Debt Fund may be designated as a Disqualified Institution pursuant to this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but such Bona Fide Debt Fund may be designated as a Disqualified Lending Institution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w:t>
      </w:r>
    </w:p>
    <w:p>
      <w:pPr>
        <w:spacing w:after="0" w:line="8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08"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that (i) has made an incorrect representation or warranty or deemed representation or warranty with respect to not being a Net Short Lender as provided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 xml:space="preserve"> or (ii) informs the Administrative Agent that it is a Net Short Lender;</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it being understood and agreed that (w) changes or additions to the list of Disqualified Institutions shall be delivered at any time and from time to time via email to Confi.Repos@morganstanley.com (x) any additions to the list of Disqualified Institutions provided in writing pursuant to the above shall not become effective until three Business Days following the submission of such addition in writing to the Administrative Agent, (y) no written notice delivered pursuant to </w:t>
      </w:r>
      <w:r>
        <w:rPr>
          <w:rFonts w:ascii="Times New Roman" w:cs="Times New Roman" w:eastAsia="Times New Roman" w:hAnsi="Times New Roman"/>
          <w:sz w:val="18"/>
          <w:szCs w:val="18"/>
          <w:u w:val="single" w:color="auto"/>
          <w:color w:val="auto"/>
        </w:rPr>
        <w:t>clauses (a)(ii)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above shall apply retroactively to disqualify any Person that has previously acquired an assignment, participation interest or executed a trade that has not settled in any Loans if such Person was not a Disqualified Institution at the time of acquisition of such assignment, granting of such participation interest or execution of such trade. Notwithstanding the foregoing, the Borrower may, in respect of any assignment or participation, consent in writing to such assignment or participation being an assignment or participation to a Person that would otherwise be a Disqualified Institution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writing includes a statement that the Borrower is aware such Person would otherwise be a Disqualified Institution), in which case such Person shall not be a Disqualified Institution solely for purposes of such assignment or participation.</w:t>
      </w:r>
    </w:p>
    <w:p>
      <w:pPr>
        <w:spacing w:after="0" w:line="18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Lending Institution</w:t>
      </w:r>
      <w:r>
        <w:rPr>
          <w:rFonts w:ascii="Times New Roman" w:cs="Times New Roman" w:eastAsia="Times New Roman" w:hAnsi="Times New Roman"/>
          <w:sz w:val="18"/>
          <w:szCs w:val="18"/>
          <w:color w:val="auto"/>
        </w:rPr>
        <w:t>” has the meaning assigned to such term in the definition of “Disqualified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359" w:name="page360"/>
    <w:bookmarkEnd w:id="359"/>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distribution of the Borrower’s shares of common stock owned by the Parent to the holders of the Parent’s shares of common stock as of the Record Date (as such term is used in the Separation and Distribution Agreement), as may be further described or referred to in, or contemplated by, the Separation Agreements.</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means, at any time, (a) with respect to any amount denominated in Dollars, such amount and (b) with respect to any amount denominated in any currency other than Dollars, the equivalent amount thereof in Dollars as determined by the Administrative Agent at such time on the basis of the Spot Rate (determined in respect of the most recent Revaluation Date or other relevant date of determination) for the purchase of Dollars with such other currency.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Dutch Auction</w:t>
      </w:r>
      <w:r>
        <w:rPr>
          <w:rFonts w:ascii="Times New Roman" w:cs="Times New Roman" w:eastAsia="Times New Roman" w:hAnsi="Times New Roman"/>
          <w:sz w:val="18"/>
          <w:szCs w:val="18"/>
          <w:color w:val="auto"/>
        </w:rPr>
        <w:t>” means an auction (an “</w:t>
      </w:r>
      <w:r>
        <w:rPr>
          <w:rFonts w:ascii="Times New Roman" w:cs="Times New Roman" w:eastAsia="Times New Roman" w:hAnsi="Times New Roman"/>
          <w:sz w:val="18"/>
          <w:szCs w:val="18"/>
          <w:b w:val="1"/>
          <w:bCs w:val="1"/>
          <w:color w:val="auto"/>
        </w:rPr>
        <w:t>Auction</w:t>
      </w:r>
      <w:r>
        <w:rPr>
          <w:rFonts w:ascii="Times New Roman" w:cs="Times New Roman" w:eastAsia="Times New Roman" w:hAnsi="Times New Roman"/>
          <w:sz w:val="18"/>
          <w:szCs w:val="18"/>
          <w:color w:val="auto"/>
        </w:rPr>
        <w:t>”) conducted by any Affiliated Lender (any such Person, the “</w:t>
      </w:r>
      <w:r>
        <w:rPr>
          <w:rFonts w:ascii="Times New Roman" w:cs="Times New Roman" w:eastAsia="Times New Roman" w:hAnsi="Times New Roman"/>
          <w:sz w:val="18"/>
          <w:szCs w:val="18"/>
          <w:b w:val="1"/>
          <w:bCs w:val="1"/>
          <w:color w:val="auto"/>
        </w:rPr>
        <w:t>Auction Party</w:t>
      </w:r>
      <w:r>
        <w:rPr>
          <w:rFonts w:ascii="Times New Roman" w:cs="Times New Roman" w:eastAsia="Times New Roman" w:hAnsi="Times New Roman"/>
          <w:sz w:val="18"/>
          <w:szCs w:val="18"/>
          <w:color w:val="auto"/>
        </w:rPr>
        <w:t xml:space="preserve">”) in order to purchase Initial Term Loans (or any Additional Term Loans), substantially in accordance with the following procedures (as may be modified by such Affiliated Lender and the applicable “auction agent” in connection with a particular Auction transaction);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Auction Party shall initiate any Auction unless (I) at least five Business Days have passed since the consummation of the most recent purchase of Term Loans pursuant to an Auction conducted hereunder; or (II) at least three Business Days have passed since the date of the last Failed Auction (or equivalent) which was withdrawn:</w:t>
      </w:r>
    </w:p>
    <w:p>
      <w:pPr>
        <w:spacing w:after="0" w:line="78" w:lineRule="exact"/>
        <w:rPr>
          <w:sz w:val="20"/>
          <w:szCs w:val="20"/>
          <w:color w:val="auto"/>
        </w:rPr>
      </w:pPr>
    </w:p>
    <w:p>
      <w:pPr>
        <w:ind w:left="440" w:right="80" w:firstLine="419"/>
        <w:spacing w:after="0" w:line="253" w:lineRule="auto"/>
        <w:tabs>
          <w:tab w:leader="none" w:pos="1107"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Procedures</w:t>
      </w:r>
      <w:r>
        <w:rPr>
          <w:rFonts w:ascii="Times New Roman" w:cs="Times New Roman" w:eastAsia="Times New Roman" w:hAnsi="Times New Roman"/>
          <w:sz w:val="18"/>
          <w:szCs w:val="18"/>
          <w:color w:val="auto"/>
        </w:rPr>
        <w:t>. In connection with any Auction, the Auction Party will provide notification to the Auction Agent (for distribution to the relevant Lenders) of the Term Loans that will be the subject of the Auction (an “</w:t>
      </w:r>
      <w:r>
        <w:rPr>
          <w:rFonts w:ascii="Times New Roman" w:cs="Times New Roman" w:eastAsia="Times New Roman" w:hAnsi="Times New Roman"/>
          <w:sz w:val="18"/>
          <w:szCs w:val="18"/>
          <w:b w:val="1"/>
          <w:bCs w:val="1"/>
          <w:color w:val="auto"/>
        </w:rPr>
        <w:t>Auction Notice</w:t>
      </w:r>
      <w:r>
        <w:rPr>
          <w:rFonts w:ascii="Times New Roman" w:cs="Times New Roman" w:eastAsia="Times New Roman" w:hAnsi="Times New Roman"/>
          <w:sz w:val="18"/>
          <w:szCs w:val="18"/>
          <w:color w:val="auto"/>
        </w:rPr>
        <w:t>”). Each Auction Notice shall be in a form reasonably acceptable to the Auction Agent and shall (i) specify the maximum aggregate principal amount of the Term Loans subject to the Auction, in a minimum amount of $5,000,000 and whole increments of $1,000,000 in excess thereof (or, in any case, such lesser amount of such Term Loans then outstanding or which is otherwise reasonably acceptable to the Auction Agent and the Administrative Agent, as applicable (if different from the Auction Agent)) (the “</w:t>
      </w:r>
      <w:r>
        <w:rPr>
          <w:rFonts w:ascii="Times New Roman" w:cs="Times New Roman" w:eastAsia="Times New Roman" w:hAnsi="Times New Roman"/>
          <w:sz w:val="18"/>
          <w:szCs w:val="18"/>
          <w:b w:val="1"/>
          <w:bCs w:val="1"/>
          <w:color w:val="auto"/>
        </w:rPr>
        <w:t>Auction Amount</w:t>
      </w:r>
      <w:r>
        <w:rPr>
          <w:rFonts w:ascii="Times New Roman" w:cs="Times New Roman" w:eastAsia="Times New Roman" w:hAnsi="Times New Roman"/>
          <w:sz w:val="18"/>
          <w:szCs w:val="18"/>
          <w:color w:val="auto"/>
        </w:rPr>
        <w:t>”), (ii) specify the discount to par (which may be a range (the “</w:t>
      </w:r>
      <w:r>
        <w:rPr>
          <w:rFonts w:ascii="Times New Roman" w:cs="Times New Roman" w:eastAsia="Times New Roman" w:hAnsi="Times New Roman"/>
          <w:sz w:val="18"/>
          <w:szCs w:val="18"/>
          <w:b w:val="1"/>
          <w:bCs w:val="1"/>
          <w:color w:val="auto"/>
        </w:rPr>
        <w:t>Discount Range</w:t>
      </w:r>
      <w:r>
        <w:rPr>
          <w:rFonts w:ascii="Times New Roman" w:cs="Times New Roman" w:eastAsia="Times New Roman" w:hAnsi="Times New Roman"/>
          <w:sz w:val="18"/>
          <w:szCs w:val="18"/>
          <w:color w:val="auto"/>
        </w:rPr>
        <w:t>”) of percentages of the par principal amount of the Term Loans subject to such Auction), that represents the range of purchase prices that the Auction Party would be willing to accept in the Auction, (iii) be extended, at the sole discretion of the Auction Party, to (x) each Lender and/or (y) each Lender with respect to any Term Loan on an individual Class basis and (iv) remain outstanding through the Auction Response Date. The Auction Agent will promptly provide each appropriate Lender with a copy of the Auction Notice and a form of the Return Bid to be submitted by a responding Lender to the Auction Agent (or its delegate) by no later than 5:00 p.m. on the date specified in the Auction Notice (or such later date as the Auction Party may agree with the reasonable consent of the Auction Agent) (the “</w:t>
      </w:r>
      <w:r>
        <w:rPr>
          <w:rFonts w:ascii="Times New Roman" w:cs="Times New Roman" w:eastAsia="Times New Roman" w:hAnsi="Times New Roman"/>
          <w:sz w:val="18"/>
          <w:szCs w:val="18"/>
          <w:b w:val="1"/>
          <w:bCs w:val="1"/>
          <w:color w:val="auto"/>
        </w:rPr>
        <w:t>Auction Response Date</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Reply Procedures</w:t>
      </w:r>
      <w:r>
        <w:rPr>
          <w:rFonts w:ascii="Times New Roman" w:cs="Times New Roman" w:eastAsia="Times New Roman" w:hAnsi="Times New Roman"/>
          <w:sz w:val="18"/>
          <w:szCs w:val="18"/>
          <w:color w:val="auto"/>
        </w:rPr>
        <w:t>. In connection with any Auction, each Lender holding the relevant Term Loans subject to such Auction may, in its sole discretion, participate in such Auction and may provide the Auction Agent with a notice of participation (the “</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which shall be in a form reasonably acceptable to the Auction Agent, and shall specify (i) a discount to par (that must be expressed as a price at which it is willing to sell all or any portion of such Term Loans) (the “</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which (when expressed as a percentage of the par principal amount of such Term Loans) must be within the Discount Range and (ii) a principal amount of such Term Loans, which must be in whole increments of $1,000,000 (or, in any case, such lesser amount of such Term Loans of such Lender then outstanding or which is otherwise reasonably acceptable to the Auction Agent) (the “</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Lenders may only submit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66" w:right="479" w:bottom="1440" w:gutter="0" w:footer="0" w:header="0"/>
        </w:sectPr>
      </w:pPr>
    </w:p>
    <w:bookmarkStart w:id="360" w:name="page361"/>
    <w:bookmarkEnd w:id="360"/>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one Return Bid per Auction, but each Return Bid may contain up to three bids only one of which may result in a Qualifying Bid. In addition to the Return Bid, the participating Lender must execute and deliver, to be held in escrow by the Auction Agent, an Assignment and Assumption with the dollar amount of the Term Loans to be assigned to be left in blank, which amount shall be completed by the Auction Agent in accordance with the final determination of such Lender’s Qualifying Bid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Any Lender whose Return Bid is not received by the Auction Agent by the Auction Response Date shall be deemed to have declined to participate in the relevant Auction with respect to all of its Term Loans.</w:t>
      </w:r>
    </w:p>
    <w:p>
      <w:pPr>
        <w:spacing w:after="0" w:line="79" w:lineRule="exact"/>
        <w:rPr>
          <w:sz w:val="20"/>
          <w:szCs w:val="20"/>
          <w:color w:val="auto"/>
        </w:rPr>
      </w:pPr>
    </w:p>
    <w:p>
      <w:pPr>
        <w:ind w:left="4" w:right="80" w:firstLine="419"/>
        <w:spacing w:after="0" w:line="266" w:lineRule="auto"/>
        <w:tabs>
          <w:tab w:leader="none" w:pos="671" w:val="left"/>
        </w:tabs>
        <w:numPr>
          <w:ilvl w:val="1"/>
          <w:numId w:val="4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Acceptance Procedures</w:t>
      </w:r>
      <w:r>
        <w:rPr>
          <w:rFonts w:ascii="Times New Roman" w:cs="Times New Roman" w:eastAsia="Times New Roman" w:hAnsi="Times New Roman"/>
          <w:sz w:val="17"/>
          <w:szCs w:val="17"/>
          <w:color w:val="auto"/>
        </w:rPr>
        <w:t>. Based on the Reply Prices and Reply Amounts received by the Auction Agent prior to the applicable Auction Response Date, the Auction Agent, in consultation with the Auction Party, will determine the applicable price (the “</w:t>
      </w:r>
      <w:r>
        <w:rPr>
          <w:rFonts w:ascii="Times New Roman" w:cs="Times New Roman" w:eastAsia="Times New Roman" w:hAnsi="Times New Roman"/>
          <w:sz w:val="17"/>
          <w:szCs w:val="17"/>
          <w:b w:val="1"/>
          <w:bCs w:val="1"/>
          <w:color w:val="auto"/>
        </w:rPr>
        <w:t>Applicable Price</w:t>
      </w:r>
      <w:r>
        <w:rPr>
          <w:rFonts w:ascii="Times New Roman" w:cs="Times New Roman" w:eastAsia="Times New Roman" w:hAnsi="Times New Roman"/>
          <w:sz w:val="17"/>
          <w:szCs w:val="17"/>
          <w:color w:val="auto"/>
        </w:rPr>
        <w:t xml:space="preserve">”) for the Auction, which will be the lowest Reply Price for which the Auction Party can complete the Auction at the Auction Amount;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the Reply Amounts are insufficient to allow the Auction Party to complete a purchase of the entire Auction Amount (any such Auction, a “</w:t>
      </w:r>
      <w:r>
        <w:rPr>
          <w:rFonts w:ascii="Times New Roman" w:cs="Times New Roman" w:eastAsia="Times New Roman" w:hAnsi="Times New Roman"/>
          <w:sz w:val="17"/>
          <w:szCs w:val="17"/>
          <w:b w:val="1"/>
          <w:bCs w:val="1"/>
          <w:color w:val="auto"/>
        </w:rPr>
        <w:t>Failed Auction</w:t>
      </w:r>
      <w:r>
        <w:rPr>
          <w:rFonts w:ascii="Times New Roman" w:cs="Times New Roman" w:eastAsia="Times New Roman" w:hAnsi="Times New Roman"/>
          <w:sz w:val="17"/>
          <w:szCs w:val="17"/>
          <w:color w:val="auto"/>
        </w:rPr>
        <w:t>”), the Auction Party shall either, at its election, (i) withdraw the Auction or (ii) complete the Auction at an Applicable Price equal to the highest Reply Price. The Auction Party shall purchase the relevant Term Loans (or the respective portions thereof) from each Lender with a Reply Price that is equal to or lower than the Applicable Price (“</w:t>
      </w:r>
      <w:r>
        <w:rPr>
          <w:rFonts w:ascii="Times New Roman" w:cs="Times New Roman" w:eastAsia="Times New Roman" w:hAnsi="Times New Roman"/>
          <w:sz w:val="17"/>
          <w:szCs w:val="17"/>
          <w:b w:val="1"/>
          <w:bCs w:val="1"/>
          <w:color w:val="auto"/>
        </w:rPr>
        <w:t>Qualifying Bids</w:t>
      </w:r>
      <w:r>
        <w:rPr>
          <w:rFonts w:ascii="Times New Roman" w:cs="Times New Roman" w:eastAsia="Times New Roman" w:hAnsi="Times New Roman"/>
          <w:sz w:val="17"/>
          <w:szCs w:val="17"/>
          <w:color w:val="auto"/>
        </w:rPr>
        <w:t xml:space="preserve">”) at the Applicable Price;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aggregate proceeds required to purchase all Term Loans subject to Qualifying Bids would exceed the Auction Amount for such Auction, the Auction Party shall purchase such Term Loans at the Applicable Price ratably based on the principal amounts of such Qualifying Bids (subject to rounding requirements specified by the Auction Agent in its discretion). If a Lender has submitted a Return Bid containing multiple bids at different Reply Prices, only the bid with the lowest Reply Price that is equal to or less than the Applicable Price will be deemed to be the Qualifying Bid of such Lender (e.g., a Reply Price of $100 with a discount to par of 1.00%, when compared to an Applicable Price of $100 with a 2.00% discount to par, will not be deemed to be a Qualifying Bid, while, however, a Reply Price of $100 with a discount to par of 2.50% would be deemed to be a Qualifying Bid). The Auction Agent shall promptly, and in any case within five Business Days following the Auction Response Date with respect to an Auction, notify (I) the Borrower of the respective Lenders’ responses to such solicitation, the effective date of the purchase of Term Loans pursuant to such Auction, the Applicable Price, and the aggregate principal amount of the Term Loans and the tranches thereof to be purchased pursuant to such Auction, (II) each participating Lender of the effective date of the purchase of Term Loans pursuant to such Auction, the Applicable Price, and the aggregate principal amount and the tranches of Term Loans to be purchased at the Applicable Price on such date,</w:t>
      </w:r>
    </w:p>
    <w:p>
      <w:pPr>
        <w:spacing w:after="0" w:line="6" w:lineRule="exact"/>
        <w:rPr>
          <w:rFonts w:ascii="Times New Roman" w:cs="Times New Roman" w:eastAsia="Times New Roman" w:hAnsi="Times New Roman"/>
          <w:sz w:val="17"/>
          <w:szCs w:val="17"/>
          <w:color w:val="auto"/>
        </w:rPr>
      </w:pPr>
    </w:p>
    <w:p>
      <w:pPr>
        <w:ind w:left="4" w:right="20" w:hanging="4"/>
        <w:spacing w:after="0" w:line="253" w:lineRule="auto"/>
        <w:tabs>
          <w:tab w:leader="none" w:pos="348"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participating Lender of the aggregate principal amount and the tranches of the Term Loans of such Lender to be purchased at the Applicable Price on such date and (IV) if applicable, each participating Lender of any rounding and/or proration pursuant to the second preceding sentence. Each determination by the Auction Agent of the amounts stated in the foregoing notices to the Borrower and Lenders shall be conclusive and binding for all purposes absent manifest error.</w:t>
      </w:r>
    </w:p>
    <w:p>
      <w:pPr>
        <w:spacing w:after="0" w:line="80"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20" w:firstLine="408"/>
        <w:spacing w:after="0" w:line="266" w:lineRule="auto"/>
        <w:tabs>
          <w:tab w:leader="none" w:pos="1159" w:val="left"/>
        </w:tabs>
        <w:numPr>
          <w:ilvl w:val="2"/>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initiated by an Auction Notice, the Auction Party may not withdraw an Auction other than a Failed Auction. Furthermore, in connection with any Auction, upon submission by a Lender of a Qualifying Bid, such Lender (each, a “</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will be obligated to sell the entirety or its allocable portion of the Reply Amount, as the case may be, at the Applicable Price.</w:t>
      </w:r>
    </w:p>
    <w:p>
      <w:pPr>
        <w:spacing w:after="0" w:line="108"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84"/>
          </w:cols>
          <w:pgMar w:left="876" w:top="270" w:right="439" w:bottom="1440" w:gutter="0" w:footer="0" w:header="0"/>
        </w:sectPr>
      </w:pPr>
    </w:p>
    <w:bookmarkStart w:id="361" w:name="page362"/>
    <w:bookmarkEnd w:id="361"/>
    <w:p>
      <w:pPr>
        <w:ind w:left="980" w:firstLine="408"/>
        <w:spacing w:after="0" w:line="266" w:lineRule="auto"/>
        <w:tabs>
          <w:tab w:leader="none" w:pos="164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not expressly provided for herein, each purchase of Term Loans pursuant to an Auction shall be consummated pursuant to procedures consistent with the provisions in this definition, established by the Auction Agent acting in its reasonable discretion and as reasonably agreed by the Borrower.</w:t>
      </w:r>
    </w:p>
    <w:p>
      <w:pPr>
        <w:spacing w:after="0" w:line="67" w:lineRule="exact"/>
        <w:rPr>
          <w:rFonts w:ascii="Times New Roman" w:cs="Times New Roman" w:eastAsia="Times New Roman" w:hAnsi="Times New Roman"/>
          <w:sz w:val="18"/>
          <w:szCs w:val="18"/>
          <w:color w:val="auto"/>
        </w:rPr>
      </w:pPr>
    </w:p>
    <w:p>
      <w:pPr>
        <w:ind w:left="980" w:firstLine="408"/>
        <w:spacing w:after="0" w:line="266" w:lineRule="auto"/>
        <w:tabs>
          <w:tab w:leader="none" w:pos="169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Auction, the Borrower and the Lenders acknowledge and agree that the Auction Agent may require as a condition to any Auction, the payment of customary fees and expenses by the Auction Party in connection therewith as agreed between the Auction Party and the Auction Agent.</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any Loan Document to the contrary, for purposes of this definition, each notice or other</w:t>
      </w:r>
    </w:p>
    <w:p>
      <w:pPr>
        <w:spacing w:after="0" w:line="27" w:lineRule="exact"/>
        <w:rPr>
          <w:rFonts w:ascii="Times New Roman" w:cs="Times New Roman" w:eastAsia="Times New Roman" w:hAnsi="Times New Roman"/>
          <w:sz w:val="18"/>
          <w:szCs w:val="18"/>
          <w:color w:val="auto"/>
        </w:rPr>
      </w:pPr>
    </w:p>
    <w:p>
      <w:pPr>
        <w:ind w:left="980" w:right="1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communication required to be delivered or otherwise provided to the Auction Agent (or its delegate) shall be deemed to have been given upon the Auction Agent’s (or its delegate’s) actual receipt during normal business hours of such notice or communication;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notice or communication actually received outside of normal business hours shall be deemed to have been given as of the opening of business on the next Business Day.</w:t>
      </w:r>
    </w:p>
    <w:p>
      <w:pPr>
        <w:spacing w:after="0" w:line="80" w:lineRule="exact"/>
        <w:rPr>
          <w:rFonts w:ascii="Times New Roman" w:cs="Times New Roman" w:eastAsia="Times New Roman" w:hAnsi="Times New Roman"/>
          <w:sz w:val="18"/>
          <w:szCs w:val="18"/>
          <w:color w:val="auto"/>
        </w:rPr>
      </w:pPr>
    </w:p>
    <w:p>
      <w:pPr>
        <w:ind w:left="980" w:right="140" w:firstLine="408"/>
        <w:spacing w:after="0" w:line="258" w:lineRule="auto"/>
        <w:tabs>
          <w:tab w:leader="none" w:pos="163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the Lenders acknowledge and agree that the Auction Agent may perform any and all of its duties under this definition by itself or through any Affiliate of the Auction Agent and expressly consent to any such delegation of duties by the Auction Agent to such Affiliate and the performance of such delegated duties by such Affiliate. The exculpatory provisions pursuant to this Agreement shall apply to each Affiliate of the Auction Agent and its respective activities in connection with any purchase of Term Loans provided for in this definition as well as activities of the Auction Agent.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Deductions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Yield</w:t>
      </w:r>
      <w:r>
        <w:rPr>
          <w:rFonts w:ascii="Times New Roman" w:cs="Times New Roman" w:eastAsia="Times New Roman" w:hAnsi="Times New Roman"/>
          <w:sz w:val="18"/>
          <w:szCs w:val="18"/>
          <w:color w:val="auto"/>
        </w:rPr>
        <w:t>” means, as to any Indebtedness, the effective yield applicable thereto calculated by the Administrative Agent in consultation with the Borrower in a manner consistent with generally accepted financial practices, taking into account (a) interest rate margins (calculated without giving effect to any leverage-based step downs), (b) interest rate floors (subject to the proviso set forth below), (c) any amendment to the relevant interest rate margins and interest rate floors prior to the applicable date of determination and (d) original issue discount and upfront or similar fees actually paid in the primary</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362" w:name="page363"/>
    <w:bookmarkEnd w:id="362"/>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syndication of such Indebtedness as on file with the Administrative Agent (based on an assumed four-year average life to maturity or lesser remaining average life to maturity), but excluding (i) any advisory, arrangement, commitment, consent, structuring, success, underwriting, ticking, unused line fees, amendment fees and/or any similar fees payable in connection therewith (regardless of whether any such fees are paid to or shared in whole or in part with any lender) and (ii) any other fee that is not paid directly by the Borrower generally to all relevant lenders ratably (or, if only one lender (or affiliated group of lenders) is providing such Indebtedness, are fees of the type not customarily shared with lenders generally);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Indebtedness that includes a “floor”, that (A) to the extent that the Eurocurrency Rate (for an Interest Period of three months) or Alternate Base Rate (in each case without giving effect to any floor specified in the definitions thereof on the date on which the Effective Yield is being calculated) is less than such floor, the amount of such difference will be deemed added to the interest rate margin applicable to such Indebtedness for purposes of calculating the Effective Yield and (B) to the extent that the Eurocurrency Rate (for an Interest Period of three months) or Alternate Base Rate (in each case, without giving effect to any floor specified in the definitions thereof) is greater than such floor, the floor will be disregarded in calculating the Effective Yield.</w:t>
      </w:r>
    </w:p>
    <w:p>
      <w:pPr>
        <w:spacing w:after="0" w:line="188"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 any Lender, (b) any commercial bank, insurance company, finance company, financial institution, any fund that invests in loans or any other “accredited investor” (as defined in Regulation D of the Securities Act), (c) any Affiliate of any Lender, (d) any Approved Fund of any Lender or (e) to the extent permitted under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any Affiliated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any event, “Eligible Assignee” shall not include (i) any natural person or any investment vehicle established primarily for the benefit of a natural person, (ii) any Disqualified Institution or Defaulting Lender or (iii) except as permitted under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the Borrower or any of its Affiliates.</w:t>
      </w:r>
    </w:p>
    <w:p>
      <w:pPr>
        <w:spacing w:after="0" w:line="179"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Plan</w:t>
      </w:r>
      <w:r>
        <w:rPr>
          <w:rFonts w:ascii="Times New Roman" w:cs="Times New Roman" w:eastAsia="Times New Roman" w:hAnsi="Times New Roman"/>
          <w:sz w:val="18"/>
          <w:szCs w:val="18"/>
          <w:color w:val="auto"/>
        </w:rPr>
        <w:t>” means any “employee benefit plan” as defined in Section 3(3) of ERISA (regardless of whether such plan is subject to ERISA) which is sponsored, maintained or contributed to by, or required to be contributed to by, the Borrower or any of its Restricted Subsidiaries.</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written investigation, notice, notice of violation, claim, action, suit, proceeding, demand, abatement order or other order, decree or directive (conditional or otherwise), by any Governmental Authority or any other Person, arising (a) pursuant to or in connection with any actual or alleged violation of any Environmental Law or (b) in connection with any actual or alleged Release or threat of Release of any Hazardous Materials.</w:t>
      </w:r>
    </w:p>
    <w:p>
      <w:pPr>
        <w:spacing w:after="0" w:line="176"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foreign or domestic, federal, state, provincial or local (or any subdivision thereof), statutes, ordinances, orders, decrees, rules, regulations, judgments, Governmental Authorizations, or any other applicable binding requirements of Governmental Authorities or the common law relating to (a) pollution or the protection of the environment or natural resources, occupational safety and health and industrial hygiene (to the extent relating to the exposure to hazardous materials) or other environmental matters or (b) any Hazardous Materials Activity or any exposure to any hazardous material.</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is (a) a member of a controlled group of corporations within the meaning of Section 414(b) of the Code with the Borrower or any of its Restricted Subsidiaries or (b) a member of a group of trades or businesses under common control within the meaning of Section 414(c) of the Code with the Borrower or any of its Restricted Subsidiaries or (c) for purposes of provisions relating to Section 302 of ERISA or Section 412 of the Code, treated as a “single employer” with the Borrower or any of its Restricted Subsidiaries under Section 414(m) or (o) of the Code.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363" w:name="page364"/>
    <w:bookmarkEnd w:id="363"/>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within the meaning of Section 4043 of ERISA and the regulations issued thereunder with respect to any Pension Plan (excluding those for which the 30-day notice period has been waived), (b) the failure of any Pension Plan to satisfy a minimum funding standard under Section 412 of the Code, (c) the filing of any request for, or receipt of, a minimum funding waiver under Section 412 of the Code with respect to any Pension Plan, (d) the provision by the administrator of any Pension Plan pursuant to Section 4041(a)(2) or Section 302 of ERISA of a notice of intent to terminate such plan in a distress termination described in Section 4041(c) of ERISA, (e) the withdrawal by the Borrower, any of its Restricted Subsidiaries or any ERISA Affiliate from any Pension Plan with two or more contributing sponsors or the termination of any such Pension Plan resulting in liability to the Borrower or any of its Restricted Subsidiaries pursuant to Section 4063 or 4064 of ERISA, (f) the institution by the PBGC of proceedings to terminate any Pension Plan, (g) the imposition of liability on the Borrower, any of its Restricted Subsidiaries or any ERISA Affiliate pursuant to Section 4062(e) or 4069 of ERISA or by reason of the application of Section 4212(c) of ERISA, (h) a complete or partial withdrawal (within the meaning of Sections 4203 and 4205 of ERISA) of the Borrower, any of its Restricted Subsidiaries or any ERISA Affiliate from any Multiemployer Plan if there is any potential liability under Title IV of ERISA for Borrower or any of its Restricted Subsidiaries, (i) the receipt by the Borrower, any of its Restricted Subsidiaries or any ERISA Affiliate of notice from any Multiemployer Plan that it is insolvent pursuant to</w:t>
      </w:r>
    </w:p>
    <w:p>
      <w:pPr>
        <w:spacing w:after="0" w:line="6"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Section 4245 of ERISA, or that it intends to terminate or has terminated under Section 4041A or 4042 of ERISA or (j) the incurrence of liability or the imposition of a Lien pursuant to Section 436 or 430(k) of the Code or pursuant to Title IV of ERISA with respect to any Pension Plan.</w:t>
      </w:r>
    </w:p>
    <w:p>
      <w:pPr>
        <w:spacing w:after="0" w:line="177"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right="2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of 11:00 a.m. Brussels time on such date of determination. If such page or service ceases to be available, the Administrative Agent may specify another page or service displaying the relevant rate after consultation with the Borrower.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single currency of the European Union as constituted by the Treaty on European Union.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Rate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40" w:firstLine="436"/>
        <w:spacing w:after="0" w:line="282" w:lineRule="auto"/>
        <w:tabs>
          <w:tab w:leader="none" w:pos="65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as to any Eurocurrency Rate Loan denominated in Dollars, the Term SOFR with tenor equal to such Interest Period, plus the Applicable SOFR Adjustment for each Interest Period; and</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705"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as to any Eurocurrency Rate Loan denominated in Euros, the EURIBO Screen Rate, two TARGET Days prior to the commencement of such Interest Period;</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the Initial Term Loans, if any such rate determined pursuant to the preceding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is less than zero, the Eurocurrency Rate will be deemed to be zero.</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66" w:right="439" w:bottom="1440" w:gutter="0" w:footer="0" w:header="0"/>
        </w:sectPr>
      </w:pPr>
    </w:p>
    <w:bookmarkStart w:id="364" w:name="page365"/>
    <w:bookmarkEnd w:id="3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for any Excess Cash Flow Period, an amount (which shall not be less than zero) equal to:</w:t>
      </w:r>
    </w:p>
    <w:p>
      <w:pPr>
        <w:spacing w:after="0" w:line="121" w:lineRule="exact"/>
        <w:rPr>
          <w:sz w:val="20"/>
          <w:szCs w:val="20"/>
          <w:color w:val="auto"/>
        </w:rPr>
      </w:pPr>
    </w:p>
    <w:p>
      <w:pPr>
        <w:ind w:left="660" w:hanging="241"/>
        <w:spacing w:after="0"/>
        <w:tabs>
          <w:tab w:leader="none" w:pos="660"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 the following:</w:t>
      </w:r>
    </w:p>
    <w:p>
      <w:pPr>
        <w:spacing w:after="0" w:line="117" w:lineRule="exact"/>
        <w:rPr>
          <w:rFonts w:ascii="Times New Roman" w:cs="Times New Roman" w:eastAsia="Times New Roman" w:hAnsi="Times New Roman"/>
          <w:sz w:val="18"/>
          <w:szCs w:val="18"/>
          <w:color w:val="auto"/>
        </w:rPr>
      </w:pPr>
    </w:p>
    <w:p>
      <w:pPr>
        <w:ind w:left="1160" w:hanging="212"/>
        <w:spacing w:after="0"/>
        <w:tabs>
          <w:tab w:leader="none" w:pos="11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for such period, plus</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66" w:lineRule="auto"/>
        <w:tabs>
          <w:tab w:leader="none" w:pos="120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to the extent excluded in arriving at such Consolidated Net Income, but excluding any such non-cash Charge representing an accrual or reserve for potential Cash items in any future period and excluding amortization of a prepaid cash item that was paid in a prior period, plus</w:t>
      </w:r>
    </w:p>
    <w:p>
      <w:pPr>
        <w:spacing w:after="0" w:line="6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Working Capital Adjustment for such period, plus</w:t>
      </w:r>
    </w:p>
    <w:p>
      <w:pPr>
        <w:spacing w:after="0" w:line="117" w:lineRule="exact"/>
        <w:rPr>
          <w:rFonts w:ascii="Times New Roman" w:cs="Times New Roman" w:eastAsia="Times New Roman" w:hAnsi="Times New Roman"/>
          <w:sz w:val="18"/>
          <w:szCs w:val="18"/>
          <w:color w:val="auto"/>
        </w:rPr>
      </w:pPr>
    </w:p>
    <w:p>
      <w:pPr>
        <w:ind w:left="540" w:right="340" w:firstLine="408"/>
        <w:spacing w:after="0" w:line="261" w:lineRule="auto"/>
        <w:tabs>
          <w:tab w:leader="none" w:pos="124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gains of the type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the definition of Consolidated Net Income to the extent excluded in arriving at such Consolidated Net Income (except to the extent such gains consist of proceeds utilized in calculating Net Proceeds falling under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the definition thereof or Net Insurance/Condemnation Proceeds subject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minus</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678"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without duplication, of the amounts for such period (or, in the case of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(b)(ix)</w:t>
      </w:r>
      <w:r>
        <w:rPr>
          <w:rFonts w:ascii="Times New Roman" w:cs="Times New Roman" w:eastAsia="Times New Roman" w:hAnsi="Times New Roman"/>
          <w:sz w:val="18"/>
          <w:szCs w:val="18"/>
          <w:color w:val="auto"/>
        </w:rPr>
        <w:t>, at the option of the Borrower, amounts after such period to the extent paid prior to the date of the applicable Excess Cash Flow payment) of the following:</w:t>
      </w:r>
    </w:p>
    <w:p>
      <w:pPr>
        <w:spacing w:after="0" w:line="67" w:lineRule="exact"/>
        <w:rPr>
          <w:rFonts w:ascii="Times New Roman" w:cs="Times New Roman" w:eastAsia="Times New Roman" w:hAnsi="Times New Roman"/>
          <w:sz w:val="18"/>
          <w:szCs w:val="18"/>
          <w:color w:val="auto"/>
        </w:rPr>
      </w:pPr>
    </w:p>
    <w:p>
      <w:pPr>
        <w:ind w:left="540" w:firstLine="408"/>
        <w:spacing w:after="0" w:line="254" w:lineRule="auto"/>
        <w:tabs>
          <w:tab w:leader="none" w:pos="115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 all optional prepayments of, or other Cash payments to reduce the outstanding amount of, Indebtedness (other than any (1) optional prepayment of, or other Cash payments to reduce the outstanding amount of, Indebtedness that is deducted in calculating the amount of any Excess Cash Flow payment in accordance with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or (2) revolving Indebtedness except to the extent any related commitment is permanently reduced in connection with such repayment), (B) all mandatory prepayments and scheduled repayments of Indebtedness and (C) the aggregate amount of any premiums, make-whole or penalty payments actually paid in Cash by the Borrower and/or any Restricted Subsidiary that are or were required to be made in connection with any prepayment or repurchase of Indebtedness, in each case, except to the extent financed with long-term funded Indebtedness (other than revolving Indebtedness), plus</w:t>
      </w:r>
    </w:p>
    <w:p>
      <w:pPr>
        <w:spacing w:after="0" w:line="83" w:lineRule="exact"/>
        <w:rPr>
          <w:rFonts w:ascii="Times New Roman" w:cs="Times New Roman" w:eastAsia="Times New Roman" w:hAnsi="Times New Roman"/>
          <w:sz w:val="18"/>
          <w:szCs w:val="18"/>
          <w:color w:val="auto"/>
        </w:rPr>
      </w:pPr>
    </w:p>
    <w:p>
      <w:pPr>
        <w:ind w:left="540" w:right="120" w:firstLine="408"/>
        <w:spacing w:after="0" w:line="261" w:lineRule="auto"/>
        <w:tabs>
          <w:tab w:leader="none" w:pos="120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transactional or translation losses paid or payable in Cash (including any currency re-measurement of Indebtedness, any net gain or loss resulting from Hedge Agreements for currency exchange risk resulting from any intercompany Indebtedness, any foreign currency translation or transaction or any other currency-related risk) to the extent included in arriving at such Consolidated Net Income, plus</w:t>
      </w:r>
    </w:p>
    <w:p>
      <w:pPr>
        <w:spacing w:after="0" w:line="71" w:lineRule="exact"/>
        <w:rPr>
          <w:rFonts w:ascii="Times New Roman" w:cs="Times New Roman" w:eastAsia="Times New Roman" w:hAnsi="Times New Roman"/>
          <w:sz w:val="18"/>
          <w:szCs w:val="18"/>
          <w:color w:val="auto"/>
        </w:rPr>
      </w:pPr>
    </w:p>
    <w:p>
      <w:pPr>
        <w:ind w:left="540" w:right="760" w:firstLine="408"/>
        <w:spacing w:after="0" w:line="282" w:lineRule="auto"/>
        <w:tabs>
          <w:tab w:leader="none" w:pos="1256" w:val="left"/>
        </w:tabs>
        <w:numPr>
          <w:ilvl w:val="1"/>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added back under the last paragraph of the definition of “Consolidated Net Income” with respect to business interruption insurance to the extent such amounts have not yet been received by the Borrower or its Restricted Subsidiaries, plus</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40"/>
          </w:cols>
          <w:pgMar w:left="880" w:top="266" w:right="479" w:bottom="1440" w:gutter="0" w:footer="0" w:header="0"/>
        </w:sectPr>
      </w:pPr>
    </w:p>
    <w:bookmarkStart w:id="365" w:name="page366"/>
    <w:bookmarkEnd w:id="365"/>
    <w:p>
      <w:pPr>
        <w:ind w:left="-20" w:right="180" w:firstLine="408"/>
        <w:spacing w:after="0" w:line="282" w:lineRule="auto"/>
        <w:tabs>
          <w:tab w:leader="none" w:pos="68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amount equal to (A) any Charge excluded in arriving at such Consolidated Net Income to the extent paid or payable in Cash and (B) any non-Cash credit included in arriving at such Consolidated Net Income, plus</w:t>
      </w:r>
    </w:p>
    <w:p>
      <w:pPr>
        <w:spacing w:after="0" w:line="53" w:lineRule="exact"/>
        <w:rPr>
          <w:rFonts w:ascii="Times New Roman" w:cs="Times New Roman" w:eastAsia="Times New Roman" w:hAnsi="Times New Roman"/>
          <w:sz w:val="18"/>
          <w:szCs w:val="18"/>
          <w:color w:val="auto"/>
        </w:rPr>
      </w:pPr>
    </w:p>
    <w:p>
      <w:pPr>
        <w:ind w:left="-20" w:right="140" w:firstLine="408"/>
        <w:spacing w:after="0" w:line="261" w:lineRule="auto"/>
        <w:tabs>
          <w:tab w:leader="none" w:pos="6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expensed (or exceeding the amount expensed) during such period or not deducted (or exceeding the amount deducted) in arriving at such Consolidated Net Income, the aggregate amount of Charges paid or payable in Cash by the Borrower and its Restricted Subsidiaries during such period (whether or not incurred in such period), other than to the extent financed with long-term funded Indebtedness (other than revolving Indebtedness), plus</w:t>
      </w:r>
    </w:p>
    <w:p>
      <w:pPr>
        <w:spacing w:after="0" w:line="71" w:lineRule="exact"/>
        <w:rPr>
          <w:rFonts w:ascii="Times New Roman" w:cs="Times New Roman" w:eastAsia="Times New Roman" w:hAnsi="Times New Roman"/>
          <w:sz w:val="18"/>
          <w:szCs w:val="18"/>
          <w:color w:val="auto"/>
        </w:rPr>
      </w:pPr>
    </w:p>
    <w:p>
      <w:pPr>
        <w:ind w:left="-20" w:firstLine="408"/>
        <w:spacing w:after="0" w:line="261" w:lineRule="auto"/>
        <w:tabs>
          <w:tab w:leader="none" w:pos="68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made during such period for any liability the accrual of which in a prior period did not reduce Consolidated Net Income and therefore increased Excess Cash Flow in such prior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there was no other deduction to Consolidated Net Income or Excess Cash Flow related to such payment), except to the extent financed with long term funded Indebtedness (other than revolving Indebtedness), plus</w:t>
      </w:r>
    </w:p>
    <w:p>
      <w:pPr>
        <w:spacing w:after="0" w:line="71" w:lineRule="exact"/>
        <w:rPr>
          <w:rFonts w:ascii="Times New Roman" w:cs="Times New Roman" w:eastAsia="Times New Roman" w:hAnsi="Times New Roman"/>
          <w:sz w:val="18"/>
          <w:szCs w:val="18"/>
          <w:color w:val="auto"/>
        </w:rPr>
      </w:pPr>
    </w:p>
    <w:p>
      <w:pPr>
        <w:ind w:left="-20" w:right="140" w:firstLine="408"/>
        <w:spacing w:after="0" w:line="261" w:lineRule="auto"/>
        <w:tabs>
          <w:tab w:leader="none" w:pos="7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in Cash (except to the extent financed with long term funded Indebtedness (other than revolving Indebtedness)) during such period on account of (A) items that were accounted for as non-Cash reductions of Consolidated Net Income in a prior period and (B) reserves or amounts established in purchase accounting to the extent such reserves or amounts are added back to, or not deducted from, Consolidated Net Income, plus</w:t>
      </w:r>
    </w:p>
    <w:p>
      <w:pPr>
        <w:spacing w:after="0" w:line="71" w:lineRule="exact"/>
        <w:rPr>
          <w:rFonts w:ascii="Times New Roman" w:cs="Times New Roman" w:eastAsia="Times New Roman" w:hAnsi="Times New Roman"/>
          <w:sz w:val="18"/>
          <w:szCs w:val="18"/>
          <w:color w:val="auto"/>
        </w:rPr>
      </w:pPr>
    </w:p>
    <w:p>
      <w:pPr>
        <w:ind w:left="800" w:hanging="412"/>
        <w:spacing w:after="0"/>
        <w:tabs>
          <w:tab w:leader="none" w:pos="800"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payment of Cash to be amortized or expensed over a future period and recorded as a long-term asset, plus</w:t>
      </w:r>
    </w:p>
    <w:p>
      <w:pPr>
        <w:spacing w:after="0" w:line="117" w:lineRule="exact"/>
        <w:rPr>
          <w:rFonts w:ascii="Times New Roman" w:cs="Times New Roman" w:eastAsia="Times New Roman" w:hAnsi="Times New Roman"/>
          <w:sz w:val="18"/>
          <w:szCs w:val="18"/>
          <w:color w:val="auto"/>
        </w:rPr>
      </w:pPr>
    </w:p>
    <w:p>
      <w:pPr>
        <w:ind w:left="-20" w:right="40" w:firstLine="408"/>
        <w:spacing w:after="0" w:line="256" w:lineRule="auto"/>
        <w:tabs>
          <w:tab w:leader="none" w:pos="68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Taxes (including penalties and interest) paid or reserves in respect of Taxes set aside during such period plus the amount of distributions with respect to Taxes (including penalties and interest) paid or payable with respect to such period to the extent they exceed the amount of tax expense deducted in arriving at such Consolidated Net Income and (B) the amount of any Tax obligation of the Borrower and/or any Restricted Subsidiary that is estimated in good faith by the Borrower as due and payable (but is not currently due and payable) by the Borrower and/or any Restricted Subsidiary as a result of the repatriation of any dividend or similar distribution of net income of any Foreign Subsidiary to the Borrower and/or any Restricted Subsidiary, plus</w:t>
      </w:r>
    </w:p>
    <w:p>
      <w:pPr>
        <w:spacing w:after="0" w:line="79" w:lineRule="exact"/>
        <w:rPr>
          <w:rFonts w:ascii="Times New Roman" w:cs="Times New Roman" w:eastAsia="Times New Roman" w:hAnsi="Times New Roman"/>
          <w:sz w:val="18"/>
          <w:szCs w:val="18"/>
          <w:color w:val="auto"/>
        </w:rPr>
      </w:pPr>
    </w:p>
    <w:p>
      <w:pPr>
        <w:ind w:left="-20" w:right="680" w:firstLine="408"/>
        <w:spacing w:after="0" w:line="282" w:lineRule="auto"/>
        <w:tabs>
          <w:tab w:leader="none" w:pos="6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to Consolidated Net Income attributable to clause (a)(i) of the definition of Consolidated Net Income due to dividends, distributions or other payments that could have been made during such period but were not actually made, plus</w:t>
      </w:r>
    </w:p>
    <w:p>
      <w:pPr>
        <w:spacing w:after="0" w:line="53" w:lineRule="exact"/>
        <w:rPr>
          <w:rFonts w:ascii="Times New Roman" w:cs="Times New Roman" w:eastAsia="Times New Roman" w:hAnsi="Times New Roman"/>
          <w:sz w:val="18"/>
          <w:szCs w:val="18"/>
          <w:color w:val="auto"/>
        </w:rPr>
      </w:pPr>
    </w:p>
    <w:p>
      <w:pPr>
        <w:ind w:left="-20" w:right="280" w:firstLine="408"/>
        <w:spacing w:after="0" w:line="282" w:lineRule="auto"/>
        <w:tabs>
          <w:tab w:leader="none" w:pos="68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any Hedge Agreement to the extent not otherwise deducted in the calculation of Consolidated Net Income, plus</w:t>
      </w:r>
    </w:p>
    <w:p>
      <w:pPr>
        <w:spacing w:after="0" w:line="53" w:lineRule="exact"/>
        <w:rPr>
          <w:rFonts w:ascii="Times New Roman" w:cs="Times New Roman" w:eastAsia="Times New Roman" w:hAnsi="Times New Roman"/>
          <w:sz w:val="18"/>
          <w:szCs w:val="18"/>
          <w:color w:val="auto"/>
        </w:rPr>
      </w:pPr>
    </w:p>
    <w:p>
      <w:pPr>
        <w:ind w:left="-20" w:right="220" w:firstLine="408"/>
        <w:spacing w:after="0" w:line="258" w:lineRule="auto"/>
        <w:tabs>
          <w:tab w:leader="none" w:pos="7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expenditures actually made by the Borrower and/or any Restricted Subsidiary in Cash (including any expenditure for the payment of fees or other Charges (or any amortization thereof for such period) in connection with any Disposition, incurrence or repayment of Indebtedness, issuance of Capital Stock, refinancing transaction, amendment or modification of any debt instrument, including this Agreement, and including, in each case, any such transaction consummated prior to, on or after the Closing Date, whether or not such transaction was successful), in each case to the extent that such expenditures were not expensed, plus</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020"/>
          </w:cols>
          <w:pgMar w:left="1440" w:top="270" w:right="439" w:bottom="1440" w:gutter="0" w:footer="0" w:header="0"/>
        </w:sectPr>
      </w:pPr>
    </w:p>
    <w:bookmarkStart w:id="366" w:name="page367"/>
    <w:bookmarkEnd w:id="366"/>
    <w:p>
      <w:pPr>
        <w:ind w:left="980" w:firstLine="408"/>
        <w:spacing w:after="0" w:line="266" w:lineRule="auto"/>
        <w:tabs>
          <w:tab w:leader="none" w:pos="178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Cash payments in respect of any Restricted Payment made in the ordinary course of business and permitted by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other than any Restricted Payment pursuant to </w:t>
      </w:r>
      <w:r>
        <w:rPr>
          <w:rFonts w:ascii="Times New Roman" w:cs="Times New Roman" w:eastAsia="Times New Roman" w:hAnsi="Times New Roman"/>
          <w:sz w:val="18"/>
          <w:szCs w:val="18"/>
          <w:u w:val="single" w:color="auto"/>
          <w:color w:val="auto"/>
        </w:rPr>
        <w:t>Section 6.04(a)(ii)(A), (B) and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w:t>
      </w:r>
      <w:r>
        <w:rPr>
          <w:rFonts w:ascii="Times New Roman" w:cs="Times New Roman" w:eastAsia="Times New Roman" w:hAnsi="Times New Roman"/>
          <w:sz w:val="18"/>
          <w:szCs w:val="18"/>
          <w:color w:val="auto"/>
        </w:rPr>
        <w:t xml:space="preserve"> and, to the extent relating to a Restricted Payment that would otherwise have been permitted pursuant to one or more of the foregoing excluded clauses,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 Period</w:t>
      </w:r>
      <w:r>
        <w:rPr>
          <w:rFonts w:ascii="Times New Roman" w:cs="Times New Roman" w:eastAsia="Times New Roman" w:hAnsi="Times New Roman"/>
          <w:sz w:val="18"/>
          <w:szCs w:val="18"/>
          <w:color w:val="auto"/>
        </w:rPr>
        <w:t>” means each Fiscal Year of the Borrower ending after the Closing Date (commencing, for the avoidance of doubt, with the Fiscal Year ending on December 31, 2026).</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and the rules and regulations of the SEC promulgated thereunder.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be as defined in each applicable Collateral Document.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shall mean certain property excluded from the Collateral, including:</w:t>
      </w:r>
    </w:p>
    <w:p>
      <w:pPr>
        <w:spacing w:after="0" w:line="121" w:lineRule="exact"/>
        <w:rPr>
          <w:sz w:val="20"/>
          <w:szCs w:val="20"/>
          <w:color w:val="auto"/>
        </w:rPr>
      </w:pPr>
    </w:p>
    <w:p>
      <w:pPr>
        <w:ind w:left="440" w:firstLine="419"/>
        <w:spacing w:after="0" w:line="267" w:lineRule="auto"/>
        <w:tabs>
          <w:tab w:leader="none" w:pos="1118" w:val="left"/>
        </w:tabs>
        <w:numPr>
          <w:ilvl w:val="1"/>
          <w:numId w:val="4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lease, license, contract or agreement to which any Loan Party is a party, and any of its rights or interest thereunder (or, with respect to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any other asset), if and to the extent that a security interest is prohibited by or in violation of (or would result in a loss of material rights under) (i) any law, rule or regulation applicable to such Loan Party, or (ii) a term, provision or condition of any such lease, license, contract or agreement (unless such law, rule, regulation, term, provision or condition would be rendered ineffective with respect to the creation of the security interest hereunder pursuant to Section 9-406, 9-407, 9-408 or 9-409 of the UCC (or any successor provision or provisions) of any relevant jurisdiction or any other applicable law (including the Bankruptcy Code));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however, that the Collateral shall include (and such security interest shall attach) immediately at such time as the contractual or legal prohibition (or condition causing such violation, breach, termination or loss of right) shall no longer be applicable and to the extent severable, shall attach immediately to any portion of such lease, license, contract or agreement not subject to the prohibitions specified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above;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further that the exclusions referred to in this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shall not include any proceeds of any such lease, license, contract or agreement unless such proceeds result in the consequences described in this </w:t>
      </w:r>
      <w:r>
        <w:rPr>
          <w:rFonts w:ascii="Times New Roman" w:cs="Times New Roman" w:eastAsia="Times New Roman" w:hAnsi="Times New Roman"/>
          <w:sz w:val="17"/>
          <w:szCs w:val="17"/>
          <w:u w:val="single" w:color="auto"/>
          <w:color w:val="auto"/>
        </w:rPr>
        <w:t>clause</w:t>
      </w:r>
    </w:p>
    <w:p>
      <w:pPr>
        <w:spacing w:after="0" w:line="3"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47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after giving effect to the first proviso in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u w:val="single" w:color="auto"/>
          <w:color w:val="auto"/>
        </w:rPr>
      </w:pPr>
    </w:p>
    <w:p>
      <w:pPr>
        <w:ind w:left="1120" w:hanging="261"/>
        <w:spacing w:after="0"/>
        <w:tabs>
          <w:tab w:leader="none" w:pos="112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Securities;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118"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 to use” (or similar) application for registration of a trademark filed pursuant to Section 1(b) of the Lanham Act, 15 U.S.C. § 1051, prior to the filing of a “Statement of Use” pursuant to Section 1(d) of the Lanham Act or an “Amendment to Allege Use” pursuant to Section 1 of the Lanham Act with respect thereto (or similar notice or filing), to the extent, if any, that, and solely during the period, if any, in which, the grant of a security interest therein would impair the validity or enforceability of any registration that issues from such intent to use application under applicable Federal law;</w:t>
      </w:r>
    </w:p>
    <w:p>
      <w:pPr>
        <w:spacing w:after="0" w:line="75"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vehicles and any other asset subject to certificates of title to the extent that a Lien thereon cannot be perfected by the filing of “all assets” financing statements under the UCC;</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367" w:name="page368"/>
    <w:bookmarkEnd w:id="367"/>
    <w:p>
      <w:pPr>
        <w:ind w:left="440" w:right="160" w:firstLine="419"/>
        <w:spacing w:after="0" w:line="282" w:lineRule="auto"/>
        <w:tabs>
          <w:tab w:leader="none" w:pos="111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Letter-of-Credit Rights to the extent that a Lien thereon cannot be perfected by the filing of “all assets” financing statements under the UCC;</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assets owned by any Loan Party on the date hereof or hereafter acquired and any proceeds thereof (or related assets) that are subject to a Lien securing Indebtedness incurred in connection with a Finance Lease, purchase money Indebtedness or other Indebtedness incurred to finance the acquisition of such assets permitted to be incurred pursuant to this Agreement to the extent and for so long as the contract or other agreement in which such Lien is granted (or the documentation providing for applicable purchase money Indebtedness) validly prohibits the creation of any other Lien on such assets and proceeds in a manner permitted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1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in circumstances where the cost, burden or consequences (including adverse tax consequences) of obtaining or perfecting a security interest in such property or assets (including on account of any need to obtain consents or approvals, and the effect of the ability of the relevant Loan Party to conduct its operations and business in the ordinary course), as determined in good faith by the Borrower, are excessive in relation to the practical benefit afforded to the Secured Parties;</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constituting or that is the proceeds of aircraft, aircraft engines, satellites, ships or railroad rolling stock to the extent that a Lien thereon cannot be perfected by the filing of “all assets” financing statements under the UCC;</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or real property interest that is not a Material Real Estate Asset;</w:t>
      </w:r>
    </w:p>
    <w:p>
      <w:pPr>
        <w:spacing w:after="0" w:line="117"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201"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governmental or regulatory license or state, provincial, municipal or local franchise, charter, consent, permit or authorization to the extent the granting of a security interest therein is prohibited or restricted thereby or by applicable Requirements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asset will only constitute an Excluded Asset under this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to the extent such prohibition or restriction would not be rendered ineffective pursuant to applicable anti-assignment provisions of the UCC of any relevant jurisdiction, or other similar applicable law;</w:t>
      </w:r>
    </w:p>
    <w:p>
      <w:pPr>
        <w:spacing w:after="0" w:line="71"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20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(including Capital Stock) the grant or perfection of a security interest in which would result in adverse tax or regulatory consequences to any Loan Party or any of its subsidiaries as determined by the Borrower in good faith;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208"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Receivables Facility Assets and related assets (or interests therein) sold or otherwise transferred to a Receivables Subsidiary or otherwise pledged, transferred or sold, in each case in connection with a Qualified Receivables Facility, factoring transaction or any similar arrangement permitted hereunder.</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Security</w:t>
      </w:r>
      <w:r>
        <w:rPr>
          <w:rFonts w:ascii="Times New Roman" w:cs="Times New Roman" w:eastAsia="Times New Roman" w:hAnsi="Times New Roman"/>
          <w:sz w:val="18"/>
          <w:szCs w:val="18"/>
          <w:color w:val="auto"/>
        </w:rPr>
        <w:t>” shall mean (i) any Capital Stock or other security representing voting Capital Stock in any Specified Foreign Subsidiary or Foreign Subsidiary Holding Company, other than 65% of the issued and outstanding voting Capital Stock of such Specified Foreign Subsidiary or Foreign Subsidiary Holding Company (as applicable), (ii) any interest in a joint venture or non-wholly owned Subsidiary to the extent and for so long as the attachment of the security interest created hereby therein would violate any joint venture agreement, Organizational Document, shareholders agreement or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70" w:right="479" w:bottom="1440" w:gutter="0" w:footer="0" w:header="0"/>
        </w:sectPr>
      </w:pPr>
    </w:p>
    <w:bookmarkStart w:id="368" w:name="page369"/>
    <w:bookmarkEnd w:id="368"/>
    <w:p>
      <w:pPr>
        <w:ind w:left="4" w:right="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equivalent agreement relating to such joint venture or non-wholly owned Subsidiary, (iii) any Capital Stock the pledge of which in support of the Loan Document Obligations is otherwise prohibited by applicable law, (iv) any Capital Stock in the entities solely to the extent that the transfer or assignment of such Capital Stock is prohibited by contractual requirements applicable to the grantor holding such Capital Stock, including the requirements of the Organizational Documents of the issuer of such Capital Stock;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Capital Stock in any such entity shall no longer constitute an Excluded Security for purposes hereof if at any time the prohibitions on transfer or assignment of such Capital Stock are no longer applicable to such Person,</w:t>
      </w:r>
    </w:p>
    <w:p>
      <w:pPr>
        <w:spacing w:after="0" w:line="3" w:lineRule="exact"/>
        <w:rPr>
          <w:sz w:val="20"/>
          <w:szCs w:val="20"/>
          <w:color w:val="auto"/>
        </w:rPr>
      </w:pPr>
    </w:p>
    <w:p>
      <w:pPr>
        <w:ind w:left="4" w:right="200" w:hanging="4"/>
        <w:spacing w:after="0" w:line="255" w:lineRule="auto"/>
        <w:tabs>
          <w:tab w:leader="none" w:pos="259"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any Captive Insurance Subsidiary, Unrestricted Subsidiary, broker-dealer subsidiary, not-for-profit subsidiary, special purpose entity used for any permitted securitization facility, or Receivables Subsidiary, (vi) any Margin Stock, (vii) any Capital Stock issued by any Foreign Subsidiary and (viii) any Capital Stock that would otherwise be an Excluded Asset.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4" w:hanging="241"/>
        <w:spacing w:after="0"/>
        <w:tabs>
          <w:tab w:leader="none" w:pos="110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Wholly-Owned Subsidiary,</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117" w:lineRule="exact"/>
        <w:rPr>
          <w:rFonts w:ascii="Times New Roman" w:cs="Times New Roman" w:eastAsia="Times New Roman" w:hAnsi="Times New Roman"/>
          <w:sz w:val="18"/>
          <w:szCs w:val="18"/>
          <w:color w:val="auto"/>
        </w:rPr>
      </w:pPr>
    </w:p>
    <w:p>
      <w:pPr>
        <w:ind w:left="444" w:firstLine="419"/>
        <w:spacing w:after="0" w:line="255" w:lineRule="auto"/>
        <w:tabs>
          <w:tab w:leader="none" w:pos="1112"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prohibited or restricted by law, rule or regulation or contractual obligation existing on the Closing Date or at the time such Restricted Subsidiary becomes a Subsidiary (in the case of contractual obligations not existing on the Closing Date, pursuant to a contractual obligation not entered into expressly in contemplation of such Restricted Subsidiary becoming an Excluded Subsidiary) from providing a Loan Guarantee or that would require a governmental (including regulatory) or third party consent, approval, license or authorization to provide a Loan Guarantee (including under any financial assistance, corporate benefit, thin capitalization, capital maintenance, liquidity maintenance or similar legal principles) unless such consent has been received, it being understood that the Borrower and its subsidiaries shall have no obligation to seek or obtain any such consent, approval, license or authorization,</w:t>
      </w:r>
    </w:p>
    <w:p>
      <w:pPr>
        <w:spacing w:after="0" w:line="80"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not-for-profit subsidiary,</w:t>
      </w:r>
    </w:p>
    <w:p>
      <w:pPr>
        <w:spacing w:after="0" w:line="117" w:lineRule="exact"/>
        <w:rPr>
          <w:rFonts w:ascii="Times New Roman" w:cs="Times New Roman" w:eastAsia="Times New Roman" w:hAnsi="Times New Roman"/>
          <w:sz w:val="18"/>
          <w:szCs w:val="18"/>
          <w:color w:val="auto"/>
        </w:rPr>
      </w:pPr>
    </w:p>
    <w:p>
      <w:pPr>
        <w:ind w:left="444" w:right="680" w:firstLine="419"/>
        <w:spacing w:after="0" w:line="282" w:lineRule="auto"/>
        <w:tabs>
          <w:tab w:leader="none" w:pos="1112"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 subsidiary that is a broker-dealer, captive risk retention subsidiary or subsidiary that is a trust company,</w:t>
      </w:r>
    </w:p>
    <w:p>
      <w:pPr>
        <w:spacing w:after="0" w:line="53"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092"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entity (including a special purpose entity used for any permitted securitization or receivables facility or financing) and any Receivables Subsidiary,</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Foreign Subsidiary,</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Foreign Subsidiary Holding Company and (ii) any Subsidiary that is a subsidiary of any Specified Foreign Subsidiary,</w:t>
      </w:r>
    </w:p>
    <w:p>
      <w:pPr>
        <w:spacing w:after="0" w:line="117"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117" w:lineRule="exact"/>
        <w:rPr>
          <w:rFonts w:ascii="Times New Roman" w:cs="Times New Roman" w:eastAsia="Times New Roman" w:hAnsi="Times New Roman"/>
          <w:sz w:val="18"/>
          <w:szCs w:val="18"/>
          <w:color w:val="auto"/>
        </w:rPr>
      </w:pPr>
    </w:p>
    <w:p>
      <w:pPr>
        <w:jc w:val="both"/>
        <w:ind w:left="444" w:right="320" w:firstLine="419"/>
        <w:spacing w:after="0" w:line="261" w:lineRule="auto"/>
        <w:tabs>
          <w:tab w:leader="none" w:pos="1122"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acquired pursuant to a Permitted Acquisition or other Investment permitted by this Agreement that has assumed, or is otherwise an obligor under, Indebtedness not incurred in contemplation of such Permitted Acquisition or other Investment and any Restricted Subsidiary thereof that guarantees such Indebtedness, in each case to the extent the terms of such Indebtedness prohibit such subsidiary from becoming a Guarantor,</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369" w:name="page370"/>
    <w:bookmarkEnd w:id="369"/>
    <w:p>
      <w:pPr>
        <w:ind w:left="440" w:right="600" w:firstLine="419"/>
        <w:spacing w:after="0" w:line="282" w:lineRule="auto"/>
        <w:tabs>
          <w:tab w:leader="none" w:pos="1078"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Subsidiary if the provision of a Loan Guarantee could reasonably be expected to result in adverse tax or regulatory consequences to any Loan Party or any of its subsidiaries as determined by the Borrower in good faith ,</w:t>
      </w:r>
    </w:p>
    <w:p>
      <w:pPr>
        <w:spacing w:after="0" w:line="53"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68"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Subsidiary with respect to which, in the good faith judgment of the Administrative Agent and the Borrower, the burden or cost of providing a Loan Guarantee outweighs the benefits afforded thereby,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the capital requirements of which are subject to regulation by a Governmental Authority in respect of which the guaranteeing by such Subsidiary of the Obligations would, as determined by the Borrower in good faith, result in adverse regulatory consequences to such Subsidiary or impair the conduct of the business of such Subsidiary and any Subsidiary of such Subsidiary.</w:t>
      </w:r>
    </w:p>
    <w:p>
      <w:pPr>
        <w:spacing w:after="0" w:line="1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Loan Party, any Swap Obligation if, and to the extent that, all or a portion of the Loan Guarantee of such Loan Party of, or the grant by such Loan Party of a security interest to secure, such Swap Obligation (or any Loan Guarantee thereof) is or becomes illegal under the Commodity Exchange Act or any rule, regulation or order of the Commodity Futures Trading Commission (or the application or official interpretation of any thereof) by virtue of such Loan Party’s failure for any reason to constitute an “eligible contract participant” as defined in the Commodity Exchange Act and the regulations thereunder (determined after giving effect to Section 3.20 of the Loan Guarantee and any other “keepwell”, support or other agreement for the benefit of such Loan Party) at the time the Loan Guarantee of such Loan Party or the grant of such security interest becomes effective with respect to such Swap Obligation. If any Swap Obligation arises under a master agreement governing more than one swap, such exclusion shall apply only to the portion of such Swap Obligation that is attributable to swaps for which such Loan Guarantee or security interest is or becomes illegal.</w:t>
      </w:r>
    </w:p>
    <w:p>
      <w:pPr>
        <w:spacing w:after="0" w:line="18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any of the following Taxes imposed on or with respect to the Administrative Agent, any Lender, any Issuing Bank or required to be withheld or deducted from a payment to the Administrative Agent, any Lender or any Issuing Bank, (a) Taxes imposed on (or measured by) its net income (however denominated) and franchise Taxes (i) as a result of such recipient being organized or having its principal office or, in the case of any Lender, having its applicable lending office located in such jurisdiction (or any political subdivision thereof) or (ii) that are Other Connection Taxes, (b) any U.S. federal branch profits Taxes or any similar Taxes imposed by any other jurisdiction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that are Other Connection Taxes, (c) in the case of a Lender, U.S. federal withholding Tax that is imposed on amounts payable to or for the account of such Lender at the time such Lender becomes a party to this Agreement (or designates a new lending office), except (i) pursuant to an assignment or designation of a new lending office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(ii) to the extent that such Lender (or its assignor, if any) was entitled immediately prior to the time of designation of a new lending office (or assignment), to receive additional amounts from any Loan Party with respect to such withholding Tax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(d) any Taxes imposed as a result of a failure by such Administrative Agent, Lender or Issuing Bank to comply with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(e) any withholding Taxes imposed under FATCA.</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has the meaning assigned to such term in the definition of “Consolidated Adjusted EBITDA”.</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370" w:name="page371"/>
    <w:bookmarkEnd w:id="3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(to the extent required by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and the Borrower, executed by each of (a) the Borrower(s), (b) the Administrative Agent and (c) each Lender that has accepted the applicable Extension Offer pursuant hereto and in accordance with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any real property (including all buildings, fixtures or other improvements located thereon) now, hereafter or, except with respect to </w:t>
      </w:r>
      <w:r>
        <w:rPr>
          <w:rFonts w:ascii="Times New Roman" w:cs="Times New Roman" w:eastAsia="Times New Roman" w:hAnsi="Times New Roman"/>
          <w:sz w:val="18"/>
          <w:szCs w:val="18"/>
          <w:u w:val="single" w:color="auto"/>
          <w:color w:val="auto"/>
        </w:rPr>
        <w:t>Articles 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heretofore owned, leased, operated or used by the Borrower or any of its Restricted Subsidiaries or any of their respective predecessors or Affiliates.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Failed Auction</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w:t>
      </w:r>
      <w:r>
        <w:rPr>
          <w:rFonts w:ascii="Times New Roman" w:cs="Times New Roman" w:eastAsia="Times New Roman" w:hAnsi="Times New Roman"/>
          <w:sz w:val="18"/>
          <w:szCs w:val="18"/>
          <w:color w:val="auto"/>
        </w:rPr>
        <w:t>” means, with respect to a Contributing Guarantor as of any date of determination, an amount equal to (i) the ratio of (A) the Fair Share Contribution Amount with respect to such Contributing Guarantor to (B) the aggregate of the Fair Share Contribution Amounts with respect to all Contributing Guarantors multiplied by (ii) the aggregate amount paid or distributed on or before such date by all Funding Guarantors under the Loan Guarantee or any other Loan Document in respect of the Guaranteed Obligations.</w:t>
      </w:r>
    </w:p>
    <w:p>
      <w:pPr>
        <w:spacing w:after="0" w:line="176"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Share Contribution Amount</w:t>
      </w:r>
      <w:r>
        <w:rPr>
          <w:rFonts w:ascii="Times New Roman" w:cs="Times New Roman" w:eastAsia="Times New Roman" w:hAnsi="Times New Roman"/>
          <w:sz w:val="18"/>
          <w:szCs w:val="18"/>
          <w:color w:val="auto"/>
        </w:rPr>
        <w:t xml:space="preserve">” means, with respect to a Contributing Guarantor as of any date of determination, the maximum aggregate amount of the obligations of such Contributing Guarantor under the Loan Guarantee that would not render its obligations hereunder or thereunder subject to avoidance as a fraudulent transfer or conveyance under Section 548 of Title 11 of the United States Code or any comparable applicable provisions of any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solely for purposes of calculating the “Fair Share Contribution Amount” with respect to any Contributing Guarantor for purposes of this Agreement, any assets or liabilities of such Contributing Guarantor arising by virtue of any rights to subrogation, reimbursement or indemnification or any rights to or obligations of contribution hereunder shall not be considered as assets or liabilities of such Contributing Guarantor.</w:t>
      </w:r>
    </w:p>
    <w:p>
      <w:pPr>
        <w:spacing w:after="0" w:line="183" w:lineRule="exact"/>
        <w:rPr>
          <w:sz w:val="20"/>
          <w:szCs w:val="20"/>
          <w:color w:val="auto"/>
        </w:rPr>
      </w:pPr>
    </w:p>
    <w:p>
      <w:pPr>
        <w:ind w:right="3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as of the date of this Agreement (or any amended or successor version described above), any intergovernmental agreement, treaty or convention among Governmental Authorities (and any related legislation, rules or official administrative practice) implementing the foregoing.</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Assignment of Claims Act</w:t>
      </w:r>
      <w:r>
        <w:rPr>
          <w:rFonts w:ascii="Times New Roman" w:cs="Times New Roman" w:eastAsia="Times New Roman" w:hAnsi="Times New Roman"/>
          <w:sz w:val="18"/>
          <w:szCs w:val="18"/>
          <w:color w:val="auto"/>
        </w:rPr>
        <w:t>” means the Federal Assignment of Claims Act (41 U.S.C. § 15).</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6" w:right="459" w:bottom="1440" w:gutter="0" w:footer="0" w:header="0"/>
        </w:sectPr>
      </w:pPr>
    </w:p>
    <w:bookmarkStart w:id="371" w:name="page372"/>
    <w:bookmarkEnd w:id="371"/>
    <w:p>
      <w:pPr>
        <w:ind w:left="4" w:right="80" w:firstLine="440"/>
        <w:spacing w:after="0" w:line="28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Federal Funds Effective Rate</w:t>
      </w:r>
      <w:r>
        <w:rPr>
          <w:rFonts w:ascii="Times New Roman" w:cs="Times New Roman" w:eastAsia="Times New Roman" w:hAnsi="Times New Roman"/>
          <w:sz w:val="17"/>
          <w:szCs w:val="17"/>
          <w:color w:val="auto"/>
        </w:rPr>
        <w:t xml:space="preserve">” means, for any day, the rate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Federal Funds Effective Rate for any day is less than zero, the Federal Funds Rate for such day will be deemed to be zero.</w:t>
      </w:r>
    </w:p>
    <w:p>
      <w:pPr>
        <w:spacing w:after="0" w:line="161"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Fee Letter</w:t>
      </w:r>
      <w:r>
        <w:rPr>
          <w:rFonts w:ascii="Times New Roman" w:cs="Times New Roman" w:eastAsia="Times New Roman" w:hAnsi="Times New Roman"/>
          <w:sz w:val="18"/>
          <w:szCs w:val="18"/>
          <w:color w:val="auto"/>
        </w:rPr>
        <w:t>” means any of those certain fee letters, each dated as of October 5, 2025 and October 16, 2025, by and among, inter alios, the Borrower and the Agents and/or Arrangers party thereto, as amended to date.</w:t>
      </w:r>
    </w:p>
    <w:p>
      <w:pPr>
        <w:spacing w:after="0" w:line="155" w:lineRule="exact"/>
        <w:rPr>
          <w:sz w:val="20"/>
          <w:szCs w:val="20"/>
          <w:color w:val="auto"/>
        </w:rPr>
      </w:pPr>
    </w:p>
    <w:p>
      <w:pPr>
        <w:ind w:left="4" w:right="2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xml:space="preserve">” means, as applied to any Person, any lease of any property (whether real, personal or mixed) by such Person as lessee that, in conformity with GAAP (but subject to </w:t>
      </w:r>
      <w:r>
        <w:rPr>
          <w:rFonts w:ascii="Times New Roman" w:cs="Times New Roman" w:eastAsia="Times New Roman" w:hAnsi="Times New Roman"/>
          <w:sz w:val="18"/>
          <w:szCs w:val="18"/>
          <w:u w:val="single" w:color="auto"/>
          <w:color w:val="auto"/>
        </w:rPr>
        <w:t>Section 1.04(c)</w:t>
      </w:r>
      <w:r>
        <w:rPr>
          <w:rFonts w:ascii="Times New Roman" w:cs="Times New Roman" w:eastAsia="Times New Roman" w:hAnsi="Times New Roman"/>
          <w:sz w:val="18"/>
          <w:szCs w:val="18"/>
          <w:color w:val="auto"/>
        </w:rPr>
        <w:t xml:space="preserve">), is or should be accounted for as a finance lease on the balance sheet of that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the avoidance of doubt, the amount of obligations attributable to any Finance Lease shall be the amount thereof accounted for as a liability on such balance sheet (excluding the footnotes thereto) in accordance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amount of obligations attributable to any Finance Lease shall exclude any capitalized operating lease liabilities resulting from the adoption of ASC 842, Leases.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Leverage Ratio</w:t>
      </w:r>
      <w:r>
        <w:rPr>
          <w:rFonts w:ascii="Times New Roman" w:cs="Times New Roman" w:eastAsia="Times New Roman" w:hAnsi="Times New Roman"/>
          <w:sz w:val="18"/>
          <w:szCs w:val="18"/>
          <w:color w:val="auto"/>
        </w:rPr>
        <w:t>” means the ratio, as of any date of determination, of (a) Consolidated First Lien Debt as of such date to</w:t>
      </w:r>
    </w:p>
    <w:p>
      <w:pPr>
        <w:spacing w:after="0" w:line="31" w:lineRule="exact"/>
        <w:rPr>
          <w:sz w:val="20"/>
          <w:szCs w:val="20"/>
          <w:color w:val="auto"/>
        </w:rPr>
      </w:pPr>
    </w:p>
    <w:p>
      <w:pPr>
        <w:ind w:left="4" w:right="440" w:hanging="4"/>
        <w:spacing w:after="0" w:line="260" w:lineRule="auto"/>
        <w:tabs>
          <w:tab w:leader="none" w:pos="259"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Test Period then most recently ended or the Test Period otherwise specified where the term “First Lien Leverage Ratio” is used in this Agreement, in each case of the Borrower and its Restricted Subsidiaries on a consolidated basis.</w:t>
      </w:r>
    </w:p>
    <w:p>
      <w:pPr>
        <w:spacing w:after="0" w:line="177" w:lineRule="exact"/>
        <w:rPr>
          <w:sz w:val="20"/>
          <w:szCs w:val="20"/>
          <w:color w:val="auto"/>
        </w:rPr>
      </w:pPr>
    </w:p>
    <w:p>
      <w:pPr>
        <w:jc w:val="both"/>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Quarter</w:t>
      </w:r>
      <w:r>
        <w:rPr>
          <w:rFonts w:ascii="Times New Roman" w:cs="Times New Roman" w:eastAsia="Times New Roman" w:hAnsi="Times New Roman"/>
          <w:sz w:val="18"/>
          <w:szCs w:val="18"/>
          <w:color w:val="auto"/>
        </w:rPr>
        <w:t>” means a fiscal quarter of any Fiscal Year.</w:t>
      </w:r>
    </w:p>
    <w:p>
      <w:pPr>
        <w:spacing w:after="0" w:line="225"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Fiscal Year</w:t>
      </w:r>
      <w:r>
        <w:rPr>
          <w:rFonts w:ascii="Times New Roman" w:cs="Times New Roman" w:eastAsia="Times New Roman" w:hAnsi="Times New Roman"/>
          <w:sz w:val="18"/>
          <w:szCs w:val="18"/>
          <w:color w:val="auto"/>
        </w:rPr>
        <w:t>” means the fiscal year of the Borrower ending December 31 of each calendar year, as such fiscal year end may be adjusted in accordance with the terms of this Agreement.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Five Year Notes</w:t>
      </w:r>
      <w:r>
        <w:rPr>
          <w:rFonts w:ascii="Times New Roman" w:cs="Times New Roman" w:eastAsia="Times New Roman" w:hAnsi="Times New Roman"/>
          <w:sz w:val="18"/>
          <w:szCs w:val="18"/>
          <w:color w:val="auto"/>
        </w:rPr>
        <w:t>” has the meaning assigned to such term in the definition of Incremental Equivalent Debt.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Hazard Property</w:t>
      </w:r>
      <w:r>
        <w:rPr>
          <w:rFonts w:ascii="Times New Roman" w:cs="Times New Roman" w:eastAsia="Times New Roman" w:hAnsi="Times New Roman"/>
          <w:sz w:val="18"/>
          <w:szCs w:val="18"/>
          <w:color w:val="auto"/>
        </w:rPr>
        <w:t>” means any Material Real Estate Asset subject to a Mortgage if any building included in such Material Real Estate Asset is located in an area designated by the Federal Emergency Management Agency as having special flood hazards.</w:t>
      </w:r>
    </w:p>
    <w:p>
      <w:pPr>
        <w:spacing w:after="0" w:line="15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Laws</w:t>
      </w:r>
      <w:r>
        <w:rPr>
          <w:rFonts w:ascii="Times New Roman" w:cs="Times New Roman" w:eastAsia="Times New Roman" w:hAnsi="Times New Roman"/>
          <w:sz w:val="18"/>
          <w:szCs w:val="18"/>
          <w:color w:val="auto"/>
        </w:rPr>
        <w:t>” means, collectively, (i) the National Flood Insurance Act of 1968, (ii) the Flood Disaster Protection Act of 1973, (iii) the National Flood Insurance Reform Act of 1994, (iv) the Flood Insurance Reform Act of 2004 and (v) the Biggert-Waters Flood Insurance Reform Act of 2012, each as now or hereafter in effect or any successor statute thereto, and in each case, together with all statutory and regulatory provisions consolidating, amending, replacing, supplementing, implementing or interpreting any of the foregoing, as amended or modified from time to time.</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84"/>
          </w:cols>
          <w:pgMar w:left="436" w:top="266" w:right="479" w:bottom="1440" w:gutter="0" w:footer="0" w:header="0"/>
        </w:sectPr>
      </w:pPr>
    </w:p>
    <w:bookmarkStart w:id="372" w:name="page373"/>
    <w:bookmarkEnd w:id="37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Restricted Subsidiary that is not a U.S. Subsidiary.</w:t>
      </w:r>
    </w:p>
    <w:p>
      <w:pPr>
        <w:spacing w:after="0" w:line="22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 Holding Company</w:t>
      </w:r>
      <w:r>
        <w:rPr>
          <w:rFonts w:ascii="Times New Roman" w:cs="Times New Roman" w:eastAsia="Times New Roman" w:hAnsi="Times New Roman"/>
          <w:sz w:val="18"/>
          <w:szCs w:val="18"/>
          <w:color w:val="auto"/>
        </w:rPr>
        <w:t>” means any Subsidiary that owns (directly or indirectly) no material assets other than the Capital Stock and/or Indebtedness of one or more Specified Foreign Subsidiaries or other Foreign Subsidiary Holding Companies.</w:t>
      </w:r>
    </w:p>
    <w:p>
      <w:pPr>
        <w:spacing w:after="0" w:line="155" w:lineRule="exact"/>
        <w:rPr>
          <w:sz w:val="20"/>
          <w:szCs w:val="20"/>
          <w:color w:val="auto"/>
        </w:rPr>
      </w:pPr>
    </w:p>
    <w:p>
      <w:pPr>
        <w:ind w:left="4" w:right="5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xml:space="preserve">” means that certain registration statement on Form 10 under the Exchange Act originally filed by the Borrower with the SEC on [September 18, 2025], together with all exhibits (including all schedules and appendices thereto) and the related information statement (each as amended, restated, amended and restated, supplemented or otherwise modified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restatement, amendment and restatement, supplement or other modification has the effect of modifying the terms of the Separation Agreements in a manner materially adverse to the interests of the Lenders (in their capacities as such), as determined by the Borrower in good faith.</w:t>
      </w:r>
      <w:r>
        <w:rPr>
          <w:rFonts w:ascii="Times New Roman" w:cs="Times New Roman" w:eastAsia="Times New Roman" w:hAnsi="Times New Roman"/>
          <w:sz w:val="26"/>
          <w:szCs w:val="26"/>
          <w:color w:val="auto"/>
          <w:vertAlign w:val="superscript"/>
        </w:rPr>
        <w:t>1</w:t>
      </w:r>
    </w:p>
    <w:p>
      <w:pPr>
        <w:spacing w:after="0" w:line="4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U.S. in effect and applicable to the accounting period in respect of which reference to GAAP is made.</w:t>
      </w:r>
    </w:p>
    <w:p>
      <w:pPr>
        <w:spacing w:after="0" w:line="155" w:lineRule="exact"/>
        <w:rPr>
          <w:sz w:val="20"/>
          <w:szCs w:val="20"/>
          <w:color w:val="auto"/>
        </w:rPr>
      </w:pPr>
    </w:p>
    <w:p>
      <w:pPr>
        <w:jc w:val="both"/>
        <w:ind w:left="4"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of either thereof.</w:t>
      </w:r>
    </w:p>
    <w:p>
      <w:pPr>
        <w:spacing w:after="0" w:line="176"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Authorization</w:t>
      </w:r>
      <w:r>
        <w:rPr>
          <w:rFonts w:ascii="Times New Roman" w:cs="Times New Roman" w:eastAsia="Times New Roman" w:hAnsi="Times New Roman"/>
          <w:sz w:val="18"/>
          <w:szCs w:val="18"/>
          <w:color w:val="auto"/>
        </w:rPr>
        <w:t>” means any permit, license, authorization, plan, directive, consent order or consent decree of or from any Governmental Authority.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(solely for purposes of this definition, the “</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any obligation, contingent or otherwise, of the Guarantor guaranteeing or having the economic effect of guaranteeing any Indebtedness or other monetary obligation of any other Person (the “</w:t>
      </w:r>
      <w:r>
        <w:rPr>
          <w:rFonts w:ascii="Times New Roman" w:cs="Times New Roman" w:eastAsia="Times New Roman" w:hAnsi="Times New Roman"/>
          <w:sz w:val="18"/>
          <w:szCs w:val="18"/>
          <w:b w:val="1"/>
          <w:bCs w:val="1"/>
          <w:color w:val="auto"/>
        </w:rPr>
        <w:t>Primary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Obligor</w:t>
      </w:r>
      <w:r>
        <w:rPr>
          <w:rFonts w:ascii="Times New Roman" w:cs="Times New Roman" w:eastAsia="Times New Roman" w:hAnsi="Times New Roman"/>
          <w:sz w:val="18"/>
          <w:szCs w:val="18"/>
          <w:color w:val="auto"/>
        </w:rPr>
        <w:t>”) in any manner and including any obligation of the Guarantor (a) to purchase or pay (or advance or supply funds for the purchase or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such Indebtedness or other monetary obligation or to purchase (or to advance or supply funds for the purchase of) any security for the payment thereof, (b) to purchase or lease property, securities or services for the purpose of assuring the owner of such Indebtedness or other monetary obligation of the payment thereof, (c) to maintain working capital, equity capital or any other financial statement condition or liquidity of the Primary Obligor so as to enable the Primary Obligor to pay such Indebtedness or other monetary obligation, (d) as an account party in respect of any letter of credit or letter of guarantee issued to support such Indebtedness or monetary obligation, (e) entered into for the purpose of assuring in any other manner the obligee in respect of such Indebtedness or other monetary obligation of the payment or performance thereof or to protect such obligee against loss in respect thereof (in whole or in part) or (f) 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“Guarantee” shall not include endorsements for collection or deposit in the ordinary course of business, or customary and reasonable indemnity obligations in effect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90170</wp:posOffset>
            </wp:positionV>
            <wp:extent cx="77152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8" w:lineRule="exact"/>
        <w:rPr>
          <w:sz w:val="20"/>
          <w:szCs w:val="20"/>
          <w:color w:val="auto"/>
        </w:rPr>
      </w:pPr>
    </w:p>
    <w:p>
      <w:pPr>
        <w:ind w:left="224" w:hanging="224"/>
        <w:spacing w:after="0"/>
        <w:tabs>
          <w:tab w:leader="none" w:pos="224" w:val="left"/>
        </w:tabs>
        <w:numPr>
          <w:ilvl w:val="0"/>
          <w:numId w:val="48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NTD: To be updated for most recent Form 10 filed prior to closing.</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66" w:right="459" w:bottom="1440" w:gutter="0" w:footer="0" w:header="0"/>
        </w:sectPr>
      </w:pPr>
    </w:p>
    <w:bookmarkStart w:id="373" w:name="page374"/>
    <w:bookmarkEnd w:id="373"/>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Closing Date or entered into in connection with any acquisition, Disposition or other transaction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(i) the Borrower (other than with respect to its own Obligations) and (ii) each Subsidiary Guarantor from time to time.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chemical, material, substance or waste, or any constituent thereof, which is prohibited, limited or regulated by any Environmental Law due to its hazardous, toxic or similar characteristics, including any chemical, material, substance or waste defined or listed as “hazardous” or “toxic” in any Environmental Law.</w:t>
      </w:r>
    </w:p>
    <w:p>
      <w:pPr>
        <w:spacing w:after="0" w:line="171"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 Activity</w:t>
      </w:r>
      <w:r>
        <w:rPr>
          <w:rFonts w:ascii="Times New Roman" w:cs="Times New Roman" w:eastAsia="Times New Roman" w:hAnsi="Times New Roman"/>
          <w:sz w:val="18"/>
          <w:szCs w:val="18"/>
          <w:color w:val="auto"/>
        </w:rPr>
        <w:t>” means the use, manufacture, storage, Release, threatened Release, discharge, generation, transportation, processing, treatment, abatement, removal, investigation, remediation, disposal, disposition or handling of any Hazardous Material, and any corrective action or response action with respect to any of the foregoing.</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Derivative Transaction between any Loan Party or any Restricted Subsidiary and any other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Hedging Obligations</w:t>
      </w:r>
      <w:r>
        <w:rPr>
          <w:rFonts w:ascii="Times New Roman" w:cs="Times New Roman" w:eastAsia="Times New Roman" w:hAnsi="Times New Roman"/>
          <w:sz w:val="18"/>
          <w:szCs w:val="18"/>
          <w:color w:val="auto"/>
        </w:rPr>
        <w:t>” means, with respect to any Person, the obligations of such Person under any Hedge Agreement.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xml:space="preserve">” means international accounting standards within the meaning of the IAS Regulation 1606/2002, as in effect from time to time (subject to the provisions of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to the extent applicable to the relevant financial statements.</w:t>
      </w:r>
    </w:p>
    <w:p>
      <w:pPr>
        <w:spacing w:after="0" w:line="15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xml:space="preserve">” means, as of any date, any Restricted Subsidiary of the Borrower (1) that does not have assets in excess of 5.0% of Consolidated Total Assets of the Borrower and its Restricted Subsidiaries and (2) that does not contribute Consolidated Adjusted EBITDA in excess of 5.0% of the Consolidated Adjusted EBITDA of the Borrower and its Restricted Subsidiaries, in each case,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Consolidated Total Assets and Consolidated Adjusted EBITDA (as so determined) of all Immaterial Subsidiaries shall not exceed 10.0% of Consolidated Total Assets and 10.0% of Consolidated Adjusted EBITDA, in each case, of the Borrower and its Restricted Subsidiaries as of the last day of the most recently ended Test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at all times prior to the first delivery of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this definition shall be applied based on the pro forma combined financial statements of the Borrower delivered to the Arrangers prior to the Closing Date. For the avoidance of doubt, the Borrower may elect for a Restricted Subsidiary that is an Immaterial Subsidiary to provide a Loan Guarantee, but not pledge any Collateral that would otherwise be required, in which case such Immaterial Subsidiary shall continue to be counted as such for purposes of determinations hereunder. The Restricted Subsidiaries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are designated Immaterial Subsidiaries as of the Closing Date.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374" w:name="page375"/>
    <w:bookmarkEnd w:id="374"/>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Immediate Family Member</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domestic partner, former domestic partner, sibling or step-sibling (and any linear descendant thereof), mother-in-law, father-in-law, son-in-law and daughter-in-law (including adoptive relationships), any trust, partnership or other bona fide estate-planning vehicle the only beneficiaries of which are any of the foregoing individuals, any of the foregoing individual’s (including the initial individual’s) estate (or an executor or administrator acting on its behalf), heirs or legatees or any private foundation or fund that is controlled by any of the foregoing individuals or any donor-advised fund of which any such individual is the donor.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Cap</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Shared Incremental Amount, plus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effectively extends the Maturity Date with respect to any Class of Loans and/or commitments hereunder or maturity date with respect to any Pro Rata Facilities or Other Secured Debt, an amount equal to the portion of the relevant Class of Loans or commitments, Pro Rata Facilities or Other Secured Debt that will be replaced by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plus</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1" w:lineRule="auto"/>
        <w:tabs>
          <w:tab w:leader="none" w:pos="110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Facility, Incremental Equivalent Debt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effectively replaces any Revolving Credit Commitment or Term Loan terminated in accordance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hereof or any Pro Rata Facility or Other Secured Debt terminated in accordance with an equivalent provision, an amount equal to the relevant terminated Revolving Credit Commitment, Term Loan, Pro Rata Facility or Other Secured Debt, plus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69" w:lineRule="auto"/>
        <w:tabs>
          <w:tab w:leader="none" w:pos="1118" w:val="left"/>
        </w:tabs>
        <w:numPr>
          <w:ilvl w:val="0"/>
          <w:numId w:val="4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amount of any optional prepayment of any Loan (including any Incremental Loan) in accordance with </w:t>
      </w:r>
      <w:r>
        <w:rPr>
          <w:rFonts w:ascii="Times New Roman" w:cs="Times New Roman" w:eastAsia="Times New Roman" w:hAnsi="Times New Roman"/>
          <w:sz w:val="17"/>
          <w:szCs w:val="17"/>
          <w:u w:val="single" w:color="auto"/>
          <w:color w:val="auto"/>
        </w:rPr>
        <w:t>Section 2.11(a)</w:t>
      </w:r>
      <w:r>
        <w:rPr>
          <w:rFonts w:ascii="Times New Roman" w:cs="Times New Roman" w:eastAsia="Times New Roman" w:hAnsi="Times New Roman"/>
          <w:sz w:val="17"/>
          <w:szCs w:val="17"/>
          <w:color w:val="auto"/>
        </w:rPr>
        <w:t xml:space="preserve"> and/or the amount of any permanent reduction of any Revolving Credit Commitment, (ii) the amount of any optional prepayment, redemption, repurchase or retirement of, and/or any permanent reduction in commitments in respect of, Incremental Equivalent Debt,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Pro Rata Facilities or Other Secured Debt (in each case in the case of any revolving facility, to the extent accompanied by a permanent reduction in commitments), (iii) the amount of any optional prepayment, redemption, repurchase or retirement of, and/or any permanent reduction in commitments in respect of, any Replacement Term Loans or Loans under any Replacement Revolving Facility (to the extent accompanied by a permanent reduction in commitments) or any borrowing or issuance of Replacement Debt (in the case of any revolving facility, to the extent accompanied by a permanent reduction in commitments) previously applied to the permanent prepayment of, and/or any permanent reduction in commitments in respect of, any Loan hereunder or of any Incremental Equivalent Debt, any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any Pro Rata Facility or Other Secured Debt, (iv) the aggregate amount of any Indebtedness referred to in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repaid or retired resulting from any assignment of such Indebtedness to (and/or assignment and/or purchase of such Indebtedness by) the Borrower and/or any Restricted Subsidiary;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each of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the relevant prepayment, redemption, repurchase, retirement, assignment and/or purchase was not funded with the proceeds of any long-term Indebtedness (other than revolving Indebtedness), plus</w:t>
      </w:r>
    </w:p>
    <w:p>
      <w:pPr>
        <w:spacing w:after="0" w:line="67" w:lineRule="exact"/>
        <w:rPr>
          <w:rFonts w:ascii="Times New Roman" w:cs="Times New Roman" w:eastAsia="Times New Roman" w:hAnsi="Times New Roman"/>
          <w:sz w:val="17"/>
          <w:szCs w:val="17"/>
          <w:color w:val="auto"/>
        </w:rPr>
      </w:pPr>
    </w:p>
    <w:p>
      <w:pPr>
        <w:ind w:left="440" w:right="80" w:firstLine="419"/>
        <w:spacing w:after="0" w:line="261" w:lineRule="auto"/>
        <w:tabs>
          <w:tab w:leader="none" w:pos="1108"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unlimited amount so long as, in the case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on a Pro Forma Basis after giving effect to the incurrence of the Incremental Facility, the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as applicable, and the application of the proceeds thereof (without netting cash funded to the consolidated balance sheet of the Borrower that is not otherwise applied to consummate the relevant Subject Transaction) and to any relevant Subject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66" w:right="439" w:bottom="1440" w:gutter="0" w:footer="0" w:header="0"/>
        </w:sectPr>
      </w:pPr>
    </w:p>
    <w:bookmarkStart w:id="375" w:name="page376"/>
    <w:bookmarkEnd w:id="375"/>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Transaction (and, in the case of any Incremental Revolving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in the form of revolving loans or a revolving facility then being established, assuming a full drawing thereunder), (i) if such Indebtedness is secured by a first priority Lien on the Collateral, the First Lien Leverage Ratio does not exceed 2.00:1.00, (ii) if such Indebtedness is secured by a Lien on the Collateral other than on a first priority basis, the Secured Leverage Ratio does not exceed 2.50:1.00 and (iii) if such Indebtedness is unsecured or is secured by a Lien on assets that do not constitute Collateral, at the election of the Borrower, the Total Leverage Ratio does not exceed the greater of (x) 3.00:1.00 and (y) the Total Leverage Ratio as of the last day of the most recently ended Test Period;</w:t>
      </w:r>
    </w:p>
    <w:p>
      <w:pPr>
        <w:spacing w:after="0" w:line="79"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17" w:lineRule="exact"/>
        <w:rPr>
          <w:sz w:val="20"/>
          <w:szCs w:val="20"/>
          <w:color w:val="auto"/>
        </w:rPr>
      </w:pPr>
    </w:p>
    <w:p>
      <w:pPr>
        <w:ind w:left="4" w:right="80" w:firstLine="419"/>
        <w:spacing w:after="0" w:line="266" w:lineRule="auto"/>
        <w:tabs>
          <w:tab w:leader="none" w:pos="681"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Facility, Incremental Equivalent Debt and/or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may be incurred under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definition as selected by the Borrower in its sole discretion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an Incremental Facility may be incurred only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thereof),</w:t>
      </w:r>
    </w:p>
    <w:p>
      <w:pPr>
        <w:spacing w:after="0" w:line="67" w:lineRule="exact"/>
        <w:rPr>
          <w:rFonts w:ascii="Times New Roman" w:cs="Times New Roman" w:eastAsia="Times New Roman" w:hAnsi="Times New Roman"/>
          <w:sz w:val="18"/>
          <w:szCs w:val="18"/>
          <w:color w:val="auto"/>
        </w:rPr>
      </w:pPr>
    </w:p>
    <w:p>
      <w:pPr>
        <w:ind w:left="4" w:right="480" w:firstLine="419"/>
        <w:spacing w:after="0" w:line="276" w:lineRule="auto"/>
        <w:tabs>
          <w:tab w:leader="none" w:pos="681" w:val="left"/>
        </w:tabs>
        <w:numPr>
          <w:ilvl w:val="1"/>
          <w:numId w:val="4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is intended to be incurred or implemented under </w:t>
      </w:r>
      <w:r>
        <w:rPr>
          <w:rFonts w:ascii="Times New Roman" w:cs="Times New Roman" w:eastAsia="Times New Roman" w:hAnsi="Times New Roman"/>
          <w:sz w:val="17"/>
          <w:szCs w:val="17"/>
          <w:u w:val="single" w:color="auto"/>
          <w:color w:val="auto"/>
        </w:rPr>
        <w:t>clause (e)</w:t>
      </w:r>
      <w:r>
        <w:rPr>
          <w:rFonts w:ascii="Times New Roman" w:cs="Times New Roman" w:eastAsia="Times New Roman" w:hAnsi="Times New Roman"/>
          <w:sz w:val="17"/>
          <w:szCs w:val="17"/>
          <w:color w:val="auto"/>
        </w:rPr>
        <w:t xml:space="preserve"> of this definition and any other clause of this definition in a single transaction or series of related transactions,</w:t>
      </w:r>
    </w:p>
    <w:p>
      <w:pPr>
        <w:ind w:left="4" w:right="40" w:hanging="4"/>
        <w:spacing w:after="0" w:line="252" w:lineRule="auto"/>
        <w:tabs>
          <w:tab w:leader="none" w:pos="298"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of the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to be incurred or implemented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 shall be calculated first without giving effect to any Incremental Facilities,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to be incurred or implemented under any other clause of this definition, but giving full pro forma effect to the use of proceeds of the entire amount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and the related transactions and (B) the incurrence of the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to be incurred or implemented under the other applicable clauses of this definition shall be calculated thereafter,</w:t>
      </w:r>
    </w:p>
    <w:p>
      <w:pPr>
        <w:spacing w:after="0" w:line="80" w:lineRule="exact"/>
        <w:rPr>
          <w:rFonts w:ascii="Times New Roman" w:cs="Times New Roman" w:eastAsia="Times New Roman" w:hAnsi="Times New Roman"/>
          <w:sz w:val="18"/>
          <w:szCs w:val="18"/>
          <w:color w:val="auto"/>
        </w:rPr>
      </w:pPr>
    </w:p>
    <w:p>
      <w:pPr>
        <w:ind w:left="4" w:firstLine="419"/>
        <w:spacing w:after="0" w:line="255" w:lineRule="auto"/>
        <w:tabs>
          <w:tab w:leader="none" w:pos="681"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portion of any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that is incurred or implemented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definition, unless otherwise elected by the Borrower, shall automatically and without need for action by any Person, be reclassified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 if, at any time after the incurrence or implementation thereof, when financial statements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are delivered or, at the Borrower’s election, become internally available, such portion of such Incremental Facility,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would, using the figures reflected in such financial statements, be (or have been) permitted under the First Lien Leverage Ratio, Secured Leverage Ratio or Total Leverage Ratio test, as applicable,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this definition,</w:t>
      </w:r>
    </w:p>
    <w:p>
      <w:pPr>
        <w:spacing w:after="0" w:line="80" w:lineRule="exact"/>
        <w:rPr>
          <w:rFonts w:ascii="Times New Roman" w:cs="Times New Roman" w:eastAsia="Times New Roman" w:hAnsi="Times New Roman"/>
          <w:sz w:val="18"/>
          <w:szCs w:val="18"/>
          <w:color w:val="auto"/>
        </w:rPr>
      </w:pPr>
    </w:p>
    <w:p>
      <w:pPr>
        <w:ind w:left="4" w:right="80" w:firstLine="419"/>
        <w:spacing w:after="0" w:line="261" w:lineRule="auto"/>
        <w:tabs>
          <w:tab w:leader="none" w:pos="681" w:val="left"/>
        </w:tabs>
        <w:numPr>
          <w:ilvl w:val="1"/>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Incremental Equivalent Debt 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in the form of revolving loans or a revolving facility, if a full drawing thereunder is permitted at the time the commitments in respect thereof are established (as determined in accordance with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then the obligors thereunder may thereafter borrow, repay, prepay and reborrow amounts thereunder, in whole or in part, from time to time, without further compliance with the provisions of this definition, and</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64"/>
          </w:cols>
          <w:pgMar w:left="876" w:top="270" w:right="459" w:bottom="1440" w:gutter="0" w:footer="0" w:header="0"/>
        </w:sectPr>
      </w:pPr>
    </w:p>
    <w:bookmarkStart w:id="376" w:name="page377"/>
    <w:bookmarkEnd w:id="376"/>
    <w:p>
      <w:pPr>
        <w:ind w:left="440" w:right="40" w:firstLine="419"/>
        <w:spacing w:after="0" w:line="272" w:lineRule="auto"/>
        <w:tabs>
          <w:tab w:leader="none" w:pos="1118" w:val="left"/>
        </w:tabs>
        <w:numPr>
          <w:ilvl w:val="0"/>
          <w:numId w:val="4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ratio calculated for purposes of determining the “Incremental Cap” shall be calculated on a Pro Forma Basis after giving effect to the incurrence of any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and the use of proceeds thereof ((a) assuming that the full amount of any Incremental Revolving Facility being established at such time is fully drawn and (b) treating, at the option of the Borrower, any Indebtedness constituting delayed draw term loan commitments then being incurred as (i) fully drawn, (ii) disregarded for purpose of testing such financial ratio so long as, upon funding, such Indebtedness would satisfy the applicable financial ratio test or (iii) a combination of being partially drawn and otherwise subject to the foregoing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but without giving effect to any simultaneous incurrence of any (i) Revolving Loans or (ii) Incremental Facility, Incremental Equivalent Debt or Indebtedness under </w:t>
      </w:r>
      <w:r>
        <w:rPr>
          <w:rFonts w:ascii="Times New Roman" w:cs="Times New Roman" w:eastAsia="Times New Roman" w:hAnsi="Times New Roman"/>
          <w:sz w:val="17"/>
          <w:szCs w:val="17"/>
          <w:u w:val="single" w:color="auto"/>
          <w:color w:val="auto"/>
        </w:rPr>
        <w:t>Section 6.01(n)(2)</w:t>
      </w:r>
      <w:r>
        <w:rPr>
          <w:rFonts w:ascii="Times New Roman" w:cs="Times New Roman" w:eastAsia="Times New Roman" w:hAnsi="Times New Roman"/>
          <w:sz w:val="17"/>
          <w:szCs w:val="17"/>
          <w:color w:val="auto"/>
        </w:rPr>
        <w:t xml:space="preserve"> made pursuant to the Shared Incremental Amount) for the most recently ended Test Period as of such date and subject to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to the extent applicable.</w:t>
      </w:r>
    </w:p>
    <w:p>
      <w:pPr>
        <w:spacing w:after="0" w:line="168"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Commitment</w:t>
      </w:r>
      <w:r>
        <w:rPr>
          <w:rFonts w:ascii="Times New Roman" w:cs="Times New Roman" w:eastAsia="Times New Roman" w:hAnsi="Times New Roman"/>
          <w:sz w:val="18"/>
          <w:szCs w:val="18"/>
          <w:color w:val="auto"/>
        </w:rPr>
        <w:t>” means any commitment made by a lender to provide all or any portion of any Incremental Facility or Incremental Loans.</w:t>
      </w:r>
    </w:p>
    <w:p>
      <w:pPr>
        <w:spacing w:after="0" w:line="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means any Indebtedness that satisfies the following conditions:</w:t>
      </w:r>
    </w:p>
    <w:p>
      <w:pPr>
        <w:spacing w:after="0" w:line="121" w:lineRule="exact"/>
        <w:rPr>
          <w:sz w:val="20"/>
          <w:szCs w:val="20"/>
          <w:color w:val="auto"/>
        </w:rPr>
      </w:pPr>
    </w:p>
    <w:p>
      <w:pPr>
        <w:ind w:left="440" w:right="240" w:firstLine="419"/>
        <w:spacing w:after="0" w:line="282" w:lineRule="auto"/>
        <w:tabs>
          <w:tab w:leader="none" w:pos="110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outstanding principal amount thereof does not exceed the Incremental Cap as in effect at the time of determination (after giving effect to any reclassification on or prior to such date of determination),</w:t>
      </w:r>
    </w:p>
    <w:p>
      <w:pPr>
        <w:spacing w:after="0" w:line="16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unless such Indebtedness is in the form of revolving loans or a revolving facility, the Weighted Average Life to Maturity of such Indebtedness is no shorter than the remaining Weighted Average Life to Maturity of the Initial Term Loans and the final maturity date of such Indebtedness is no earlier than the Initial Term Loan Maturity Date, in each case as determined on the date of issuance or incurrence, as applicable,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limitations shall not apply to (i)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(other than revolving loans)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(ii) 364-day bridge loans, (iii) escrowed debt subject to a customary special mandatory redemption, (iv) notes or other debt securities with a final stated maturity of five years or greater (and, in each case, any additional or other notes or other debt securities issued under the same indenture or purchase agreement as such notes or other debt securities or under the same indenture or purchase agreement as the Other Secured Debt in each case with a final stated maturity of no shorter than that of such initially issued notes or other debt securities or Other Secured Debt, as applicable) (any such notes referred to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Five Year Notes</w:t>
      </w:r>
      <w:r>
        <w:rPr>
          <w:rFonts w:ascii="Times New Roman" w:cs="Times New Roman" w:eastAsia="Times New Roman" w:hAnsi="Times New Roman"/>
          <w:sz w:val="18"/>
          <w:szCs w:val="18"/>
          <w:color w:val="auto"/>
        </w:rPr>
        <w:t>”), (v) convertible notes or other convertible debt securities and (vi) Customary Term A Loans,</w:t>
      </w:r>
    </w:p>
    <w:p>
      <w:pPr>
        <w:spacing w:after="0" w:line="189"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0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Indebtedness may otherwise have an amortization schedule as determined by the Borrower and the lenders providing such Indebtedness,</w:t>
      </w:r>
    </w:p>
    <w:p>
      <w:pPr>
        <w:spacing w:after="0" w:line="161"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secured by assets that constitute Collateral, the holders of such Indebtedness (or a representative therefor) shall be party to an Acceptable Intercreditor Agreement, and</w:t>
      </w:r>
    </w:p>
    <w:p>
      <w:pPr>
        <w:spacing w:after="0" w:line="161"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108"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to the extent secured on a pari passu basis with the Initial Term Loans, on a pro rata basis (but not on a greater than pro rata basis other than in the case of a prepayment with proceeds of Indebtedness refinancing such Incremental Equivalent Debt)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or less than a pro rata basis with the then-outstanding Term Facility.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377" w:name="page378"/>
    <w:bookmarkEnd w:id="37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(solely for purposes of giving effect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the Borrower executed by each of (a) the Borrower, (b) the Administrative Agent and (c) each Lender that agrees to provide all or any portion of the Incremental Facility being incurred pursuant thereto and in accordance with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means, with respect to any Incremental Revolving Facility, each Revolving Lender providing any portion of such Incremental Revolving Facility.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Incurrence-Based Amounts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1.04(g)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as applied to any Person means, without duplication, (a) all indebtedness of such Person for borrowed money; (b) that portion of obligations with respect to Finance Leases of such Person to the extent recorded as a liability on a balance sheet (excluding the footnotes thereto) of such Person prepared in accordance with GAAP; (c) all obligations of such Person evidenced by bonds, debentures, notes or similar instruments to the extent the same would appear as a liability on a balance sheet (excluding the footnotes thereto) of such Person prepared in accordance with GAAP;</w:t>
      </w:r>
    </w:p>
    <w:p>
      <w:pPr>
        <w:spacing w:after="0" w:line="3" w:lineRule="exact"/>
        <w:rPr>
          <w:sz w:val="20"/>
          <w:szCs w:val="20"/>
          <w:color w:val="auto"/>
        </w:rPr>
      </w:pPr>
    </w:p>
    <w:p>
      <w:pPr>
        <w:ind w:left="4" w:hanging="4"/>
        <w:spacing w:after="0" w:line="251" w:lineRule="auto"/>
        <w:tabs>
          <w:tab w:leader="none" w:pos="259"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obligation of such Person owed for all or any part of the deferred purchase price of property or services (excluding (w) any earn out obligation, purchase price adjustment or other similar obligation until such obligation (A) becomes a liability on the balance sheet of such Person (excluding the footnotes thereto) in accordance with GAAP and (B) has not been paid within 60 days after becoming due and payable following expiration of any dispute resolution mechanics set forth in the applicable agreement governing the applicable transaction, (x) any such obligations incurred under ERISA or under any employee consulting agreements, (y) accrued expenses, trade accounts payable, accruals for payroll and other liabilities accrued in the ordinary course of business (including on an intercompany basis) and (z) liabilities associated with customer prepayments and deposits), which purchase price is (i) due more than twelve months from the date of incurrence of the obligation in respect thereof or (ii) evidenced by a note or similar written instrument and, in each case, to the extent the same would appear as a liability on the balance sheet of such Person (excluding the footnotes thereto) prepared in accordance with GAAP; (e) all Indebtedness (excluding prepaid interest thereon) of others secured by any Lien on any property or asset owned or held by such Person regardless of whether the Indebtedness secured thereby has been assumed by such Person or is non-recourse to the credit of such Person; (f) the face amount of any letter of credit issued for the account of such Person or as to which such Person is otherwise liable for reimbursement of drawings; (g) the Guarantee by such Person of the Indebtedness of another; (h) all obligations of such Person in respect of any Disqualified Capital Stock; and (i) all net obligations of such Person in respect of any Derivative Transaction, including any Hedge Agreement, whether or not entered into for hedging or speculative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no event shall obligations under or in respect of any Derivative Transaction or Non-Finance Lease Obligation be deemed “Indebtedness” for any calculation of the Total Leverage Ratio, the First Lien Leverage Ratio, the Secured Leverage Ratio or any other financial ratio</w:t>
      </w:r>
    </w:p>
    <w:p>
      <w:pPr>
        <w:spacing w:after="0" w:line="12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4"/>
          </w:cols>
          <w:pgMar w:left="436" w:top="266" w:right="479" w:bottom="1440" w:gutter="0" w:footer="0" w:header="0"/>
        </w:sectPr>
      </w:pPr>
    </w:p>
    <w:bookmarkStart w:id="378" w:name="page379"/>
    <w:bookmarkEnd w:id="378"/>
    <w:p>
      <w:pPr>
        <w:ind w:right="2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this Agreement, (ii) the amount of Indebtedness of any Person for purposes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deemed to be equal to the lesser of (A) the aggregate unpaid amount of such Indebtedness (or such lower amount of maximum liability as is expressly provided for under the documentation pursuant to which the respective Lien is granted) and (B) the fair market value of the property encumbered thereby as determined by such Person in good faith, (iii) the accrual of interest or dividends, the accretion of accreted value, the accretion or amortization of original issue discount and the payment of interest or dividends in the form of additional Indebtedness of the same class shall not be deemed “Indebtedness”, (iv) obligations of such Person (other than indebtedness of such Person for borrowed money) arising from Separation Agreements shall not be deemed “Indebtedness” and (v) for the avoidance of doubt, no Permitted Bond Hedge Transaction or Permitted Warrant Transaction shall constitute Indebtedness.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For all purposes hereof, the Indebtedness of any Person shall include the Indebtedness of any partnership or any Joint Venture (other than any Joint Venture that is itself a corporation or limited liability company) in which such Person is a general partner or a joint venturer to the extent such Person would be liable therefor under applicable Requirements of Law or any agreement or instrument by virtue of such Person’s ownership interest in such partnership or Joint Venture, except to the extent such Person’s liability for such Indebtedness is otherwise limited and only to the extent such Indebtedness would otherwise be included in the calculation of Consolidated Total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hereunder as a result of accounting for any embedded derivative created by the terms of such Indebtedness (it being understood that any such amounts that would have constituted Indebtedness hereunder but for the application of this proviso shall not be deemed to be an incurrence of Indebtedness hereunder).</w:t>
      </w:r>
    </w:p>
    <w:p>
      <w:pPr>
        <w:spacing w:after="0" w:line="183"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Taxes, other than Excluded Taxes, imposed on or with respect to any payment made by or on account of any obligation of any Loan Party under any Loan Document and (b) to the extent not otherwise described in (a), Other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Lender</w:t>
      </w:r>
      <w:r>
        <w:rPr>
          <w:rFonts w:ascii="Times New Roman" w:cs="Times New Roman" w:eastAsia="Times New Roman" w:hAnsi="Times New Roman"/>
          <w:sz w:val="18"/>
          <w:szCs w:val="18"/>
          <w:color w:val="auto"/>
        </w:rPr>
        <w:t>” means any Lender with an Initial Term Loan Commitment or an outstanding Initial Term Loan.</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Commitment</w:t>
      </w:r>
      <w:r>
        <w:rPr>
          <w:rFonts w:ascii="Times New Roman" w:cs="Times New Roman" w:eastAsia="Times New Roman" w:hAnsi="Times New Roman"/>
          <w:sz w:val="18"/>
          <w:szCs w:val="18"/>
          <w:color w:val="auto"/>
        </w:rPr>
        <w:t xml:space="preserve">” means, with respect to each Term Lender, the commitment of such Term Lender to make Initial Term Loans hereunder in an aggregate amount not to exceed the amount set forth opposite such Term Lender’s name on the Commitment Schedule, as the same may be (a) reduced from time to time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(b) reduced or increased from time to time pursuant to (x) assignments by or to such Term Lender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(y) an Additional Term Loan Commitment. The aggregate amount of the Term Lenders’ Initial Term Loan Commitments on the Closing Date is $[      ].</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 Maturity Date</w:t>
      </w:r>
      <w:r>
        <w:rPr>
          <w:rFonts w:ascii="Times New Roman" w:cs="Times New Roman" w:eastAsia="Times New Roman" w:hAnsi="Times New Roman"/>
          <w:sz w:val="18"/>
          <w:szCs w:val="18"/>
          <w:color w:val="auto"/>
        </w:rPr>
        <w:t>” means January 30, 2031.</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000"/>
          </w:cols>
          <w:pgMar w:left="440" w:top="270" w:right="459" w:bottom="1440" w:gutter="0" w:footer="0" w:header="0"/>
        </w:sectPr>
      </w:pPr>
    </w:p>
    <w:bookmarkStart w:id="379" w:name="page380"/>
    <w:bookmarkEnd w:id="3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means the term loans made by the Initial Term Lenders to the Borrower pursuant to </w:t>
      </w:r>
      <w:r>
        <w:rPr>
          <w:rFonts w:ascii="Times New Roman" w:cs="Times New Roman" w:eastAsia="Times New Roman" w:hAnsi="Times New Roman"/>
          <w:sz w:val="18"/>
          <w:szCs w:val="18"/>
          <w:u w:val="single" w:color="auto"/>
          <w:color w:val="auto"/>
        </w:rPr>
        <w:t>Section 2.01(a)(i)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xml:space="preserve">” means any agreement executed on or after the Closing Date confirming or effecting the grant of any Lien on IP Rights owned by any Loan Party to the Collateral Agent, for the benefit of the Secured Parties, in accordance with this Agreement, including any of the following: (a) a Trademark Security Agreement substantially in the form of </w:t>
      </w:r>
      <w:r>
        <w:rPr>
          <w:rFonts w:ascii="Times New Roman" w:cs="Times New Roman" w:eastAsia="Times New Roman" w:hAnsi="Times New Roman"/>
          <w:sz w:val="18"/>
          <w:szCs w:val="18"/>
          <w:u w:val="single" w:color="auto"/>
          <w:color w:val="auto"/>
        </w:rPr>
        <w:t>Exhibit H-1</w:t>
      </w:r>
      <w:r>
        <w:rPr>
          <w:rFonts w:ascii="Times New Roman" w:cs="Times New Roman" w:eastAsia="Times New Roman" w:hAnsi="Times New Roman"/>
          <w:sz w:val="18"/>
          <w:szCs w:val="18"/>
          <w:color w:val="auto"/>
        </w:rPr>
        <w:t xml:space="preserve"> hereto, (b) a Patent Security Agreement substantially in the form of </w:t>
      </w:r>
      <w:r>
        <w:rPr>
          <w:rFonts w:ascii="Times New Roman" w:cs="Times New Roman" w:eastAsia="Times New Roman" w:hAnsi="Times New Roman"/>
          <w:sz w:val="18"/>
          <w:szCs w:val="18"/>
          <w:u w:val="single" w:color="auto"/>
          <w:color w:val="auto"/>
        </w:rPr>
        <w:t>Exhibit H-2</w:t>
      </w:r>
      <w:r>
        <w:rPr>
          <w:rFonts w:ascii="Times New Roman" w:cs="Times New Roman" w:eastAsia="Times New Roman" w:hAnsi="Times New Roman"/>
          <w:sz w:val="18"/>
          <w:szCs w:val="18"/>
          <w:color w:val="auto"/>
        </w:rPr>
        <w:t xml:space="preserve"> hereto or (c) a Copyright Security Agreement substantially in the form of </w:t>
      </w:r>
      <w:r>
        <w:rPr>
          <w:rFonts w:ascii="Times New Roman" w:cs="Times New Roman" w:eastAsia="Times New Roman" w:hAnsi="Times New Roman"/>
          <w:sz w:val="18"/>
          <w:szCs w:val="18"/>
          <w:u w:val="single" w:color="auto"/>
          <w:color w:val="auto"/>
        </w:rPr>
        <w:t>Exhibit H-3</w:t>
      </w:r>
      <w:r>
        <w:rPr>
          <w:rFonts w:ascii="Times New Roman" w:cs="Times New Roman" w:eastAsia="Times New Roman" w:hAnsi="Times New Roman"/>
          <w:sz w:val="18"/>
          <w:szCs w:val="18"/>
          <w:color w:val="auto"/>
        </w:rPr>
        <w:t xml:space="preserve"> hereto, or in each case any other form approved by the Administrative Agent and the Borrower.</w:t>
      </w:r>
    </w:p>
    <w:p>
      <w:pPr>
        <w:spacing w:after="0" w:line="179"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or any other form approved by the Administrative Agent and the Borrower.</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Election Request</w:t>
      </w:r>
      <w:r>
        <w:rPr>
          <w:rFonts w:ascii="Times New Roman" w:cs="Times New Roman" w:eastAsia="Times New Roman" w:hAnsi="Times New Roman"/>
          <w:sz w:val="18"/>
          <w:szCs w:val="18"/>
          <w:color w:val="auto"/>
        </w:rPr>
        <w:t xml:space="preserve">” means a request by the Borrower substantially in the form approved by the Administrative Agent and separately provided to the Borrower to convert or continue a Borrowing in accordance with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means (a) with respect to any ABR Loan or Canadian Prime Rate Loan, the last Business Day of each March, June, September and December (commencing with the last Business Day of the first full Fiscal Quarter ending after the Closing Date) or the maturity date applicable to such Loan, (b) with respect to any Eurocurrency Rate Loan, Term CORRA Loan, the last day of the Interest Period applicable to the Borrowing of which such Loan is a part and, in the case of a Eurocurrency Rate Borrowing or Term CORRA Borrowing with an Interest Period of more than three months’ duration, each day that would have been an Interest Payment Date had successive Interest Periods of three months’ duration been applicable to such Borrowing and the maturity date applicable to such Loan and (c) with respect to any Alternative Currency Daily Rate Loan or Daily Simple CORRA Loan, the last Business Day of each month and the maturity date applicable to such Loan.</w:t>
      </w:r>
    </w:p>
    <w:p>
      <w:pPr>
        <w:spacing w:after="0" w:line="18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Period</w:t>
      </w:r>
      <w:r>
        <w:rPr>
          <w:rFonts w:ascii="Times New Roman" w:cs="Times New Roman" w:eastAsia="Times New Roman" w:hAnsi="Times New Roman"/>
          <w:sz w:val="18"/>
          <w:szCs w:val="18"/>
          <w:color w:val="auto"/>
        </w:rPr>
        <w:t xml:space="preserve">” means with respect to any Eurocurrency Rate Borrowing or Term CORRA Borrowing, the period commencing on the date of such Borrowing and ending on the numerically corresponding day in the calendar month that is one, three or (other than with respect to Term CORRA Borrowings) six months thereafter, as the Borrower may elect;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means (a) any purchase or other acquisition by the Borrower or any of its Restricted Subsidiaries of any of the Securities of any other Person (other than any Loan Party),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line of business or other business unit of any Person and (c) any loan, advance (other than any advance to any current or former employee, officer, director, member of management, manager, consultant or independent contractor of the Borrower or any Restricted Subsidiary for moving, entertainment and travel expenses, drawing accounts and similar expenditures or payroll expenses or advances in the ordinary course of business (including in the form of</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66" w:right="459" w:bottom="1440" w:gutter="0" w:footer="0" w:header="0"/>
        </w:sectPr>
      </w:pPr>
    </w:p>
    <w:bookmarkStart w:id="380" w:name="page381"/>
    <w:bookmarkEnd w:id="38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recruiting costs)) or capital contribution by the Borrower or any of its Restricted Subsidiaries to any other Person. Subject to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and interest in the case of any Investment in the form of a loan and any return or reduction of capital (including any distributions in connection with reduction or redemption of capital) or return on Investment in the case of any equity Investment (whether as a distribution, dividend, share buyback, redemption, sale or other similar amounts or income).</w:t>
      </w:r>
    </w:p>
    <w:p>
      <w:pPr>
        <w:spacing w:after="0" w:line="187"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The term “Investments” shall not include (i) accounts receivable, credit card and debit card receivables, trade credit, advances to customers and distributors, commission, travel and similar advances to employees, directors, officers, managers, distributors and consultants in each case made in the ordinary course of business or (ii) endorsements of negotiable instruments and documents in the ordinary course of business.</w:t>
      </w:r>
    </w:p>
    <w:p>
      <w:pPr>
        <w:spacing w:after="0" w:line="172" w:lineRule="exact"/>
        <w:rPr>
          <w:sz w:val="20"/>
          <w:szCs w:val="20"/>
          <w:color w:val="auto"/>
        </w:rPr>
      </w:pPr>
    </w:p>
    <w:p>
      <w:pPr>
        <w:ind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 Grade Securities</w:t>
      </w:r>
      <w:r>
        <w:rPr>
          <w:rFonts w:ascii="Times New Roman" w:cs="Times New Roman" w:eastAsia="Times New Roman" w:hAnsi="Times New Roman"/>
          <w:sz w:val="17"/>
          <w:szCs w:val="17"/>
          <w:color w:val="auto"/>
        </w:rPr>
        <w:t xml:space="preserve">” means (a) securities issued or directly and fully guaranteed or insured by the United States government or any agency or instrumentality thereof (other than Cash Equivalents), (b) debt securities or debt instruments with an investment grade rating, but excluding any debt securities or instruments constituting loans or advances among the Borrower and its Subsidiaries, (c) investments in any funds invested exclusively in investments of the type described in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which fund may also hold immaterial amounts of cash pending investment or distribution and (d) corresponding instruments in countries other than the United States customarily utilized for high quality investments.</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Issuing Bank</w:t>
      </w:r>
      <w:r>
        <w:rPr>
          <w:rFonts w:ascii="Times New Roman" w:cs="Times New Roman" w:eastAsia="Times New Roman" w:hAnsi="Times New Roman"/>
          <w:sz w:val="18"/>
          <w:szCs w:val="18"/>
          <w:color w:val="auto"/>
        </w:rPr>
        <w:t xml:space="preserve">” means, as the context may require, (a) each of the Revolving Lenders with a Letter of Credit Commitment after giving effect to any applicable Incremental Facility Amendment or other amendment to this Agreement and (b) any other Revolving Lender that is appointed as an Issuing Bank in accordance with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Subject to the reasonable consent of the Borrower (subject to the standards set forth in</w:t>
      </w:r>
    </w:p>
    <w:p>
      <w:pPr>
        <w:ind w:right="6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each Issuing Bank may, in its discretion, arrange for one or more Letters of Credit to be issued by any Affiliate of such Issuing Bank, in which case the term “Issuing Bank” shall include any such Affiliate with respect to Letters of Credit issued by such Affiliate.</w:t>
      </w:r>
    </w:p>
    <w:p>
      <w:pPr>
        <w:spacing w:after="0" w:line="177" w:lineRule="exact"/>
        <w:rPr>
          <w:sz w:val="20"/>
          <w:szCs w:val="20"/>
          <w:color w:val="auto"/>
        </w:rPr>
      </w:pPr>
    </w:p>
    <w:p>
      <w:pPr>
        <w:jc w:val="both"/>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with respect to any Person, any other Person in which such Person owns Capital Stock (other than any Wholly-Owned Subsidiary), and including, for the avoidance of doubt, any other Person in which such Person owns an interest in less than 100% of the Capital Stock thereof. Unless otherwise specified, “Joint Venture” shall refer to any Person in which the Borrower or any Restricted Subsidiary owns Capital Stock (other than any Wholly-Owned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Indebtedness</w:t>
      </w:r>
      <w:r>
        <w:rPr>
          <w:rFonts w:ascii="Times New Roman" w:cs="Times New Roman" w:eastAsia="Times New Roman" w:hAnsi="Times New Roman"/>
          <w:sz w:val="18"/>
          <w:szCs w:val="18"/>
          <w:color w:val="auto"/>
        </w:rPr>
        <w:t>” means any Indebtedness for borrowed money of the Borrower or any of its Restricted Subsidiaries that is a Loan Party (other than Indebtedness among the Borrower and/or its subsidiaries) that is expressly subordinated in right of payment to the Loan Document Obligations.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80"/>
          </w:cols>
          <w:pgMar w:left="440" w:top="270" w:right="479" w:bottom="1440" w:gutter="0" w:footer="0" w:header="0"/>
        </w:sectPr>
      </w:pPr>
    </w:p>
    <w:bookmarkStart w:id="381" w:name="page382"/>
    <w:bookmarkEnd w:id="381"/>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as of any date of determination, the latest maturity or expiration date applicable to any Loan or Commitment hereunder at such time.</w:t>
      </w:r>
    </w:p>
    <w:p>
      <w:pPr>
        <w:spacing w:after="0" w:line="155"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Revolving Loan Maturity Date</w:t>
      </w:r>
      <w:r>
        <w:rPr>
          <w:rFonts w:ascii="Times New Roman" w:cs="Times New Roman" w:eastAsia="Times New Roman" w:hAnsi="Times New Roman"/>
          <w:sz w:val="18"/>
          <w:szCs w:val="18"/>
          <w:color w:val="auto"/>
        </w:rPr>
        <w:t>” means, as of any date of determination, the latest maturity or expiration date applicable to any Revolving Loan or Revolving Credit Commitment hereunder at such time.</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Term Loan Maturity Date</w:t>
      </w:r>
      <w:r>
        <w:rPr>
          <w:rFonts w:ascii="Times New Roman" w:cs="Times New Roman" w:eastAsia="Times New Roman" w:hAnsi="Times New Roman"/>
          <w:sz w:val="18"/>
          <w:szCs w:val="18"/>
          <w:color w:val="auto"/>
        </w:rPr>
        <w:t>” means, as of any date of determination, the latest maturity or expiration date applicable to any Term Loan hereunder at such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2.05(j)(i)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Disbursement</w:t>
      </w:r>
      <w:r>
        <w:rPr>
          <w:rFonts w:ascii="Times New Roman" w:cs="Times New Roman" w:eastAsia="Times New Roman" w:hAnsi="Times New Roman"/>
          <w:sz w:val="18"/>
          <w:szCs w:val="18"/>
          <w:color w:val="auto"/>
        </w:rPr>
        <w:t>” means a payment or disbursement made by an Issuing Bank pursuant to a Letter of Credit.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Exposure</w:t>
      </w:r>
      <w:r>
        <w:rPr>
          <w:rFonts w:ascii="Times New Roman" w:cs="Times New Roman" w:eastAsia="Times New Roman" w:hAnsi="Times New Roman"/>
          <w:sz w:val="18"/>
          <w:szCs w:val="18"/>
          <w:color w:val="auto"/>
        </w:rPr>
        <w:t>” means, at any time, the Dollar Equivalent (if applicable) of the sum of (a) the aggregate undrawn amount of all outstanding Letters of Credit at such time and (b) the aggregate principal amount of all LC Disbursements that have not yet been reimbursed at such time. The LC Exposure of any Revolving Lender at any time shall equal its Applicable Percentage of the aggregate LC Exposure at such time. “</w:t>
      </w:r>
      <w:r>
        <w:rPr>
          <w:rFonts w:ascii="Times New Roman" w:cs="Times New Roman" w:eastAsia="Times New Roman" w:hAnsi="Times New Roman"/>
          <w:sz w:val="18"/>
          <w:szCs w:val="18"/>
          <w:b w:val="1"/>
          <w:bCs w:val="1"/>
          <w:color w:val="auto"/>
        </w:rPr>
        <w:t>Legal Reservations</w:t>
      </w:r>
      <w:r>
        <w:rPr>
          <w:rFonts w:ascii="Times New Roman" w:cs="Times New Roman" w:eastAsia="Times New Roman" w:hAnsi="Times New Roman"/>
          <w:sz w:val="18"/>
          <w:szCs w:val="18"/>
          <w:color w:val="auto"/>
        </w:rPr>
        <w:t>” means the application of relevant Debtor Relief Laws, general principles of equity and/or principles of good faith and fair dealing.</w:t>
      </w:r>
    </w:p>
    <w:p>
      <w:pPr>
        <w:spacing w:after="0" w:line="176"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xml:space="preserve">” means the Term Lenders, the Revolving Lenders, any lender with an Additional Commitment or an outstanding Additional Loan and any other Person that becomes a party hereto pursuant to an Assignment Agreement, other than any such Person that ceases to be a party hereto pursuant to an Assignment Agreement or as a result of the application of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any Standby Letter of Credit or Commercial Letter of Credit, bank guarantee, bankers’ acceptance or similar document or instrument, in each case issued pursuant to this Agreement.</w:t>
      </w:r>
    </w:p>
    <w:p>
      <w:pPr>
        <w:spacing w:after="0" w:line="155"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 Commitment</w:t>
      </w:r>
      <w:r>
        <w:rPr>
          <w:rFonts w:ascii="Times New Roman" w:cs="Times New Roman" w:eastAsia="Times New Roman" w:hAnsi="Times New Roman"/>
          <w:sz w:val="17"/>
          <w:szCs w:val="17"/>
          <w:color w:val="auto"/>
        </w:rPr>
        <w:t xml:space="preserve">” means (i) with respect to any Issuing Bank listed on the Commitment Schedule after giving effect to any applicable Incremental Facility Amendment or other amendment to this Agreement, the amount set forth opposite such Issuing Bank’s name on such Schedule and (ii) with respect to any other Issuing Bank, the amount specified to be such Issuing Bank’s “Letter of Credit Commitment” at the time such Issuing Bank becomes an Issuing Bank (as contemplated by </w:t>
      </w:r>
      <w:r>
        <w:rPr>
          <w:rFonts w:ascii="Times New Roman" w:cs="Times New Roman" w:eastAsia="Times New Roman" w:hAnsi="Times New Roman"/>
          <w:sz w:val="17"/>
          <w:szCs w:val="17"/>
          <w:u w:val="single" w:color="auto"/>
          <w:color w:val="auto"/>
        </w:rPr>
        <w:t>Section 2.05(i)</w:t>
      </w:r>
      <w:r>
        <w:rPr>
          <w:rFonts w:ascii="Times New Roman" w:cs="Times New Roman" w:eastAsia="Times New Roman" w:hAnsi="Times New Roman"/>
          <w:sz w:val="17"/>
          <w:szCs w:val="17"/>
          <w:color w:val="auto"/>
        </w:rPr>
        <w:t xml:space="preserve">) all as separately increased pursuant to any written agreement between such Issuing Bank and the Borrower and notified to the Administrative Agent, in each case, as the same may be reduced from time to time pursuant to the terms of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the consent of the Borrower and the Administrative Agent not to be unreasonably withheld or delayed, any Issuing Bank may assign in whole or part a portion of its Letter of Credit Commitment to any other Revolving Lender who consents to such assignment.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Letter-of-Credit Right</w:t>
      </w:r>
      <w:r>
        <w:rPr>
          <w:rFonts w:ascii="Times New Roman" w:cs="Times New Roman" w:eastAsia="Times New Roman" w:hAnsi="Times New Roman"/>
          <w:sz w:val="18"/>
          <w:szCs w:val="18"/>
          <w:color w:val="auto"/>
        </w:rPr>
        <w:t>” has the meaning set forth in Article 9 of the UCC.</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xml:space="preserve">” means the aggregate amount of Letter of Credit Commitments, as adjusted from time to time in accordance with </w:t>
      </w:r>
      <w:r>
        <w:rPr>
          <w:rFonts w:ascii="Times New Roman" w:cs="Times New Roman" w:eastAsia="Times New Roman" w:hAnsi="Times New Roman"/>
          <w:sz w:val="18"/>
          <w:szCs w:val="18"/>
          <w:u w:val="single" w:color="auto"/>
          <w:color w:val="auto"/>
        </w:rPr>
        <w:t>Section 2.05(i)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2.10(c)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hereof. The aggregate amount of Letter of Credit Commitments on the Closing Date is $0.</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66" w:right="459" w:bottom="1440" w:gutter="0" w:footer="0" w:header="0"/>
        </w:sectPr>
      </w:pPr>
    </w:p>
    <w:bookmarkStart w:id="382" w:name="page383"/>
    <w:bookmarkEnd w:id="382"/>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in each case, in the nature of security;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Non-Finance Lease Obligation in and of itself be deemed to constitute a Lien.</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 Obligations</w:t>
      </w:r>
      <w:r>
        <w:rPr>
          <w:rFonts w:ascii="Times New Roman" w:cs="Times New Roman" w:eastAsia="Times New Roman" w:hAnsi="Times New Roman"/>
          <w:sz w:val="18"/>
          <w:szCs w:val="18"/>
          <w:color w:val="auto"/>
        </w:rPr>
        <w:t xml:space="preserve">” means all unpaid principal of and accrued and unpaid interest (including interest accruing during the pendency of any bankruptcy, insolvency, receivership or other similar proceeding, regardless of whether allowed or allowable in such proceeding) on the Loans, all LC Exposure, all accrued and unpaid fees and all expenses, reimbursements, indemnities and all other advances to, debts, liabilities and obligations of the Loan Parties to the Lenders or to any Lender, the Administrative Agent, any Issuing Bank or any indemnified party arising under the Loan Documents in respect of any Loan or Letter of Credit, whether direct or indirect (including those acquired by assumption), absolute, contingent, due or to become due, now existing or hereafter arising, including any Erroneous Payment Subrogation Rights acquired by the Administrative Agent pursuant to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(it being understood and agreed that such Erroneous Payment Subrogation Rights shall not be duplicative of or increase the Loan Document Obligations).</w:t>
      </w:r>
    </w:p>
    <w:p>
      <w:pPr>
        <w:spacing w:after="0" w:line="185" w:lineRule="exact"/>
        <w:rPr>
          <w:sz w:val="20"/>
          <w:szCs w:val="20"/>
          <w:color w:val="auto"/>
        </w:rPr>
      </w:pPr>
    </w:p>
    <w:p>
      <w:pPr>
        <w:jc w:val="both"/>
        <w:ind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this Agreement, any Promissory Note, the Collateral Documents, any Acceptable Intercreditor Agreement and any other document or instrument designated by the Borrower and the Administrative Agent as a “Loan Document”, including any Incremental Facility Amendment, Refinancing Amendment or Extension Amendment or any other amendment hereto or thereto. Any reference in this Agreement or any other Loan Document to a Loan Document shall include all appendices, exhibits or schedules thereto.</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Guarantee</w:t>
      </w:r>
      <w:r>
        <w:rPr>
          <w:rFonts w:ascii="Times New Roman" w:cs="Times New Roman" w:eastAsia="Times New Roman" w:hAnsi="Times New Roman"/>
          <w:sz w:val="18"/>
          <w:szCs w:val="18"/>
          <w:color w:val="auto"/>
        </w:rPr>
        <w:t xml:space="preserve">” means the guarantee set forth in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including pursuant to any Counterpart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the Borrower and each Subsidiary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means any Initial Term Loan, any Additional Term Loan, any Revolving Loan, any Swingline Loan and/or any Additional Revolving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to such term in Regulation U.</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xml:space="preserve">” means, at any date of determination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amount equal to (a) the total number of then issued and outstanding shares of common Capital Stock of the Borrower or any parent company multiplied by (b) the arithmetic mean of the closing prices per share of such common Capital Stock on the principal securities exchange on which such common Capital Stock is traded for the 30 consecutive trading days immediately preceding such date. For the avoidance of doubt, if any such common Capital Stock is not traded on a principal securities exchange but is convertible into common Capital Stock that is traded on a principal securities exchange, when calculating “Market Capitalization,” the total number of then issued and outstanding shares of common Capital Stock shall give effect to the conversion of such non-traded common Capital Stock into such traded common Capital Stock.</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66" w:right="499" w:bottom="1440" w:gutter="0" w:footer="0" w:header="0"/>
        </w:sectPr>
      </w:pPr>
    </w:p>
    <w:bookmarkStart w:id="383" w:name="page384"/>
    <w:bookmarkEnd w:id="38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Intercreditor Agreement</w:t>
      </w:r>
      <w:r>
        <w:rPr>
          <w:rFonts w:ascii="Times New Roman" w:cs="Times New Roman" w:eastAsia="Times New Roman" w:hAnsi="Times New Roman"/>
          <w:sz w:val="18"/>
          <w:szCs w:val="18"/>
          <w:color w:val="auto"/>
        </w:rPr>
        <w:t xml:space="preserve">” means an intercreditor or subordination agreement or arrangement (which may take the form of a “waterfall” or similar provision) the terms of which are either (a)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Indebtedness subject thereto or (b) in the event a “Market Intercreditor Agreement” has been entered into after the Closing Date meeting the requirement of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the terms of which are, taken as a whole, not materially less favorable to the Lenders, the Administrative Agent and the Issuing Banks (in their capacities as such) than the terms of such Market Intercreditor Agreement to the extent such agreement governs similar priorities, in each case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determined by the Borrower in good faith.</w:t>
      </w:r>
    </w:p>
    <w:p>
      <w:pPr>
        <w:spacing w:after="0" w:line="183"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Acquisition</w:t>
      </w:r>
      <w:r>
        <w:rPr>
          <w:rFonts w:ascii="Times New Roman" w:cs="Times New Roman" w:eastAsia="Times New Roman" w:hAnsi="Times New Roman"/>
          <w:sz w:val="18"/>
          <w:szCs w:val="18"/>
          <w:color w:val="auto"/>
        </w:rPr>
        <w:t>” means any Permitted Acquisition (or series thereof) or other similar Investment (including any Investment in a Similar Business and including any transaction in the form of a business combination) (or series thereof) the aggregate consideration for which exceeds $750,000,000.</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 material adverse effect on (a) the business, financial condition or results of operations, in each case, of the Borrower and its Restricted Subsidiaries, taken as a whole or (b) the material rights and remedies (taken as a whole) of the Administrative Agent and the applicable Lenders under the applicable Loan Documents.</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 Instrument</w:t>
      </w:r>
      <w:r>
        <w:rPr>
          <w:rFonts w:ascii="Times New Roman" w:cs="Times New Roman" w:eastAsia="Times New Roman" w:hAnsi="Times New Roman"/>
          <w:sz w:val="18"/>
          <w:szCs w:val="18"/>
          <w:color w:val="auto"/>
        </w:rPr>
        <w:t>” means any physical instrument evidencing any Indebtedness for borrowed money which is required to be pledged and delivered to the Collateral Agent (or its bailee) pursuant to the Collateral Documents.</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Disposition</w:t>
      </w:r>
      <w:r>
        <w:rPr>
          <w:rFonts w:ascii="Times New Roman" w:cs="Times New Roman" w:eastAsia="Times New Roman" w:hAnsi="Times New Roman"/>
          <w:sz w:val="18"/>
          <w:szCs w:val="18"/>
          <w:color w:val="auto"/>
        </w:rPr>
        <w:t>” means any Disposition (or series of Dispositions) not prohibited hereunder the aggregate consideration for which exceeds $750,000,000.</w:t>
      </w:r>
    </w:p>
    <w:p>
      <w:pPr>
        <w:spacing w:after="0" w:line="155" w:lineRule="exact"/>
        <w:rPr>
          <w:sz w:val="20"/>
          <w:szCs w:val="20"/>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Material Insurance/Condemnation Proceeds</w:t>
      </w:r>
      <w:r>
        <w:rPr>
          <w:rFonts w:ascii="Times New Roman" w:cs="Times New Roman" w:eastAsia="Times New Roman" w:hAnsi="Times New Roman"/>
          <w:sz w:val="17"/>
          <w:szCs w:val="17"/>
          <w:color w:val="auto"/>
        </w:rPr>
        <w:t>” means Net Insurance/Condemnation Proceeds in excess of the greater of $112,500,000 and 5% of Consolidated Adjusted EBITDA as of the last day of the most recently ended Test Period in any single transaction or series of related transactions.</w:t>
      </w:r>
    </w:p>
    <w:p>
      <w:pPr>
        <w:spacing w:after="0" w:line="132"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any IP Rights (other than customer lists) owned by the Borrower and its Restricted Subsidiaries that is material to the business of the Borrower and its Restricted Subsidiaries, taken as a whole (as determined by the Borrower in good faith).</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Estate Asset</w:t>
      </w:r>
      <w:r>
        <w:rPr>
          <w:rFonts w:ascii="Times New Roman" w:cs="Times New Roman" w:eastAsia="Times New Roman" w:hAnsi="Times New Roman"/>
          <w:sz w:val="18"/>
          <w:szCs w:val="18"/>
          <w:color w:val="auto"/>
        </w:rPr>
        <w:t>” means any “fee-owned” Real Estate Asset located in the United States, and the improvements thereto, that (together with such improvements) has a fair market value (as determined by the Borrower in good faith after taking into account any liabilities with respect thereto that impact such fair market value or, if not then readily determinable, a book value) in excess of the greater of $225,500,000 and 10% of Consolidated Adjusted EBITDA as of the last day of the most recently ended Test Period (a) as of the Closing Date, with respect to any Real Estate Asset owned by any Loan Party as of the Closing Date, or (b) as of the date of acquisition thereof, with respect to any Real Estate Asset acquired by any Loan Party after the Closing Date.</w:t>
      </w:r>
    </w:p>
    <w:p>
      <w:pPr>
        <w:spacing w:after="0" w:line="182" w:lineRule="exact"/>
        <w:rPr>
          <w:sz w:val="20"/>
          <w:szCs w:val="20"/>
          <w:color w:val="auto"/>
        </w:rPr>
      </w:pPr>
    </w:p>
    <w:p>
      <w:pPr>
        <w:ind w:right="7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Restricted Payment</w:t>
      </w:r>
      <w:r>
        <w:rPr>
          <w:rFonts w:ascii="Times New Roman" w:cs="Times New Roman" w:eastAsia="Times New Roman" w:hAnsi="Times New Roman"/>
          <w:sz w:val="18"/>
          <w:szCs w:val="18"/>
          <w:color w:val="auto"/>
        </w:rPr>
        <w:t>” means any Restricted Payment not prohibited hereunder the aggregate consideration for which exceeds $750,000,000.</w:t>
      </w:r>
    </w:p>
    <w:p>
      <w:pPr>
        <w:spacing w:after="0" w:line="15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 (a) [reserved], (b) with respect to the Initial Term Loans, the Initial Term Loan Maturity Date, (c) with respect to any Replacement Term Loans or Replacement Revolving Facility, the final maturity date for such Replacement Term Loans or Replacement Revolving Facility, as the case may be, as set forth in the applicable Refinancing Amendment, (d) with respect to any Incremental Facility, the final maturity date set forth in the applicable Incremental Facility Amendment and (e) with respect to any Extended Revolving Credit Commitment or Extended Term Loans, the final maturity date set forth in the applicable Extension Amendment.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66" w:right="459" w:bottom="1440" w:gutter="0" w:footer="0" w:header="0"/>
        </w:sectPr>
      </w:pPr>
    </w:p>
    <w:bookmarkStart w:id="384" w:name="page385"/>
    <w:bookmarkEnd w:id="3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2.22(a)(v)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2.23(b)(iii)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w:t>
      </w:r>
    </w:p>
    <w:p>
      <w:pPr>
        <w:spacing w:after="0" w:line="225" w:lineRule="exact"/>
        <w:rPr>
          <w:sz w:val="20"/>
          <w:szCs w:val="20"/>
          <w:color w:val="auto"/>
        </w:rPr>
      </w:pPr>
    </w:p>
    <w:p>
      <w:pPr>
        <w:ind w:right="4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Mortgage</w:t>
      </w:r>
      <w:r>
        <w:rPr>
          <w:rFonts w:ascii="Times New Roman" w:cs="Times New Roman" w:eastAsia="Times New Roman" w:hAnsi="Times New Roman"/>
          <w:sz w:val="17"/>
          <w:szCs w:val="17"/>
          <w:color w:val="auto"/>
        </w:rPr>
        <w:t>” means any mortgage, deed of trust, deed to secure debt or other agreement which conveys or evidences a Lien in favor of the Collateral Agent, for the benefit of the Collateral Agent and the relevant Secured Parties, on any Material Real Estate Asset constituting Collateral.</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has the meaning assigned to such term in the definition of “Collateral and Guarantee Requirement”.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Property”</w:t>
      </w:r>
      <w:r>
        <w:rPr>
          <w:rFonts w:ascii="Times New Roman" w:cs="Times New Roman" w:eastAsia="Times New Roman" w:hAnsi="Times New Roman"/>
          <w:sz w:val="18"/>
          <w:szCs w:val="18"/>
          <w:color w:val="auto"/>
        </w:rPr>
        <w:t xml:space="preserve"> means any Material Real Estate Asset subject to a Mortgage.</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employee benefit plan which is a “multiemployer plan” as defined in Section 3(37) of ERISA, that is subject to the provisions of Title IV of ERISA, and in respect of which the Borrower, any of its Restricted Subsidiaries or any ERISA Affiliate, makes or is obligated to make contributions or with respect to which any of them has any ongoing obligation or liability.</w:t>
      </w:r>
    </w:p>
    <w:p>
      <w:pPr>
        <w:spacing w:after="0" w:line="171"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Narrative Report</w:t>
      </w:r>
      <w:r>
        <w:rPr>
          <w:rFonts w:ascii="Times New Roman" w:cs="Times New Roman" w:eastAsia="Times New Roman" w:hAnsi="Times New Roman"/>
          <w:sz w:val="18"/>
          <w:szCs w:val="18"/>
          <w:color w:val="auto"/>
        </w:rPr>
        <w:t>” means, with respect to the financial statements with respect to which it is delivered, a management discussion and narrative report describing the operations of the Borrower and its Restricted Subsidiaries for the applicable Fiscal Quarter or Fiscal Year and for the period from the beginning of the then current Fiscal Year to the end of the period to which the relevant financial statements relate.</w:t>
      </w:r>
    </w:p>
    <w:p>
      <w:pPr>
        <w:spacing w:after="0" w:line="17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Insurance/Condemnation Proceeds</w:t>
      </w:r>
      <w:r>
        <w:rPr>
          <w:rFonts w:ascii="Times New Roman" w:cs="Times New Roman" w:eastAsia="Times New Roman" w:hAnsi="Times New Roman"/>
          <w:sz w:val="18"/>
          <w:szCs w:val="18"/>
          <w:color w:val="auto"/>
        </w:rPr>
        <w:t xml:space="preserve">” means an amount equal to: (a) any Cash payments or proceeds (including Cash Equivalents) received by the Borrower or any of its Restricted Subsidiaries other than in the ordinary course of business (i) under any casualty insurance policy in respect of a covered loss thereunder of any assets of the Borrower or any of its Restricted Subsidiaries or (ii) as a result of the taking of any assets of the Borrower or any of its Restricted Subsidiaries by any Person pursuant to the power of eminent domain, condemnation, expropriation or otherwise, or pursuant to a sale of any such assets to a purchaser with such power under threat of such a taking, minus (b) in respect of the Loan Parties or any of their respective subsidiaries, Affiliates or direct or indirect equityholders (i) any actual out-of-pocket costs and expenses incurred in connection with the adjustment, settlement or collection of any claims in respect thereof, (ii) payment of the outstanding principal amount of, premium or penalty, if any, and interest and other amounts on any Indebtedness (other than the Loans, any Indebtedness secured by a Lien on the Collateral that is pari passu with or expressly subordinated to the Lien on the Collateral securing the Obligations and any unsecured Indebtedness incurred by a Loan Party) that is required to be repaid or otherwise comes due or would be in default under the terms thereof as a result of such loss, taking or sale, (iii) in the case of a taking, the reasonable out-of-pocket costs of putting any affected property in a safe and secure position, (iv) any selling costs and out-of-pocket expenses (including reasonable broker’s fees or commissions, legal fees, accountants’ fees, investment banking fees, survey costs, title insurance premiums, and related search and recording charges, deed or mortgage recording taxes, relocation expenses, currency hedging expenses, other expenses and brokerage, consultant and other customary fees actually incurred in connection therewith and transfer and similar Taxes and the Borrower’s good faith estimate of income Taxes paid or payable (including pursuant to Tax sharing arrangements or that are or would be imposed on intercompany distributions of such proceeds)) in connection with any sale or taking of such assets as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(v) any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66" w:right="459" w:bottom="1440" w:gutter="0" w:footer="0" w:header="0"/>
        </w:sectPr>
      </w:pPr>
    </w:p>
    <w:bookmarkStart w:id="385" w:name="page386"/>
    <w:bookmarkEnd w:id="385"/>
    <w:p>
      <w:pPr>
        <w:ind w:left="4" w:right="4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amounts provided as a reserve in accordance with GAAP against any liabilities under any indemnification obligation or purchase price adjustments associated with any sale or taking of such assets as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Insurance/Condemnation Proceeds) and (vi) in the case of any covered loss or taking from any non-Wholly-Owned Subsidiary, the pro rata portion thereof (calculated without regard to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attributable to minority interests and not available for distribution to or for the account of the Borrower or a Wholly-Owned Subsidiary as a result thereof.</w:t>
      </w:r>
    </w:p>
    <w:p>
      <w:pPr>
        <w:spacing w:after="0" w:line="183" w:lineRule="exact"/>
        <w:rPr>
          <w:sz w:val="20"/>
          <w:szCs w:val="20"/>
          <w:color w:val="auto"/>
        </w:rPr>
      </w:pPr>
    </w:p>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(a) with respect to any Disposition (including any Prepayment Asset Sale), the Cash proceeds (including Cash Equivalents and Cash proceeds subsequently received (as and when received) in respect of non-cash consideration initially received), net of (with respect to any Loan Party or its subsidiaries, Affiliates or direct or indirect equity owners) (i) selling costs and out-of-pocket expenses (including broker’s fees or commissions, legal fees, accountants’ fees, investment banking fees, survey costs, title insurance premiums, and related search and recording charges, deed or mortgage recording Taxes, relocation expenses incurred as a result thereof, foreign currency hedging expenses, other customary expenses and brokerage, consultant and other customary fees actually incurred in connection therewith and transfer and similar Taxes and the Borrower’s good faith estimate of income Taxes paid or payable (including pursuant to Tax sharing arrangements or that are or would be imposed on intercompany distributions of such proceeds) in connection with such Disposition and the Borrower’s good faith estimate of payments to be made in respect of incentive equity, synthetic equity or similar incentive awards in connection with such Disposition), (ii) amounts provided as a reserve in accordance with GAAP against any liabilities under any indemnification obligation or purchase price adjustment associated with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and at the time any such amounts are released from such reserve, other than to make a payment for which such amount was reserved, such amounts shall constitute Net Proceeds), (iii) the principal amount, premium or penalty, if any, interest and other amounts on any Indebtedness (other than the Loans, any other Indebtedness that is secured by a Lien on the Collateral that is pari passu with or expressly subordinated to the Lien on the Collateral securing the Obligations and any unsecured Indebtedness incurred by a Loan Party) that is secured by a Lien on the asset or assets that were the subject of the Disposition or that is required to be repaid or otherwise comes due or would be in default and is repaid or which is required to be paid in order to obtain a necessary consent to such Disposition or by applicable law (other than any such Indebtedness that is assumed by the purchaser of such asset), (iv) Cash escrows (until released from escrow to the Borrower or any of its Restricted Subsidiaries) from the sale price for such Disposition,</w:t>
      </w:r>
    </w:p>
    <w:p>
      <w:pPr>
        <w:spacing w:after="0" w:line="14" w:lineRule="exact"/>
        <w:rPr>
          <w:sz w:val="20"/>
          <w:szCs w:val="20"/>
          <w:color w:val="auto"/>
        </w:rPr>
      </w:pPr>
    </w:p>
    <w:p>
      <w:pPr>
        <w:ind w:left="4" w:right="180" w:hanging="4"/>
        <w:spacing w:after="0" w:line="252" w:lineRule="auto"/>
        <w:tabs>
          <w:tab w:leader="none" w:pos="259"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Disposition by any non-Wholly-Owned Subsidiary, the pro rata portion of the Net Proceeds thereof (calculated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attributable to any minority interest and not available for distribution to or for the account of the Borrower or a Wholly-Owned Subsidiary as a result thereof and (vi) in the case of any Disposition of a Permitted Bond Hedge Transaction, any cash amount owing to holders of Convertible Indebtedness in connection with a related conversion or repayment thereof; and (b) with respect to any issuance or incurrence of Indebtedness or Capital Stock, the Cash proceeds thereof, net of all Taxes and fees, commissions, costs, underwriting discounts and other fees and expenses incurred in connection therewith (including, in respect of any incurrence of Convertible Indebtedness, the cost of any Permitted Bond Hedge Transaction, net of the proceeds of any concurrent Permitted Warrant Transaction).</w:t>
      </w:r>
    </w:p>
    <w:p>
      <w:pPr>
        <w:spacing w:after="0" w:line="18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has the meaning assigned to such term in the definition of “Consolidated Total Debt.”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2.19(b)(iv)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4"/>
          </w:cols>
          <w:pgMar w:left="436" w:top="270" w:right="459" w:bottom="1440" w:gutter="0" w:footer="0" w:header="0"/>
        </w:sectPr>
      </w:pPr>
    </w:p>
    <w:bookmarkStart w:id="386" w:name="page387"/>
    <w:bookmarkEnd w:id="386"/>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Non-Finance Lease Obligation</w:t>
      </w:r>
      <w:r>
        <w:rPr>
          <w:rFonts w:ascii="Times New Roman" w:cs="Times New Roman" w:eastAsia="Times New Roman" w:hAnsi="Times New Roman"/>
          <w:sz w:val="18"/>
          <w:szCs w:val="18"/>
          <w:color w:val="auto"/>
        </w:rPr>
        <w:t>” of any Person means a lease obligation of such Person that is not an obligation in respect of a Finance Lease. A straight-line or operating lease shall be considered a Non-Finance Lease Obligation.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xml:space="preserve">” means all Loan Document Obligations, together with (a) all Banking Services Obligations and (b) all Secured Hedging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Banking Services Obligations and Secured Hedging Obligations shall cease to constitute Obligations on and after the Termination Date.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with respect to any corporation, its certificate, memorandum or articles of incorporation, association, amalgamation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and its operating agreement or limited liability company agreement and (e) with 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Agreement or any other Loan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Lender or the Administrative Agent,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or engaged in any other transaction pursuant to or enforced any Loan Document, or sold or assigned an interest in any Loan or Loan Document).</w:t>
      </w:r>
    </w:p>
    <w:p>
      <w:pPr>
        <w:spacing w:after="0" w:line="176" w:lineRule="exact"/>
        <w:rPr>
          <w:sz w:val="20"/>
          <w:szCs w:val="20"/>
          <w:color w:val="auto"/>
        </w:rPr>
      </w:pPr>
    </w:p>
    <w:p>
      <w:pPr>
        <w:jc w:val="both"/>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any and all present or future stamp, court or documentary, intangible, recording, filing or similar Taxes arising from any payment made hereunder or from the execution, delivery or enforcement of,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the Dollar Equivalent of (a) with respect to any Loans on any date, the aggregate outstanding principal amount thereof after giving effect to any borrowings and prepayments or repayments of such Loans occurring on such date, (b) with respect to any Letter of Credit, the aggregate amount available to be drawn under such Letter of Credit after giving effect to any changes in the aggregate amount available to be drawn under such Letter of Credit or the issuance or expiry of such Letter of Credit, including as a result of any LC Disbursement and (c) with respect to any LC Disbursement on any date, the aggregate outstanding amount of such LC Disbursement on such date after giving effect to any disbursements with respect to any Letter of Credit occurring on such date and any other changes in the aggregate amount of such LC Disbursement as of such date, including as a result of any reimbursements by the Borrower of such unreimbursed LC Disbursement.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66" w:right="439" w:bottom="1440" w:gutter="0" w:footer="0" w:header="0"/>
        </w:sectPr>
      </w:pPr>
    </w:p>
    <w:bookmarkStart w:id="387" w:name="page388"/>
    <w:bookmarkEnd w:id="387"/>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Packaged Rights</w:t>
      </w:r>
      <w:r>
        <w:rPr>
          <w:rFonts w:ascii="Times New Roman" w:cs="Times New Roman" w:eastAsia="Times New Roman" w:hAnsi="Times New Roman"/>
          <w:sz w:val="18"/>
          <w:szCs w:val="18"/>
          <w:color w:val="auto"/>
        </w:rPr>
        <w:t>” means warrants, options or other rights or obligations to acquire shares of any class of the Capital Stock of the Borrower or a Restricted Subsidiary (whether settled in Capital Stock, cash or any combination thereof), regardless of the issuer of such warrants, options or other rights, that are initially issued as a unit with Capital Stock or Indebtedness of the Borrower or any Restricted Subsidiary (which may be guaranteed by the Guarantors, the Borrower or any Restricted Subsidiary) permitted to be incurred hereunder, even if such Capital Stock or Indebtedness is separable from such warrants, options or other rights by a holder thereof.</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 has the meaning assigned to such term in the recitals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Patent</w:t>
      </w:r>
      <w:r>
        <w:rPr>
          <w:rFonts w:ascii="Times New Roman" w:cs="Times New Roman" w:eastAsia="Times New Roman" w:hAnsi="Times New Roman"/>
          <w:sz w:val="18"/>
          <w:szCs w:val="18"/>
          <w:color w:val="auto"/>
        </w:rPr>
        <w:t>” means patents and patent applications, together with all inventions, designs or improvement described or claimed therein, and all reissues, reexaminations, divisions, continuations, renewals, extensions and continuations in part thereof.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defined in Section 3(2) of ERISA (other than a Multiemployer Plan), that is subject to the provisions of Title IV of ERISA or Section 412 of the Code or Section 302 of ERISA, and that the Borrower, any of its Restricted Subsidiaries or any ERISA Affiliate, maintains or contributes to or has an obligation to contribute to, or otherwise has any liability for.</w:t>
      </w:r>
    </w:p>
    <w:p>
      <w:pPr>
        <w:spacing w:after="0" w:line="171" w:lineRule="exact"/>
        <w:rPr>
          <w:sz w:val="20"/>
          <w:szCs w:val="20"/>
          <w:color w:val="auto"/>
        </w:rPr>
      </w:pPr>
    </w:p>
    <w:p>
      <w:pPr>
        <w:ind w:left="4" w:right="8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the Perfection Certificate in the form delivered on the Closing Date or any other form approved by the Administrative Agent and the Borrower.</w:t>
      </w:r>
    </w:p>
    <w:p>
      <w:pPr>
        <w:spacing w:after="0" w:line="15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Requirements</w:t>
      </w:r>
      <w:r>
        <w:rPr>
          <w:rFonts w:ascii="Times New Roman" w:cs="Times New Roman" w:eastAsia="Times New Roman" w:hAnsi="Times New Roman"/>
          <w:sz w:val="18"/>
          <w:szCs w:val="18"/>
          <w:color w:val="auto"/>
        </w:rPr>
        <w:t>” means (a) the filing of appropriate financing statements with the office of the Secretary of State or other appropriate office in the state of organization of each Loan Party, (b) the filing of Intellectual Property Security Agreements or other appropriate assignments or notices with the U.S. Patent and Trademark Office and/or the U.S. Copyright Office, as applicable, (c) the proper recording or filing, as applicable, of Mortgages and fixture filings with respect to any Material Real Estate Asset constituting Collateral, in each case in favor of the Collateral Agent for the benefit of the Secured Parties, (d) the delivery to the Collateral Agent of any stock certificate or promissory note to the extent required to be delivered by the applicable Loan Documents, and (e) other filings, recordings and registrations necessary to perfect the Liens on the Collateral granted by the Loan Parties in favor of the Collateral Agent or to enforce the rights of the Collateral Agent, the Administrative Agent and the Secured Parties under the Loan Documents.</w:t>
      </w:r>
    </w:p>
    <w:p>
      <w:pPr>
        <w:spacing w:after="0" w:line="185" w:lineRule="exact"/>
        <w:rPr>
          <w:sz w:val="20"/>
          <w:szCs w:val="20"/>
          <w:color w:val="auto"/>
        </w:rPr>
      </w:pPr>
    </w:p>
    <w:p>
      <w:pPr>
        <w:ind w:left="4" w:right="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Acquisition</w:t>
      </w:r>
      <w:r>
        <w:rPr>
          <w:rFonts w:ascii="Times New Roman" w:cs="Times New Roman" w:eastAsia="Times New Roman" w:hAnsi="Times New Roman"/>
          <w:sz w:val="17"/>
          <w:szCs w:val="17"/>
          <w:color w:val="auto"/>
        </w:rPr>
        <w:t>” means (a) any acquisition by the Borrower or any of its Restricted Subsidiaries, whether by purchase, merger, amalgamation or otherwise, of all or a substantial portion of the assets of, or any division, line of business, business unit or product line (including research and development and related assets in respect of any product line, product or facility) of, any Person or of a majority of the outstanding Capital Stock of any Person (and, in any event, including any Investment in (x) any Restricted Subsidiary which serves to increase the Borrower’s or any Restricted Subsidiary’s respective equity ownership in such Restricted Subsidiary or (y) any Joint Venture for the purpose of increasing the Borrower’s or its relevant Restricted Subsidiary’s ownership interest in such Joint Venture) or (b) any exclusive license of a product line of a Person, in each case if</w:t>
      </w:r>
    </w:p>
    <w:p>
      <w:pPr>
        <w:spacing w:after="0" w:line="4" w:lineRule="exact"/>
        <w:rPr>
          <w:sz w:val="20"/>
          <w:szCs w:val="20"/>
          <w:color w:val="auto"/>
        </w:rPr>
      </w:pPr>
    </w:p>
    <w:p>
      <w:pPr>
        <w:ind w:left="5424" w:right="1740" w:hanging="5424"/>
        <w:spacing w:after="0" w:line="433" w:lineRule="auto"/>
        <w:tabs>
          <w:tab w:leader="none" w:pos="261"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is or becomes a Restricted Subsidiary or (2) such Person, in one transaction or a series of related transactions, is 60</w:t>
      </w:r>
    </w:p>
    <w:p>
      <w:pPr>
        <w:sectPr>
          <w:pgSz w:w="11900" w:h="16838" w:orient="portrait"/>
          <w:cols w:equalWidth="0" w:num="1">
            <w:col w:w="10964"/>
          </w:cols>
          <w:pgMar w:left="436" w:top="266" w:right="499" w:bottom="1440" w:gutter="0" w:footer="0" w:header="0"/>
        </w:sectPr>
      </w:pPr>
    </w:p>
    <w:bookmarkStart w:id="388" w:name="page389"/>
    <w:bookmarkEnd w:id="388"/>
    <w:p>
      <w:pPr>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amalgamated, merged or consolidated with or into, or transfers, conveys or exclusively licenses all or a substantial portion of its assets (or such division, line of business, business unit, product line or facility) to, or is liquidated into, the Borrower and/or any Restricted Subsidiary as a result of such transaction;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the target Person, assets, business or division in respect of such acquisition is a business permitted under </w:t>
      </w:r>
      <w:r>
        <w:rPr>
          <w:rFonts w:ascii="Times New Roman" w:cs="Times New Roman" w:eastAsia="Times New Roman" w:hAnsi="Times New Roman"/>
          <w:sz w:val="17"/>
          <w:szCs w:val="17"/>
          <w:u w:val="single" w:color="auto"/>
          <w:color w:val="auto"/>
        </w:rPr>
        <w:t>Section 5.16</w:t>
      </w:r>
      <w:r>
        <w:rPr>
          <w:rFonts w:ascii="Times New Roman" w:cs="Times New Roman" w:eastAsia="Times New Roman" w:hAnsi="Times New Roman"/>
          <w:sz w:val="17"/>
          <w:szCs w:val="17"/>
          <w:color w:val="auto"/>
        </w:rPr>
        <w:t xml:space="preserve">, (ii) at the applicable time elected by the Borrower in accordance with </w:t>
      </w:r>
      <w:r>
        <w:rPr>
          <w:rFonts w:ascii="Times New Roman" w:cs="Times New Roman" w:eastAsia="Times New Roman" w:hAnsi="Times New Roman"/>
          <w:sz w:val="17"/>
          <w:szCs w:val="17"/>
          <w:u w:val="single" w:color="auto"/>
          <w:color w:val="auto"/>
        </w:rPr>
        <w:t>Section 1.04(e)</w:t>
      </w:r>
      <w:r>
        <w:rPr>
          <w:rFonts w:ascii="Times New Roman" w:cs="Times New Roman" w:eastAsia="Times New Roman" w:hAnsi="Times New Roman"/>
          <w:sz w:val="17"/>
          <w:szCs w:val="17"/>
          <w:color w:val="auto"/>
        </w:rPr>
        <w:t xml:space="preserve">, with respect to such acquisition, no Specified Event of Default shall be continuing and (iii) the Borrower and its Restricted Subsidiaries shall comply with the requirements of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(to the extent so required therein and within the time periods (and extensions thereof) set forth therein) with respect to each Person, Capital Stock and/or other assets so acquired.</w:t>
      </w:r>
    </w:p>
    <w:p>
      <w:pPr>
        <w:spacing w:after="0" w:line="169"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means the substantially concurrent purchase and sale or exchange of Related Business Assets or any combination of Related Business Assets between the Borrower and/or any Restricted Subsidiary and any other Person.</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Bond Hedge Transaction</w:t>
      </w:r>
      <w:r>
        <w:rPr>
          <w:rFonts w:ascii="Times New Roman" w:cs="Times New Roman" w:eastAsia="Times New Roman" w:hAnsi="Times New Roman"/>
          <w:sz w:val="18"/>
          <w:szCs w:val="18"/>
          <w:color w:val="auto"/>
        </w:rPr>
        <w:t xml:space="preserve">” means any bond hedge or call or capped call option (or similar transaction) on or linked to the Borrower’s Capital Stock and purchased in connection with the issuance of any Convertible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purchase price for such Permitted Bond Hedge Transaction, less the proceeds received from the sale of any related Permitted Warrant Transaction, does not exceed the net proceeds received from the sale of such Convertible Indebtedness.</w:t>
      </w:r>
    </w:p>
    <w:p>
      <w:pPr>
        <w:spacing w:after="0" w:line="176" w:lineRule="exact"/>
        <w:rPr>
          <w:sz w:val="20"/>
          <w:szCs w:val="20"/>
          <w:color w:val="auto"/>
        </w:rPr>
      </w:pPr>
    </w:p>
    <w:p>
      <w:pPr>
        <w:ind w:right="3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Earlier Maturity Indebtedness Exception</w:t>
      </w:r>
      <w:r>
        <w:rPr>
          <w:rFonts w:ascii="Times New Roman" w:cs="Times New Roman" w:eastAsia="Times New Roman" w:hAnsi="Times New Roman"/>
          <w:sz w:val="18"/>
          <w:szCs w:val="18"/>
          <w:color w:val="auto"/>
        </w:rPr>
        <w:t>” means, with respect to any Incremental Term Facility, Incremental Equivalent Debt, Refinancing Indebtedness or Replacement Term Loan permitted to be incurred hereunder, that up to the greater of $1,125,000,000 and 50% of Consolidated Adjusted EBITDA as of the last day of the most recently ended Test Period in aggregate principal amount of such Indebtedness outstanding at such time (the “</w:t>
      </w:r>
      <w:r>
        <w:rPr>
          <w:rFonts w:ascii="Times New Roman" w:cs="Times New Roman" w:eastAsia="Times New Roman" w:hAnsi="Times New Roman"/>
          <w:sz w:val="18"/>
          <w:szCs w:val="18"/>
          <w:b w:val="1"/>
          <w:bCs w:val="1"/>
          <w:color w:val="auto"/>
        </w:rPr>
        <w:t>Specified Debt</w:t>
      </w:r>
      <w:r>
        <w:rPr>
          <w:rFonts w:ascii="Times New Roman" w:cs="Times New Roman" w:eastAsia="Times New Roman" w:hAnsi="Times New Roman"/>
          <w:sz w:val="18"/>
          <w:szCs w:val="18"/>
          <w:color w:val="auto"/>
        </w:rPr>
        <w:t>”) may have a final maturity date that is earlier than, and a Weighted Average Life to Maturity that is shorter than the remaining Weighted Average Life to Maturity of, the Indebtedness with respect to which the Specified Debt is otherwise required to have a later final maturity date or Weighted Average Life.</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w:t>
      </w:r>
      <w:r>
        <w:rPr>
          <w:rFonts w:ascii="Times New Roman" w:cs="Times New Roman" w:eastAsia="Times New Roman" w:hAnsi="Times New Roman"/>
          <w:sz w:val="18"/>
          <w:szCs w:val="18"/>
          <w:color w:val="auto"/>
        </w:rPr>
        <w:t>” means (a) common equity, (b) Qualified Capital Stock and (c) other preferred Capital Stock or other instruments having terms reasonably acceptable to the Administrative Agent.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xml:space="preserve">” means Liens permitted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means any future, current or former director, officer, member of management, manager, employee, independent contractor or consultant (or any Affiliate, Immediate Family Member or transferee of any of the foregoing) of the Borrower (or any subsidiary).</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xml:space="preserve">” means any transaction or undertaking, including Investments, in connection with internal reorganizations and/or restructurings (including in connection with tax planning and corporate reorganizations), so long as, after giving effect thereto, (a) the Loan Parties shall comply with the Collateral and Guarantee Requirements and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and (b) the security interest of the Secured Parties in the Collateral, taken as a whole, is not materially impaired (including by a material portion of the assets that constitute Collateral immediately prior to such Permitted Reorganization no longer constituting Collateral) as a result of such Permitted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delivered to the Administrative Agent an officer’s certificate executed by a Responsible Officer of the Borrower certifying as to the best of such officer’s knowledge compliance with the requirements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0"/>
          </w:cols>
          <w:pgMar w:left="440" w:top="270" w:right="479" w:bottom="1440" w:gutter="0" w:footer="0" w:header="0"/>
        </w:sectPr>
      </w:pPr>
    </w:p>
    <w:bookmarkStart w:id="389" w:name="page390"/>
    <w:bookmarkEnd w:id="389"/>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Treasury Arrangements</w:t>
      </w:r>
      <w:r>
        <w:rPr>
          <w:rFonts w:ascii="Times New Roman" w:cs="Times New Roman" w:eastAsia="Times New Roman" w:hAnsi="Times New Roman"/>
          <w:sz w:val="18"/>
          <w:szCs w:val="18"/>
          <w:color w:val="auto"/>
        </w:rPr>
        <w:t>” means Banking Services entered into in the ordinary course of business and any transactions between or among the Borrower and its Subsidiaries that are entered into in the ordinary course of business in connection with such Banking Services.</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Warrant Transaction</w:t>
      </w:r>
      <w:r>
        <w:rPr>
          <w:rFonts w:ascii="Times New Roman" w:cs="Times New Roman" w:eastAsia="Times New Roman" w:hAnsi="Times New Roman"/>
          <w:sz w:val="18"/>
          <w:szCs w:val="18"/>
          <w:color w:val="auto"/>
        </w:rPr>
        <w:t>” means any call option, warrant or right to purchase (or similar transaction), on or linked to the Borrower’s or a Restricted Subsidiary’s Capital Stock, regardless of the issuer or seller thereof, issued substantially concurrently with any purchase of a related Permitted Bond Hedge Transaction.</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any other entity.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Capital Stock</w:t>
      </w:r>
      <w:r>
        <w:rPr>
          <w:rFonts w:ascii="Times New Roman" w:cs="Times New Roman" w:eastAsia="Times New Roman" w:hAnsi="Times New Roman"/>
          <w:sz w:val="18"/>
          <w:szCs w:val="18"/>
          <w:color w:val="auto"/>
        </w:rPr>
        <w:t>” means any Capital Stock with preferential rights of payment of dividends or upon liquidation, dissolution or winding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w:t>
      </w:r>
    </w:p>
    <w:p>
      <w:pPr>
        <w:spacing w:after="0" w:line="203"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Asset Sale</w:t>
      </w:r>
      <w:r>
        <w:rPr>
          <w:rFonts w:ascii="Times New Roman" w:cs="Times New Roman" w:eastAsia="Times New Roman" w:hAnsi="Times New Roman"/>
          <w:sz w:val="18"/>
          <w:szCs w:val="18"/>
          <w:color w:val="auto"/>
        </w:rPr>
        <w:t xml:space="preserve">” means any Disposition by the Borrower or its Restricted Subsidiaries made pursuant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of assets constituting Collateral.</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 Event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2.12(f)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Premium Event Date</w:t>
      </w:r>
      <w:r>
        <w:rPr>
          <w:rFonts w:ascii="Times New Roman" w:cs="Times New Roman" w:eastAsia="Times New Roman" w:hAnsi="Times New Roman"/>
          <w:sz w:val="18"/>
          <w:szCs w:val="18"/>
          <w:color w:val="auto"/>
        </w:rPr>
        <w:t>” has the meaning assigned to such term in the definition of “Applicable Make-Whole Premium”.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has the meaning assigned to such term in the definition of “Guarantee”.</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means, with respect to any determination of the Total Leverage Ratio, the First Lien Leverage Ratio, the Secured Leverage Ratio, Consolidated Adjusted EBITDA, Consolidated Net Income or Consolidated Total Assets (including component definitions thereof), that each Subject Transaction shall be deemed to have occurred as of the first day of the applicable Test Period (or, in the case of Consolidated Total Assets (or with respect to any determination pertaining to the balance sheet, including the acquisition of Cash and Cash Equivalents in connection with an acquisition of a Person, business line, unit, division or product line), as of the last day of such Test Period) with respect to any test or covenant for which such calculation is being made and that:</w:t>
      </w:r>
    </w:p>
    <w:p>
      <w:pPr>
        <w:spacing w:after="0" w:line="78" w:lineRule="exact"/>
        <w:rPr>
          <w:sz w:val="20"/>
          <w:szCs w:val="20"/>
          <w:color w:val="auto"/>
        </w:rPr>
      </w:pPr>
    </w:p>
    <w:p>
      <w:pPr>
        <w:ind w:left="440" w:firstLine="419"/>
        <w:spacing w:after="0" w:line="255" w:lineRule="auto"/>
        <w:tabs>
          <w:tab w:leader="none" w:pos="1108" w:val="left"/>
        </w:tabs>
        <w:numPr>
          <w:ilvl w:val="0"/>
          <w:numId w:val="4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any Disposition of all or substantially all of the Capital Stock of any Restricted Subsidiary or any division and/or product line of the Borrower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Permitted Acquisition, Investment and/or designation of an Unrestricted Subsidiary as a Restricted Subsidiary described in the definition of the term “Subject Transaction”, income statement items (whether positive or negative) attributable to the property or Person subject to such Subject Transaction shall be included as of the first day of the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20"/>
          </w:cols>
          <w:pgMar w:left="440" w:top="266" w:right="539" w:bottom="1440" w:gutter="0" w:footer="0" w:header="0"/>
        </w:sectPr>
      </w:pPr>
    </w:p>
    <w:bookmarkStart w:id="390" w:name="page391"/>
    <w:bookmarkEnd w:id="390"/>
    <w:p>
      <w:pPr>
        <w:ind w:left="440" w:right="2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Test Period with respect to any test or covenant for which the relevant determination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68" w:lineRule="exact"/>
        <w:rPr>
          <w:sz w:val="20"/>
          <w:szCs w:val="20"/>
          <w:color w:val="auto"/>
        </w:rPr>
      </w:pPr>
    </w:p>
    <w:p>
      <w:pPr>
        <w:ind w:left="440" w:right="100" w:firstLine="419"/>
        <w:spacing w:after="0" w:line="258" w:lineRule="auto"/>
        <w:tabs>
          <w:tab w:leader="none" w:pos="1118"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Expected Cost Savings as a result of any Cost Saving Initiative shall be calculated on a pro forma basis as though such Expected Cost Savings had been realized on the first day of the applicable Test Period and as if such Expected Cost Savings were realized in full during the entirety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75" w:lineRule="exact"/>
        <w:rPr>
          <w:rFonts w:ascii="Times New Roman" w:cs="Times New Roman" w:eastAsia="Times New Roman" w:hAnsi="Times New Roman"/>
          <w:sz w:val="18"/>
          <w:szCs w:val="18"/>
          <w:color w:val="auto"/>
        </w:rPr>
      </w:pPr>
    </w:p>
    <w:p>
      <w:pPr>
        <w:jc w:val="both"/>
        <w:ind w:left="440" w:right="440" w:firstLine="419"/>
        <w:spacing w:after="0" w:line="266" w:lineRule="auto"/>
        <w:tabs>
          <w:tab w:leader="none" w:pos="1108"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or repayment of Indebtedness (other than normal fluctuations in revolving Indebtedness incurred for working capital purposes) shall be deemed to have occurred as of the first day of the applicable Test Period with respect to any test or covenant for which the relevant determination is being made,</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Indebtedness incurred by the Borrower or any of its Restricted Subsidiaries in connection therewith shall be deemed to have occurred as of the first day of the applicable Test Period with respect to any test or covenant for which the relevant determination is being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Finance Lease shall be deemed to accrue at an interest rate determined by a Responsible Officer of the Borrower in good faith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Borrower, and</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08"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any assets (including Cash and Cash Equivalents) included in calculating Consolidated Total Assets, whether pursuant to any Subject Transaction or any Person becoming a subsidiary or merging, amalgamating or consolidating with or into the Borrower or any of its subsidiaries, or the Disposition of any assets (including Cash and Cash Equivalents) included in calculating Consolidated Total Assets described in the definition of “Subject Transaction” shall be deemed to have occurred as of the last day of the applicable Test Period with respect to any test or covenant for which such calculation is being made.</w:t>
      </w:r>
    </w:p>
    <w:p>
      <w:pPr>
        <w:spacing w:after="0" w:line="183"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set forth in the immediately preceding paragraph, for the avoidance of doubt, when calculating the First Lien Leverage Ratio for purposes of the definitions of “Applicable Rate”, “Commitment Fee Rate”, “Required Excess Cash Flow Percentage” and “Required Net Proceeds Percentage”, the events described in the immediately preceding paragraph that occurred subsequent to the end of the applicable Test Period shall not be given pro forma effect.</w:t>
      </w:r>
    </w:p>
    <w:p>
      <w:pPr>
        <w:spacing w:after="0" w:line="176" w:lineRule="exact"/>
        <w:rPr>
          <w:sz w:val="20"/>
          <w:szCs w:val="20"/>
          <w:color w:val="auto"/>
        </w:rPr>
      </w:pPr>
    </w:p>
    <w:p>
      <w:pPr>
        <w:ind w:right="6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 Rata Credit Agreement</w:t>
      </w:r>
      <w:r>
        <w:rPr>
          <w:rFonts w:ascii="Times New Roman" w:cs="Times New Roman" w:eastAsia="Times New Roman" w:hAnsi="Times New Roman"/>
          <w:sz w:val="17"/>
          <w:szCs w:val="17"/>
          <w:color w:val="auto"/>
        </w:rPr>
        <w:t>” means the Credit and Guaranty Agreement, dated as of October 3, 2025, among, inter alios, the Borrower, JPMorgan Chase Bank, N.A., as administrative agent and collateral agent, and the lenders and issuing banks from time to time party thereto.</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0"/>
          </w:cols>
          <w:pgMar w:left="440" w:top="270" w:right="439" w:bottom="1440" w:gutter="0" w:footer="0" w:header="0"/>
        </w:sectPr>
      </w:pPr>
    </w:p>
    <w:bookmarkStart w:id="391" w:name="page392"/>
    <w:bookmarkEnd w:id="391"/>
    <w:p>
      <w:pPr>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 Rata Facilities</w:t>
      </w:r>
      <w:r>
        <w:rPr>
          <w:rFonts w:ascii="Times New Roman" w:cs="Times New Roman" w:eastAsia="Times New Roman" w:hAnsi="Times New Roman"/>
          <w:sz w:val="18"/>
          <w:szCs w:val="18"/>
          <w:color w:val="auto"/>
        </w:rPr>
        <w:t>” means the credit facilities, including the term loan “A” facility in effect as of the date hereof (the “</w:t>
      </w:r>
      <w:r>
        <w:rPr>
          <w:rFonts w:ascii="Times New Roman" w:cs="Times New Roman" w:eastAsia="Times New Roman" w:hAnsi="Times New Roman"/>
          <w:sz w:val="18"/>
          <w:szCs w:val="18"/>
          <w:b w:val="1"/>
          <w:bCs w:val="1"/>
          <w:color w:val="auto"/>
        </w:rPr>
        <w:t>Term Loan A Facility</w:t>
      </w:r>
      <w:r>
        <w:rPr>
          <w:rFonts w:ascii="Times New Roman" w:cs="Times New Roman" w:eastAsia="Times New Roman" w:hAnsi="Times New Roman"/>
          <w:sz w:val="18"/>
          <w:szCs w:val="18"/>
          <w:color w:val="auto"/>
        </w:rPr>
        <w:t>”) and the revolving credit facility in effect as of the date hereof (the “</w:t>
      </w:r>
      <w:r>
        <w:rPr>
          <w:rFonts w:ascii="Times New Roman" w:cs="Times New Roman" w:eastAsia="Times New Roman" w:hAnsi="Times New Roman"/>
          <w:sz w:val="18"/>
          <w:szCs w:val="18"/>
          <w:b w:val="1"/>
          <w:bCs w:val="1"/>
          <w:color w:val="auto"/>
        </w:rPr>
        <w:t>Pro Rata Revolving Facility</w:t>
      </w:r>
      <w:r>
        <w:rPr>
          <w:rFonts w:ascii="Times New Roman" w:cs="Times New Roman" w:eastAsia="Times New Roman" w:hAnsi="Times New Roman"/>
          <w:sz w:val="18"/>
          <w:szCs w:val="18"/>
          <w:color w:val="auto"/>
        </w:rPr>
        <w:t>”), governed by the Pro Rata Credit Agreement, and any Refinancing Indebtedness in respect thereof incurred in accordance with Section 6.01(p).</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means the projections of the Borrower and its Subsidiaries provided to the Arrangers on or about [            ], 2025.</w:t>
      </w:r>
    </w:p>
    <w:p>
      <w:pPr>
        <w:spacing w:after="0" w:line="225" w:lineRule="exact"/>
        <w:rPr>
          <w:sz w:val="20"/>
          <w:szCs w:val="20"/>
          <w:color w:val="auto"/>
        </w:rPr>
      </w:pPr>
    </w:p>
    <w:p>
      <w:pPr>
        <w:jc w:val="both"/>
        <w:ind w:left="4"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Promissory Note</w:t>
      </w:r>
      <w:r>
        <w:rPr>
          <w:rFonts w:ascii="Times New Roman" w:cs="Times New Roman" w:eastAsia="Times New Roman" w:hAnsi="Times New Roman"/>
          <w:sz w:val="18"/>
          <w:szCs w:val="18"/>
          <w:color w:val="auto"/>
        </w:rPr>
        <w:t xml:space="preserve">” means a promissory note of the Borrower payable to any Lender or its registered assigns, in substantially the form of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hereto or any other form approved by the Administrative Agent and the Borrower, evidencing the aggregate outstanding principal amount of Loans of such Borrower owed to such Lender resulting from the Loans made by such Lender.</w:t>
      </w:r>
    </w:p>
    <w:p>
      <w:pPr>
        <w:spacing w:after="0" w:line="171" w:lineRule="exact"/>
        <w:rPr>
          <w:sz w:val="20"/>
          <w:szCs w:val="20"/>
          <w:color w:val="auto"/>
        </w:rPr>
      </w:pPr>
    </w:p>
    <w:p>
      <w:pPr>
        <w:ind w:left="4"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any similar Requirement of Law under any other applicable jurisdiction),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listing fees and all executive, legal and professional fees and costs related to the foregoing.</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means any Capital Stock of such Person that is not Disqualified Capital Stock.</w:t>
      </w:r>
    </w:p>
    <w:p>
      <w:pPr>
        <w:spacing w:after="0" w:line="22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Receivables Facility</w:t>
      </w:r>
      <w:r>
        <w:rPr>
          <w:rFonts w:ascii="Times New Roman" w:cs="Times New Roman" w:eastAsia="Times New Roman" w:hAnsi="Times New Roman"/>
          <w:sz w:val="18"/>
          <w:szCs w:val="18"/>
          <w:color w:val="auto"/>
        </w:rPr>
        <w:t>” means any Receivables Facility that meets the following conditions: (a) the Borrower shall have determined in good faith that such Receivables Facility (including financing terms, covenants, termination events and other provisions) is in the aggregate economically fair and reasonable to the Borrower and its Restricted Subsidiaries; (b) all sales or contributions (as applicable) of Receivables Facility Assets and related assets by the Borrower or any Restricted Subsidiary to the Receivables Subsidiary or any other Person are made for a price that is not materially less than fair market value (as determined in good faith by the Borrower); (c) the financing terms, covenants, termination events and other provisions thereof shall be on market terms (as determined in good faith by the Borrower at the time of entry into such transaction or, if earlier, the establishment of such terms) and may include Standard Securitization Undertakings; and (d) the obligations under such Receivables Facility are non-recourse (except for (i) customary representations, warranties, covenants and indemnities made in connection with such facilities, (ii) as otherwise customary for similar transactions in the applicable jurisdiction, (iii) Standard Securitization Undertakings, (iv) performance guarantees and/or</w:t>
      </w:r>
    </w:p>
    <w:p>
      <w:pPr>
        <w:spacing w:after="0" w:line="3" w:lineRule="exact"/>
        <w:rPr>
          <w:sz w:val="20"/>
          <w:szCs w:val="20"/>
          <w:color w:val="auto"/>
        </w:rPr>
      </w:pPr>
    </w:p>
    <w:p>
      <w:pPr>
        <w:ind w:left="4" w:right="60" w:hanging="4"/>
        <w:spacing w:after="0" w:line="260" w:lineRule="auto"/>
        <w:tabs>
          <w:tab w:leader="none" w:pos="259"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recourse to the equity interests issued by any Receivables Subsidiary) to the Borrower or any of its Restricted Subsidiaries (other than a Receivables Subsidiary).</w:t>
      </w:r>
    </w:p>
    <w:p>
      <w:pPr>
        <w:spacing w:after="0" w:line="177"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Supply Chain Financing</w:t>
      </w:r>
      <w:r>
        <w:rPr>
          <w:rFonts w:ascii="Times New Roman" w:cs="Times New Roman" w:eastAsia="Times New Roman" w:hAnsi="Times New Roman"/>
          <w:sz w:val="18"/>
          <w:szCs w:val="18"/>
          <w:color w:val="auto"/>
        </w:rPr>
        <w:t xml:space="preserve"> ” means any agreement under which any bank or other financial institution may, from time to time, provide to the Borrower or any Restricted Subsidiary, letters of credit, guarantees or other credit support or financial accommodation in respect of trade payables of the Borrower or any Restricted Subsidiary (including the acquisition of receivables corresponding to such trade payables pursuant to “supply chain” or other similar financing) so long as (i) except for Qualified Supply Chain Financings in an aggregate principal amount outstanding of up to the greater of (x)</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4"/>
          </w:cols>
          <w:pgMar w:left="436" w:top="266" w:right="479" w:bottom="1440" w:gutter="0" w:footer="0" w:header="0"/>
        </w:sectPr>
      </w:pPr>
    </w:p>
    <w:bookmarkStart w:id="392" w:name="page393"/>
    <w:bookmarkEnd w:id="392"/>
    <w:p>
      <w:pPr>
        <w:ind w:left="4" w:right="6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$562,500,000 and (y) 25% of Consolidated Adjusted EBITDA as of the last day of the most recently ended Test Period calculated on a Pro Forma Basis (which amount may be secured as a Banking Services Obligation or otherwise pursuant to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hereof), such Indebtedness is unsecured and</w:t>
      </w:r>
    </w:p>
    <w:p>
      <w:pPr>
        <w:spacing w:after="0" w:line="1" w:lineRule="exact"/>
        <w:rPr>
          <w:sz w:val="20"/>
          <w:szCs w:val="20"/>
          <w:color w:val="auto"/>
        </w:rPr>
      </w:pPr>
    </w:p>
    <w:p>
      <w:pPr>
        <w:ind w:left="4" w:right="40" w:hanging="4"/>
        <w:spacing w:after="0" w:line="290" w:lineRule="auto"/>
        <w:tabs>
          <w:tab w:leader="none" w:pos="269" w:val="left"/>
        </w:tabs>
        <w:numPr>
          <w:ilvl w:val="0"/>
          <w:numId w:val="4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Indebtedness represents principal amounts not in excess of those amounts which the Borrower or any Restricted Subsidiary would otherwise have been obligated to pay to its vendor or supplier in respect of the applicable trade payables were such Qualified Supply Chain Financing not in place.</w:t>
      </w:r>
    </w:p>
    <w:p>
      <w:pPr>
        <w:spacing w:after="0" w:line="15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Bid</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Lender</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Interest Expense</w:t>
      </w:r>
      <w:r>
        <w:rPr>
          <w:rFonts w:ascii="Times New Roman" w:cs="Times New Roman" w:eastAsia="Times New Roman" w:hAnsi="Times New Roman"/>
          <w:sz w:val="18"/>
          <w:szCs w:val="18"/>
          <w:color w:val="auto"/>
        </w:rPr>
        <w:t>” means, with respect to any Person for any period, (a) consolidated total cash interest expense of such Person and its Restricted Subsidiaries for such period, (i) including the interest component of any payment under any Finance Lease (regardless of whether accounted for as interest expense under GAAP) and (ii) excluding (A) amortization, accretion or accrual of deferred financing fees, original issue discount, debt issuance costs, discounted liabilities, commissions, fees and expenses, (B) any expense arising from any bridge, commitment, structuring and/or other financing fee (including fees and expenses associated with the Transactions and agency and trustee fees), (C) any expense resulting from the discounting of Indebtedness in connection with the application of recapitalization accounting or, if applicable, acquisition accounting, (D) fees and expenses associated with any Dispositions, acquisitions, Investments, issuances of Capital Stock or Indebtedness (in each case, whether or not consummated), (E) costs associated with obtaining, or breakage costs in respect of, any Hedge Agreement or any other derivative instrument other than any interest rate Hedge Agreement or interest rate derivative instrument with respect to Indebtedness, (F) penalties and interest relating to Taxes, (G) any “additional interest” or “liquidated damages” for failure to timely comply with registration rights obligations, (H) [reserved], (I) any payments with respect to make-whole, prepayment or repayment premiums or other breakage costs of any Indebtedness, (J) any interest expense attributable to the exercise of appraisal rights or other rights of dissenting shareholders and the settlement of any claims or actions (whether actual, contingent or potential) with respect thereto in connection with the Transactions or any acquisition or Investment permitted hereunder, (K) any lease, rental or other expense in connection with a Non-Finance Lease Obligation and (L) for the avoidance of doubt, any non-cash interest expense 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 with respect to Indebtedness minus (b) cash interest income for such period. For purposes of this definition, (x) interest in respect of any Finance Lease shall be deemed to accrue at an interest rate determined by such Person in good faith to be the rate of interest implicit in such Finance Lease in accordance with GAAP and (y) for the avoidance of doubt, unless already included in the calculation of interest expense, interest expense shall be calculated after giving effect to any payments made or received under any Hedge Agreement or any other derivative instrument with respect to Indebtedness.</w:t>
      </w:r>
    </w:p>
    <w:p>
      <w:pPr>
        <w:spacing w:after="0" w:line="189"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all right, title and interest of any Loan Party in and to all real property owned by such Loan Party and all real property leased or subleased by such Loan Party (in each case including, but not limited to, land, improvements and fixtures thereon).</w:t>
      </w:r>
    </w:p>
    <w:p>
      <w:pPr>
        <w:spacing w:after="0" w:line="171" w:lineRule="exact"/>
        <w:rPr>
          <w:sz w:val="20"/>
          <w:szCs w:val="20"/>
          <w:color w:val="auto"/>
        </w:rPr>
      </w:pPr>
    </w:p>
    <w:p>
      <w:pPr>
        <w:ind w:left="4" w:right="5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w:t>
      </w:r>
      <w:r>
        <w:rPr>
          <w:rFonts w:ascii="Times New Roman" w:cs="Times New Roman" w:eastAsia="Times New Roman" w:hAnsi="Times New Roman"/>
          <w:sz w:val="18"/>
          <w:szCs w:val="18"/>
          <w:color w:val="auto"/>
        </w:rPr>
        <w:t>” means any transaction or series of transactions that may be entered into by the Borrower or any of its Restricted Subsidiaries pursuant to which the Borrower or such Restricted Subsidiary may sell, convey, grant a security interest in or otherwise transfer any Receivables Facility Assets (whether now existing or arising in the future) to either (a) a Person that is not a Restricted</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4"/>
          </w:cols>
          <w:pgMar w:left="436" w:top="270" w:right="459" w:bottom="1440" w:gutter="0" w:footer="0" w:header="0"/>
        </w:sectPr>
      </w:pPr>
    </w:p>
    <w:bookmarkStart w:id="393" w:name="page394"/>
    <w:bookmarkEnd w:id="39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Subsidiary or (b) a Receivables Subsidiary that in turn may sell, convey, grant a security interest in or otherwise transfer Receivables Facility Assets to a Person that is not a Restricted Subsidiary (or by borrowing from such a Person or from another Receivables Subsidiary that in turn funds itself by borrowing from such a Person).</w:t>
      </w:r>
    </w:p>
    <w:p>
      <w:pPr>
        <w:spacing w:after="0" w:line="172"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Receivables Facility Asset</w:t>
      </w:r>
      <w:r>
        <w:rPr>
          <w:rFonts w:ascii="Times New Roman" w:cs="Times New Roman" w:eastAsia="Times New Roman" w:hAnsi="Times New Roman"/>
          <w:sz w:val="17"/>
          <w:szCs w:val="17"/>
          <w:color w:val="auto"/>
        </w:rPr>
        <w:t xml:space="preserve">” means (i) any and all receivables customarily transferred or in respect of which security interests are customarily granted in connection with receivables facilities and/or asset securitization transactions involving accounts receivable (as determined by the Borrower in good faith) by the Borrower or any of its Restricted Subsidiaries pursuant to documents relating to any Receivables Facility, (ii) all rights arising under the documentation governing or related to receivables (including rights in respect of Liens securing such receivables and other credit support in respect of such receivables), any proceeds of such receivables and any lockboxes or accounts in which such proceeds are deposited or received, spread accounts and other similar accounts (and any amounts on deposit therein) established in connection with a Receivables Facility, any warranty, indemnity, dilution and other claim arising out of the documents relating to such Receivables Facility, and all other assets, rights or interests which are customarily transferred or in respect of which security interests are customarily granted in connection with receivables facilities and/or asset securitizations involving accounts receivable (as determined by the Borrower in good faith, and including, for the avoidance of doubt, equity interests in any Receivables Subsidiary) and (iii) all collections (including recoveries) and other proceeds of the assets described in the foregoing </w:t>
      </w:r>
      <w:r>
        <w:rPr>
          <w:rFonts w:ascii="Times New Roman" w:cs="Times New Roman" w:eastAsia="Times New Roman" w:hAnsi="Times New Roman"/>
          <w:sz w:val="17"/>
          <w:szCs w:val="17"/>
          <w:u w:val="single" w:color="auto"/>
          <w:color w:val="auto"/>
        </w:rPr>
        <w:t>clauses (i)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w:t>
      </w:r>
    </w:p>
    <w:p>
      <w:pPr>
        <w:spacing w:after="0" w:line="169"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Fees</w:t>
      </w:r>
      <w:r>
        <w:rPr>
          <w:rFonts w:ascii="Times New Roman" w:cs="Times New Roman" w:eastAsia="Times New Roman" w:hAnsi="Times New Roman"/>
          <w:sz w:val="18"/>
          <w:szCs w:val="18"/>
          <w:color w:val="auto"/>
        </w:rPr>
        <w:t>” means distributions or payments made directly or by means of discounts with respect to any Receivables Facility Asset or participation interest therein issued or sold in connection with, and other fees and expenses paid to a Person that is not a Restricted Subsidiary in connection with, any Receivables Facility.</w:t>
      </w:r>
    </w:p>
    <w:p>
      <w:pPr>
        <w:spacing w:after="0" w:line="171"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Subsidiary</w:t>
      </w:r>
      <w:r>
        <w:rPr>
          <w:rFonts w:ascii="Times New Roman" w:cs="Times New Roman" w:eastAsia="Times New Roman" w:hAnsi="Times New Roman"/>
          <w:sz w:val="18"/>
          <w:szCs w:val="18"/>
          <w:color w:val="auto"/>
        </w:rPr>
        <w:t>” means a Restricted Subsidiary created in connection with the transactions contemplated by a Receivables Facility, which Person engages in no activities and holds no assets other than those incidental or reasonably related to such Receivables Facility (including Receivables Facility Assets) or another Person formed for the purposes of engaging in a Receivables Facility in which the Borrower or any subsidiary makes an Investment and to which the Borrower or any subsidiary transfers Receivables Facility Assets.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Reclassifiable Item</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means an amendment to this Agreement that is reasonably satisfactory to the Administrative Agent and the Borrower executed by (a) the Borrower, (b) the Administrative Agent and (c) each Lender that agrees to provide all or any portion of the Replacement Term Loans or the Replacement Revolving Facility, as applicable, being incurred pursuant thereto and in accordance with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394" w:name="page395"/>
    <w:bookmarkEnd w:id="394"/>
    <w:p>
      <w:pPr>
        <w:jc w:val="both"/>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supervision of the Board under 12 CFR part 211; (iv) a non-U.S. branch of a foreign bank managed and controlled by a U.S. branch referred to in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or (v) any other U.S. or non-U.S. depository institution or any branch, agency or similar office thereof supervised by a bank regulatory authority in any jurisdiction.</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U</w:t>
      </w:r>
      <w:r>
        <w:rPr>
          <w:rFonts w:ascii="Times New Roman" w:cs="Times New Roman" w:eastAsia="Times New Roman" w:hAnsi="Times New Roman"/>
          <w:sz w:val="18"/>
          <w:szCs w:val="18"/>
          <w:color w:val="auto"/>
        </w:rPr>
        <w:t>” means Regulation U of the Board as from time to time in effect and all official rulings and interpretations thereunder or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X</w:t>
      </w:r>
      <w:r>
        <w:rPr>
          <w:rFonts w:ascii="Times New Roman" w:cs="Times New Roman" w:eastAsia="Times New Roman" w:hAnsi="Times New Roman"/>
          <w:sz w:val="18"/>
          <w:szCs w:val="18"/>
          <w:color w:val="auto"/>
        </w:rPr>
        <w:t>” means Regulation X of the Board as from time to time in effect and all official rulings and interpretations thereunder or thereof.</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Business Assets</w:t>
      </w:r>
      <w:r>
        <w:rPr>
          <w:rFonts w:ascii="Times New Roman" w:cs="Times New Roman" w:eastAsia="Times New Roman" w:hAnsi="Times New Roman"/>
          <w:sz w:val="18"/>
          <w:szCs w:val="18"/>
          <w:color w:val="auto"/>
        </w:rPr>
        <w:t xml:space="preserve">” means assets (other than Cash or Cash Equivalents) used or useful in a Similar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asset received by the Borrower or any Restricted Subsidiary in exchange for any asset transferred by the Borrower or any Restricted Subsidiary shall not be deemed to constitute a Related Business Asset if such asset consists of securities of a Person, unless upon receipt of the securities of such Person, such Person would become a Restricted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Funds</w:t>
      </w:r>
      <w:r>
        <w:rPr>
          <w:rFonts w:ascii="Times New Roman" w:cs="Times New Roman" w:eastAsia="Times New Roman" w:hAnsi="Times New Roman"/>
          <w:sz w:val="18"/>
          <w:szCs w:val="18"/>
          <w:color w:val="auto"/>
        </w:rPr>
        <w:t>” means with respect to any Lender that is an Approved Fund, any other Approved Fund that is managed by the same investment advisor as such Lender or by an Affiliate of such investment advisor.</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managers, officers, trustees, employees, partners, agents, advisors and other representatives of such Person and such Person’s Affiliates.</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or migration of any Hazardous Material into the indoor or outdoor environment.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Debt</w:t>
      </w:r>
      <w:r>
        <w:rPr>
          <w:rFonts w:ascii="Times New Roman" w:cs="Times New Roman" w:eastAsia="Times New Roman" w:hAnsi="Times New Roman"/>
          <w:sz w:val="18"/>
          <w:szCs w:val="18"/>
          <w:color w:val="auto"/>
        </w:rPr>
        <w:t xml:space="preserve">” means any Refinancing Indebtedness (whether borrowed in the form of secured or unsecured loans, issued in a public offering, Rule 144A under the Securities Act or other private placement or bridge financing in lieu of the foregoing or otherwise) incurred in respect of Indebtedness permitted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any subsequent refinancing of such Replacement Debt).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Revolving Facility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Amount</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Reply Price</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70" w:right="499" w:bottom="1440" w:gutter="0" w:footer="0" w:header="0"/>
        </w:sectPr>
      </w:pPr>
    </w:p>
    <w:bookmarkStart w:id="395" w:name="page396"/>
    <w:bookmarkEnd w:id="395"/>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Repricing Transaction</w:t>
      </w:r>
      <w:r>
        <w:rPr>
          <w:rFonts w:ascii="Times New Roman" w:cs="Times New Roman" w:eastAsia="Times New Roman" w:hAnsi="Times New Roman"/>
          <w:sz w:val="18"/>
          <w:szCs w:val="18"/>
          <w:color w:val="auto"/>
        </w:rPr>
        <w:t xml:space="preserve">” means any amendment, waiver or other modification to this Agreement that would have the effect of reducing the Effective Yield applicable to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sole purpose (as determined by the Borrower in good faith) of such amendment, waiver or other modification was to reduce the Effective Yield applicable to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in no event shall any such amendment, waiver or other modification in connection with a refinancing undertaken as a result of lenders declining to approve an amendment, implementation of, or failure to implement, any benchmark rate successor provisions constitute a Repricing Transaction. Any determination by the Administrative Agent of the Effective Yield for purposes of the definition shall be conclusive and binding on all Lenders, and the Administrative Agent shall have no liability to any Person with respect to such determination absent bad faith, gross negligence or willful misconduct.</w:t>
      </w:r>
    </w:p>
    <w:p>
      <w:pPr>
        <w:spacing w:after="0" w:line="183" w:lineRule="exact"/>
        <w:rPr>
          <w:sz w:val="20"/>
          <w:szCs w:val="20"/>
          <w:color w:val="auto"/>
        </w:rPr>
      </w:pPr>
    </w:p>
    <w:p>
      <w:pPr>
        <w:jc w:val="both"/>
        <w:ind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Required Excess Cash Flow Percentage</w:t>
      </w:r>
      <w:r>
        <w:rPr>
          <w:rFonts w:ascii="Times New Roman" w:cs="Times New Roman" w:eastAsia="Times New Roman" w:hAnsi="Times New Roman"/>
          <w:sz w:val="17"/>
          <w:szCs w:val="17"/>
          <w:color w:val="auto"/>
        </w:rPr>
        <w:t xml:space="preserve">” means, as of any date of determination, (a) if the First Lien Leverage Ratio is greater than 1.25:1.00, 50% and (b) if the First Lien Leverage Ratio is less than or equal to 1.25:1.00, 25%; it being understood and agreed that, for purposes of this definition as it applies to the determination of the amount of Excess Cash Flow that is required to be applied to prepay Subject Loans under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for any Excess Cash Flow Period, the First Lien Leverage Ratio shall be determined on the scheduled date of prepayment (after giving pro forma effect to such prepayment and to any other repayment or prepayment at or prior to the time such Excess Cash Flow prepayment is due).</w:t>
      </w:r>
    </w:p>
    <w:p>
      <w:pPr>
        <w:spacing w:after="0" w:line="164"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means, at any time, Lenders having Loans or unused Commitments representing more than 50% of the sum of the total Loans and such unused Commitments at such time.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Net Proceeds Percentage</w:t>
      </w:r>
      <w:r>
        <w:rPr>
          <w:rFonts w:ascii="Times New Roman" w:cs="Times New Roman" w:eastAsia="Times New Roman" w:hAnsi="Times New Roman"/>
          <w:sz w:val="18"/>
          <w:szCs w:val="18"/>
          <w:color w:val="auto"/>
        </w:rPr>
        <w:t xml:space="preserve">” means, as of any date of determination, (a) if the First Lien Leverage Ratio is greater than 1.00:1.00, 100%, (b) if the First Lien Leverage Ratio is less than or equal to 1.00:1.00 and greater than 0.75:1.00, 50% and (c) if the First Lien Leverage Ratio is less than or equal to 0.75:1.00, 0%; it being understood and agreed that, for purposes of this definition as it applies to the determination of the amount of Net Proceeds or Net Insurance/Condemnation Proceeds that are required to be applied to prepay Subject Loans under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for any payment, the First Lien Leverage Ratio shall be determined on the date on which such proceeds are received by the Borrower or applicable Restricted Subsidiary (giving pro forma effect to the subject Dispositions and/or casualty events and the application of the relevant proceeds thereof).</w:t>
      </w:r>
    </w:p>
    <w:p>
      <w:pPr>
        <w:spacing w:after="0" w:line="182"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means, at any time, Lenders having Revolving Loans and unused Revolving Credit Commitments representing more than 50% of the sum of the total Revolving Loans and such unused Revolving Credit Commitments at such time.</w:t>
      </w:r>
    </w:p>
    <w:p>
      <w:pPr>
        <w:spacing w:after="0" w:line="15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5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of any Person means the chief executive officer, the president, the chief financial officer, the treasurer, any assistant treasurer, any executive vice president, any senior vice president, any vice president or the chief operating officer of such Person and any other individual or</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0980"/>
          </w:cols>
          <w:pgMar w:left="440" w:top="266" w:right="479" w:bottom="1440" w:gutter="0" w:footer="0" w:header="0"/>
        </w:sectPr>
      </w:pPr>
    </w:p>
    <w:bookmarkStart w:id="396" w:name="page397"/>
    <w:bookmarkEnd w:id="39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similar official thereof responsible for the administration of the obligations of such Person in respect of this Agreement, and, as to any document delivered on the Closing Date, shall include any secretary or assistant secretary or any other individual or similar official thereof with substantially equivalent responsibilities of a Loan Party and, solely for purposes of notices given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any other officer of the applicable Loan Party so designated by any of the foregoing officers in a written notice to the Administrative Agent (including, for the avoidance of doubt, by electronic means). Any document delivered hereunder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8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 Certification</w:t>
      </w:r>
      <w:r>
        <w:rPr>
          <w:rFonts w:ascii="Times New Roman" w:cs="Times New Roman" w:eastAsia="Times New Roman" w:hAnsi="Times New Roman"/>
          <w:sz w:val="18"/>
          <w:szCs w:val="18"/>
          <w:color w:val="auto"/>
        </w:rPr>
        <w:t>” means, with respect to the financial statements for which such certification is required, the certification of a Responsible Officer of the Borrower that such financial statements fairly present, in all material respects, in accordance with GAAP, the consolidated financial condition of the Persons covered by such financial statements as at the dates indicated and their consolidated income and cash flows for the periods indicated, subject to changes resulting from audit and normal year-end adjustments and, in the case of quarterly financial statements, the absence of footnotes.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w:t>
      </w:r>
      <w:r>
        <w:rPr>
          <w:rFonts w:ascii="Times New Roman" w:cs="Times New Roman" w:eastAsia="Times New Roman" w:hAnsi="Times New Roman"/>
          <w:sz w:val="18"/>
          <w:szCs w:val="18"/>
          <w:color w:val="auto"/>
        </w:rPr>
        <w:t>” means any Junior Indebtedness to the extent the outstanding principal amount thereof is equal to or greater than the Threshold Amount.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Debt Payments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xml:space="preserve">” means (a) any dividend or other distribution on account of any shares of any class of the Capital Stock of the Borrower (or any direct or indirect parent of the Borrower) except a dividend payable solely in shares of Qualified Capital Stock (or in options, warrants or other rights to purchase such Qualified Capital Stock) to the holders of such class, (b) any redemption, retirement, sinking fund or similar payment, purchase or other acquisition for value of any shares of any class of the Capital Stock of the Borrower and (c) any payment made to retire, or to obtain the surrender of, any outstanding warrants, options or other rights to acquire shares of any class of the Capital Stock of the Borrower now or hereafter outstanding (other than Convertible Indebtedness or Packaged Rights). The amount of any Restricted Payment (other than Cash) shall be the fair market value, as determined in good faith by the Borrower on the applicable date set forth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of the assets or securities proposed to be transferred or issued by the Borrower pursuant to such Restricted Payment. For the avoidance of doubt, any payment on account of any Indebtedness convertible into or exchangeable for Capital Stock or on account of Packaged Rights shall be deemed not to be a Restricted Payment.</w:t>
      </w:r>
    </w:p>
    <w:p>
      <w:pPr>
        <w:spacing w:after="0" w:line="188"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as to any Person, any subsidiary of such Person that is not an Unrestricted Subsidiary. Unless otherwise specified, “Restricted Subsidiary” shall mean any Restricted Subsidiary of the Borrower.</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series of transactions involving the Spin Business prior to the consummation of the Distribution, including the restructuring of the Spin Business and the transactions resulting in the Spin Business being owned directly, or indirectly through its subsidiaries, by the Borrower.</w:t>
      </w:r>
    </w:p>
    <w:p>
      <w:pPr>
        <w:spacing w:after="0" w:line="171"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Asset Sale Proceeds</w:t>
      </w:r>
      <w:r>
        <w:rPr>
          <w:rFonts w:ascii="Times New Roman" w:cs="Times New Roman" w:eastAsia="Times New Roman" w:hAnsi="Times New Roman"/>
          <w:sz w:val="18"/>
          <w:szCs w:val="18"/>
          <w:color w:val="auto"/>
        </w:rPr>
        <w:t xml:space="preserve">” means, at any date of determination, an amount determined on a cumulative basis, that is equal to the aggregate cumulative sum of all Net Proceeds in respect of any Prepayment Asset Sale and all Net Insurance/Condemnation Proceeds, in each case, received by the Borrower or any of its Restricted Subsidiaries that, pursuant to application of the Required Net Proceeds Percentage, are not or were not required to be applied to prepay Term Loans pursuant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397" w:name="page398"/>
    <w:bookmarkEnd w:id="39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Return Bid</w:t>
      </w:r>
      <w:r>
        <w:rPr>
          <w:rFonts w:ascii="Times New Roman" w:cs="Times New Roman" w:eastAsia="Times New Roman" w:hAnsi="Times New Roman"/>
          <w:sz w:val="18"/>
          <w:szCs w:val="18"/>
          <w:color w:val="auto"/>
        </w:rPr>
        <w:t>” has the meaning assigned to such term in the definition of “Dutch Auction”.</w:t>
      </w:r>
    </w:p>
    <w:p>
      <w:pPr>
        <w:spacing w:after="0" w:line="225" w:lineRule="exact"/>
        <w:rPr>
          <w:sz w:val="20"/>
          <w:szCs w:val="20"/>
          <w:color w:val="auto"/>
        </w:rPr>
      </w:pPr>
    </w:p>
    <w:p>
      <w:pPr>
        <w:ind w:left="4"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Revaluation Date</w:t>
      </w:r>
      <w:r>
        <w:rPr>
          <w:rFonts w:ascii="Times New Roman" w:cs="Times New Roman" w:eastAsia="Times New Roman" w:hAnsi="Times New Roman"/>
          <w:sz w:val="18"/>
          <w:szCs w:val="18"/>
          <w:color w:val="auto"/>
        </w:rPr>
        <w:t xml:space="preserve">” means (a) with respect to any Revolving Loan denominated in an Alternate Currency, each of the following: (i) each date of any Borrowing of such Revolving Loan, (ii) each date of any conversion or continuation of such Revolving Loan pursuant to the terms of this Agreement, (iii) the last day of each Fiscal Quarter and (iv) the date of any voluntary reduction of a Revolving Credit Commitment pursuant to </w:t>
      </w:r>
      <w:r>
        <w:rPr>
          <w:rFonts w:ascii="Times New Roman" w:cs="Times New Roman" w:eastAsia="Times New Roman" w:hAnsi="Times New Roman"/>
          <w:sz w:val="18"/>
          <w:szCs w:val="18"/>
          <w:u w:val="single" w:color="auto"/>
          <w:color w:val="auto"/>
        </w:rPr>
        <w:t>Section 2.09(b)</w:t>
      </w:r>
      <w:r>
        <w:rPr>
          <w:rFonts w:ascii="Times New Roman" w:cs="Times New Roman" w:eastAsia="Times New Roman" w:hAnsi="Times New Roman"/>
          <w:sz w:val="18"/>
          <w:szCs w:val="18"/>
          <w:color w:val="auto"/>
        </w:rPr>
        <w:t xml:space="preserve">; (b) with respect to any Letter of Credit denominated in any Alternate Currency, each of the following: (i) each date of issuance of such a Letter of Credit, (ii) each date of an amendment of such a Letter of Credit that would have the effect of increasing the face amount thereof and (iii) the last day of each Fiscal Quarter; (c) with respect to the unused Revolving Credit Commitment of any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such additional dates as the Administrative Agent or the Required Revolving Lenders shall reasonably require and (d) any additional date as the Administrative Agent shall determine or the Required Revolving Lenders shall require, in each case under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at any time when an Event of Default has occurred and is continuing.</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means any Additional Revolving Credit Commitment.</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Exposure</w:t>
      </w:r>
      <w:r>
        <w:rPr>
          <w:rFonts w:ascii="Times New Roman" w:cs="Times New Roman" w:eastAsia="Times New Roman" w:hAnsi="Times New Roman"/>
          <w:sz w:val="18"/>
          <w:szCs w:val="18"/>
          <w:color w:val="auto"/>
        </w:rPr>
        <w:t>” means, with respect to any Lender at any time, the aggregate Outstanding Amount at such time of such Lender’s Additional Revolving Credit Exposure.</w:t>
      </w:r>
    </w:p>
    <w:p>
      <w:pPr>
        <w:spacing w:after="0" w:line="15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any Incremental Revolving Facility, any facility governing any Extended Revolving Credit Commitment or Extended Revolving Loans and any Replacement Revolving Facility.</w:t>
      </w:r>
    </w:p>
    <w:p>
      <w:pPr>
        <w:spacing w:after="0" w:line="155"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any Additional Revolving Lender. Unless the context otherwise requires, the term “Revolving Lenders” shall include the Swingline Lender.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means any Additional Revolving Loans.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RFR Business Day</w:t>
      </w:r>
      <w:r>
        <w:rPr>
          <w:rFonts w:ascii="Times New Roman" w:cs="Times New Roman" w:eastAsia="Times New Roman" w:hAnsi="Times New Roman"/>
          <w:sz w:val="18"/>
          <w:szCs w:val="18"/>
          <w:color w:val="auto"/>
        </w:rPr>
        <w:t>” means, for any Obligations, interest, fees, commissions or other amounts denominated in, or calculated with respect to,</w:t>
      </w:r>
    </w:p>
    <w:p>
      <w:pPr>
        <w:spacing w:after="0" w:line="31" w:lineRule="exact"/>
        <w:rPr>
          <w:sz w:val="20"/>
          <w:szCs w:val="20"/>
          <w:color w:val="auto"/>
        </w:rPr>
      </w:pPr>
    </w:p>
    <w:p>
      <w:pPr>
        <w:ind w:left="4" w:right="200" w:hanging="4"/>
        <w:spacing w:after="0" w:line="255" w:lineRule="auto"/>
        <w:tabs>
          <w:tab w:leader="none" w:pos="249"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Sterling, any day except for (i) a Saturday, (ii) a Sunday or (iii) a day on which banks are closed for general business in London and (b) any other Alternate Currency (to the extent such Loans denominated in such currency will bear interest at a daily rate), any day other than those identified at the time such Alternate Currency is approved by the Administrative Agent and the relevant Lenders pursuant to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(at the time of this Agreement, Crimea, Cuba, Iran, North Korea, the so-called People’s Republic of Luhansk and the so-called People’s Republic of Donetsk and the non-Ukrainian government-controlled areas of the Zaporizhzhia and Kherson regions of Ukraine).</w:t>
      </w:r>
    </w:p>
    <w:p>
      <w:pPr>
        <w:spacing w:after="0" w:line="1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4"/>
          </w:cols>
          <w:pgMar w:left="436" w:top="266" w:right="459" w:bottom="1440" w:gutter="0" w:footer="0" w:header="0"/>
        </w:sectPr>
      </w:pPr>
    </w:p>
    <w:bookmarkStart w:id="398" w:name="page399"/>
    <w:bookmarkEnd w:id="398"/>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His Majesty’s Treasury (b) any Person located, organized or resident in a Sanctioned Country or (c) any Person owned or controlled by any such Person or Persons described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all economic or financial sanctions or trade embargoes imposed, administered or enforced from time to time by the Office of Foreign Assets Control of the U.S. Department of the Treasury, the U.S. Department of State, the United Nations Security Council, the European Union, His Majesty’s Treasury.</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Consideration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or all of its functions.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Hedging Obligations</w:t>
      </w:r>
      <w:r>
        <w:rPr>
          <w:rFonts w:ascii="Times New Roman" w:cs="Times New Roman" w:eastAsia="Times New Roman" w:hAnsi="Times New Roman"/>
          <w:sz w:val="18"/>
          <w:szCs w:val="18"/>
          <w:color w:val="auto"/>
        </w:rPr>
        <w:t>” means all Hedging Obligations (other than any Excluded Swap Obligations) under each Hedge Agreement that</w:t>
      </w:r>
    </w:p>
    <w:p>
      <w:pPr>
        <w:spacing w:after="0" w:line="31" w:lineRule="exact"/>
        <w:rPr>
          <w:sz w:val="20"/>
          <w:szCs w:val="20"/>
          <w:color w:val="auto"/>
        </w:rPr>
      </w:pPr>
    </w:p>
    <w:p>
      <w:pPr>
        <w:ind w:left="4" w:right="40" w:hanging="4"/>
        <w:spacing w:after="0" w:line="265" w:lineRule="auto"/>
        <w:tabs>
          <w:tab w:leader="none" w:pos="249" w:val="left"/>
        </w:tabs>
        <w:numPr>
          <w:ilvl w:val="0"/>
          <w:numId w:val="4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is in effect on the Closing Date between the Borrower or any Restricted Subsidiary of the Borrower and a counterparty that is the Administrative Agent, a Lender, an Arranger or any Affiliate of the Administrative Agent, a Lender or an Arranger as of the Closing Date or any other Person that is designated in writing by the Borrower to the Administrative Agent as such counterparty or (b) is entered into after the Closing Date between the Borrower or any Restricted Subsidiary of the Borrower and any counterparty that is (or is an Affiliate of) the Administrative Agent, any Lender or any Arranger at the time such Hedge Agreement is entered into or any other Person that is designated in writing by the Borrower to the Administrative Agent as such counterparty, for which such Loan Party or Restricted Subsidiary agrees to provide or procure security and in each case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w:t>
      </w:r>
    </w:p>
    <w:p>
      <w:pPr>
        <w:ind w:left="4" w:right="60" w:hanging="4"/>
        <w:spacing w:after="0" w:line="252" w:lineRule="auto"/>
        <w:tabs>
          <w:tab w:leader="none" w:pos="259" w:val="left"/>
        </w:tabs>
        <w:numPr>
          <w:ilvl w:val="0"/>
          <w:numId w:val="49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that has been designated to the Administrative Agent in writing by the Borrower as constituting a “Secured Hedging Obligation” for purposes of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Hedging Obligations may be designated as “Secured Hedging Obligations” hereunder if such Hedging Obligations constitute “Secured Hedging Obligations” (or similar term) under the Pro Rata Credit Agreement), it being understood that each counterparty thereto shall be deemed (A) to appoint the Collateral Agent and the Administrative Agent as its agent under the applicable Loan Documents and (B) to agree to be bound by the provisions of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Sections 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10.10</w:t>
      </w:r>
      <w:r>
        <w:rPr>
          <w:rFonts w:ascii="Times New Roman" w:cs="Times New Roman" w:eastAsia="Times New Roman" w:hAnsi="Times New Roman"/>
          <w:sz w:val="18"/>
          <w:szCs w:val="18"/>
          <w:color w:val="auto"/>
        </w:rPr>
        <w:t xml:space="preserve"> and each Acceptable Intercreditor Agreement as if it were a Lender.</w:t>
      </w:r>
    </w:p>
    <w:p>
      <w:pPr>
        <w:spacing w:after="0" w:line="186"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Leverage Ratio</w:t>
      </w:r>
      <w:r>
        <w:rPr>
          <w:rFonts w:ascii="Times New Roman" w:cs="Times New Roman" w:eastAsia="Times New Roman" w:hAnsi="Times New Roman"/>
          <w:sz w:val="18"/>
          <w:szCs w:val="18"/>
          <w:color w:val="auto"/>
        </w:rPr>
        <w:t>” means the ratio, as of any date of determination, of (a) Consolidated Secured Debt as of such date to (b) Consolidated Adjusted EBITDA for the Test Period then most recently ended or the Test Period otherwise specified where the term “Secured Leverage Ratio” is used in this Agreement, in each case of the Borrower and its Restricted Subsidiaries on a consolidated basis.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(i) the Lenders, the Swingline Lender and the Issuing Banks, (ii) the Administrative Agent and the Collateral Agent,</w:t>
      </w:r>
    </w:p>
    <w:p>
      <w:pPr>
        <w:spacing w:after="0" w:line="31" w:lineRule="exact"/>
        <w:rPr>
          <w:sz w:val="20"/>
          <w:szCs w:val="20"/>
          <w:color w:val="auto"/>
        </w:rPr>
      </w:pPr>
    </w:p>
    <w:p>
      <w:pPr>
        <w:ind w:left="4" w:right="400" w:hanging="4"/>
        <w:spacing w:after="0" w:line="253" w:lineRule="auto"/>
        <w:tabs>
          <w:tab w:leader="none" w:pos="319"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counterparty to a Hedge Agreement with a Loan Party or a Restricted Subsidiary the obligations under which constitute Secured Hedging Obligations, (iv) each provider of Banking Services to any Loan Party or a Restricted Subsidiary the obligations under which constitute Banking Services Obligations, (v) the Arrangers and (vi) the beneficiaries of each indemnification obligation undertaken by any Loan Party under any Loan Document.</w:t>
      </w:r>
    </w:p>
    <w:p>
      <w:pPr>
        <w:spacing w:after="0" w:line="185" w:lineRule="exact"/>
        <w:rPr>
          <w:sz w:val="20"/>
          <w:szCs w:val="20"/>
          <w:color w:val="auto"/>
        </w:rPr>
      </w:pPr>
    </w:p>
    <w:p>
      <w:pPr>
        <w:ind w:left="4" w:right="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xml:space="preserve">”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term “Securities” shall not include any earn-out agreement or obligation or any employee bonus or other incentive compensation plan or agreement.</w:t>
      </w:r>
    </w:p>
    <w:p>
      <w:pPr>
        <w:spacing w:after="0" w:line="10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0984"/>
          </w:cols>
          <w:pgMar w:left="436" w:top="266" w:right="479" w:bottom="1440" w:gutter="0" w:footer="0" w:header="0"/>
        </w:sectPr>
      </w:pPr>
    </w:p>
    <w:bookmarkStart w:id="399" w:name="page400"/>
    <w:bookmarkEnd w:id="39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and the rules and regulations of the SEC promulgated thereunder.</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the Pledge and Security Agreement,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among the Loan Parties and the Collateral Agent for the benefit of the Secured Parties.</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the execution, delivery and performance of the Separation Agreements and the consummation of the transactions, including the Restructuring, the Borrower Distribution and the Distribution, in connection with the separation of the Spin Business from the Parent, in each case as may be further described or referred to in, or contemplated by, the Separation Agreements.</w:t>
      </w:r>
    </w:p>
    <w:p>
      <w:pPr>
        <w:spacing w:after="0" w:line="171"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Agreements</w:t>
      </w:r>
      <w:r>
        <w:rPr>
          <w:rFonts w:ascii="Times New Roman" w:cs="Times New Roman" w:eastAsia="Times New Roman" w:hAnsi="Times New Roman"/>
          <w:sz w:val="18"/>
          <w:szCs w:val="18"/>
          <w:color w:val="auto"/>
        </w:rPr>
        <w:t>” means any and all agreements entered into in contemplation of, or to effect or facilitate, or otherwise in connection with, the Separation, including the Separation and Distribution Agreement, the Tax Matters Agreement, the Transition Services Agreement, the Employee Matters Agreement and the Ancillary Agreements (each as described or referred to in, or contemplated by, the Form 10), and any other transition services agreements, other commercial agreements or arrangements or other agreements or arrangements described or referred to therein or in the Form 10 or contemplated thereby or by the Form 10.</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and Distribution Agreement</w:t>
      </w:r>
      <w:r>
        <w:rPr>
          <w:rFonts w:ascii="Times New Roman" w:cs="Times New Roman" w:eastAsia="Times New Roman" w:hAnsi="Times New Roman"/>
          <w:sz w:val="18"/>
          <w:szCs w:val="18"/>
          <w:color w:val="auto"/>
        </w:rPr>
        <w:t>” has the meaning set forth in the Form 10.</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5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66" w:right="459" w:bottom="1440" w:gutter="0" w:footer="0" w:header="0"/>
        </w:sectPr>
      </w:pPr>
    </w:p>
    <w:bookmarkStart w:id="400" w:name="page401"/>
    <w:bookmarkEnd w:id="400"/>
    <w:p>
      <w:pPr>
        <w:ind w:right="40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Shared Incremental Amount</w:t>
      </w:r>
      <w:r>
        <w:rPr>
          <w:rFonts w:ascii="Times New Roman" w:cs="Times New Roman" w:eastAsia="Times New Roman" w:hAnsi="Times New Roman"/>
          <w:sz w:val="18"/>
          <w:szCs w:val="18"/>
          <w:color w:val="auto"/>
        </w:rPr>
        <w:t xml:space="preserve">” means, as of any date of determination, (a) the greater of $787,500,000 and 35% of Consolidated Adjusted EBITDA as of the last day of the most recently ended Test Period calculated on a Pro Forma Basis, minus (b) the aggregate principal amount of all Incremental Facilities, Incremental Equivalent Debt and/or Indebtedness under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originally established in reliance on the Shared Incremental Amount outstanding on such date of determination, in each case after giving effect to any reclassification of any such Indebtedness as having been incurred under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hereunder.</w:t>
      </w:r>
    </w:p>
    <w:p>
      <w:pPr>
        <w:spacing w:after="0" w:line="179"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Shared RP Amount</w:t>
      </w:r>
      <w:r>
        <w:rPr>
          <w:rFonts w:ascii="Times New Roman" w:cs="Times New Roman" w:eastAsia="Times New Roman" w:hAnsi="Times New Roman"/>
          <w:sz w:val="18"/>
          <w:szCs w:val="18"/>
          <w:color w:val="auto"/>
        </w:rPr>
        <w:t xml:space="preserve">” means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Sections 6.04(a)(ii)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(a)(x)</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xml:space="preserve">” means any Person the majority of the revenues of which are derived from a business that would be permitted by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if the references to “Restricted Subsidiaries”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 xml:space="preserve"> were read to refer to such Person.</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with respect to any U.S. Government Securities Business Day, a rate per annum equal to the secured overnight financing rate for such U.S. Government Securities Business Day published by the SOFR Administrator on the website of the SOFR Administrator, currently at http://www.newyorkfed.org (or any successor source for the secured overnight financing rate identified as such by the SOFR Administrator from time to time) on the immediately succeeding U.S. Government Securities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10.05(e)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Cash Payment</w:t>
      </w:r>
      <w:r>
        <w:rPr>
          <w:rFonts w:ascii="Times New Roman" w:cs="Times New Roman" w:eastAsia="Times New Roman" w:hAnsi="Times New Roman"/>
          <w:sz w:val="18"/>
          <w:szCs w:val="18"/>
          <w:color w:val="auto"/>
        </w:rPr>
        <w:t xml:space="preserve">” has the meaning set forth in the Separation and Distribution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the Special Cash Payment shall not exceed $2,250,000,000.</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with respect to the Borrower,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Foreign Subsidiary</w:t>
      </w:r>
      <w:r>
        <w:rPr>
          <w:rFonts w:ascii="Times New Roman" w:cs="Times New Roman" w:eastAsia="Times New Roman" w:hAnsi="Times New Roman"/>
          <w:sz w:val="18"/>
          <w:szCs w:val="18"/>
          <w:color w:val="auto"/>
        </w:rPr>
        <w:t>” means a Foreign Subsidiary that is a CFC within the meaning of Section 957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means the representations and warranties set forth in </w:t>
      </w:r>
      <w:r>
        <w:rPr>
          <w:rFonts w:ascii="Times New Roman" w:cs="Times New Roman" w:eastAsia="Times New Roman" w:hAnsi="Times New Roman"/>
          <w:sz w:val="18"/>
          <w:szCs w:val="18"/>
          <w:u w:val="single" w:color="auto"/>
          <w:color w:val="auto"/>
        </w:rPr>
        <w:t>Section 3.01(a)(i)</w:t>
      </w:r>
      <w:r>
        <w:rPr>
          <w:rFonts w:ascii="Times New Roman" w:cs="Times New Roman" w:eastAsia="Times New Roman" w:hAnsi="Times New Roman"/>
          <w:sz w:val="18"/>
          <w:szCs w:val="18"/>
          <w:color w:val="auto"/>
        </w:rPr>
        <w:t xml:space="preserve"> (as it relates to the Borrower),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(as it relates to the due authorization, execution, delivery and performance of the Loan Documents and the enforceability thereof), </w:t>
      </w:r>
      <w:r>
        <w:rPr>
          <w:rFonts w:ascii="Times New Roman" w:cs="Times New Roman" w:eastAsia="Times New Roman" w:hAnsi="Times New Roman"/>
          <w:sz w:val="18"/>
          <w:szCs w:val="18"/>
          <w:u w:val="single" w:color="auto"/>
          <w:color w:val="auto"/>
        </w:rPr>
        <w:t>Section 3.03(b)(i)</w:t>
      </w:r>
      <w:r>
        <w:rPr>
          <w:rFonts w:ascii="Times New Roman" w:cs="Times New Roman" w:eastAsia="Times New Roman" w:hAnsi="Times New Roman"/>
          <w:sz w:val="18"/>
          <w:szCs w:val="18"/>
          <w:color w:val="auto"/>
        </w:rPr>
        <w:t xml:space="preserve"> (limited to the execution, delivery and performance of the Loan Documents, incurrence of the Indebtedness thereunder and the granting of Guarantees and Liens in respect thereof),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(as it relates to the creation, validity and perfection of the security interests in the Collateral, subject to the last sentence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3.17(a)(ii)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980"/>
          </w:cols>
          <w:pgMar w:left="440" w:top="266" w:right="479" w:bottom="1440" w:gutter="0" w:footer="0" w:header="0"/>
        </w:sectPr>
      </w:pPr>
    </w:p>
    <w:bookmarkStart w:id="401" w:name="page402"/>
    <w:bookmarkEnd w:id="40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Spin Business</w:t>
      </w:r>
      <w:r>
        <w:rPr>
          <w:rFonts w:ascii="Times New Roman" w:cs="Times New Roman" w:eastAsia="Times New Roman" w:hAnsi="Times New Roman"/>
          <w:sz w:val="18"/>
          <w:szCs w:val="18"/>
          <w:color w:val="auto"/>
        </w:rPr>
        <w:t>” means the SpinCo Business as defined in the Separation and Distribution Agreement.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Spot Rate</w:t>
      </w:r>
      <w:r>
        <w:rPr>
          <w:rFonts w:ascii="Times New Roman" w:cs="Times New Roman" w:eastAsia="Times New Roman" w:hAnsi="Times New Roman"/>
          <w:sz w:val="18"/>
          <w:szCs w:val="18"/>
          <w:color w:val="auto"/>
        </w:rPr>
        <w:t xml:space="preserve">” means, for any currency, on any Revaluation Date or other relevant date of determination, the rate determined by the Administrative Agent to be the rate quoted by the Administrative Agent as the spot rate for the purchase by the Administrative Agent of such currency with another currency through its principal foreign exchange trading office at approximately 11:00 a.m. on the date that is two Business Days prior to the date as of which the foreign exchange computation is made (or on such other day and time as may be mutually agreed by the Borrower and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may obtain such spot rate from another financial institution designated by the Administrative Agent if the Administrative Agent does not have as of the date of determination a spot buying rate for any such currency.</w:t>
      </w:r>
    </w:p>
    <w:p>
      <w:pPr>
        <w:spacing w:after="0" w:line="182" w:lineRule="exact"/>
        <w:rPr>
          <w:sz w:val="20"/>
          <w:szCs w:val="20"/>
          <w:color w:val="auto"/>
        </w:rPr>
      </w:pPr>
    </w:p>
    <w:p>
      <w:pPr>
        <w:ind w:left="4"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all representations, warranties, covenants, indemnities, performance guarantees, servicing obligations and repurchase obligations (including guarantees thereof), entered into by the Borrower or any Subsidiary which are customary in connection with any Receivables Facility (as determined by the Borrower in good faith).</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Standby Letter of Credit</w:t>
      </w:r>
      <w:r>
        <w:rPr>
          <w:rFonts w:ascii="Times New Roman" w:cs="Times New Roman" w:eastAsia="Times New Roman" w:hAnsi="Times New Roman"/>
          <w:sz w:val="18"/>
          <w:szCs w:val="18"/>
          <w:color w:val="auto"/>
        </w:rPr>
        <w:t>” means any Letter of Credit other than any Commercial Letter of Credit.</w:t>
      </w:r>
    </w:p>
    <w:p>
      <w:pPr>
        <w:spacing w:after="0" w:line="225" w:lineRule="exact"/>
        <w:rPr>
          <w:sz w:val="20"/>
          <w:szCs w:val="20"/>
          <w:color w:val="auto"/>
        </w:rPr>
      </w:pPr>
    </w:p>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maximum amount available to be drawn thereunder, in each case determined (x) as if any future automatic increases in the maximum available amount provided for in any such Letter of Credit had in fact occurred at such time and (y) without regard to whether any conditions to drawing could then be met but after giving effect to all previous drawings made thereunder.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currency of the United Kingdom.</w:t>
      </w:r>
    </w:p>
    <w:p>
      <w:pPr>
        <w:spacing w:after="0" w:line="225"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Loans</w:t>
      </w:r>
      <w:r>
        <w:rPr>
          <w:rFonts w:ascii="Times New Roman" w:cs="Times New Roman" w:eastAsia="Times New Roman" w:hAnsi="Times New Roman"/>
          <w:sz w:val="18"/>
          <w:szCs w:val="18"/>
          <w:color w:val="auto"/>
        </w:rPr>
        <w:t xml:space="preserve">” means, as of any date of determination, (a) Initial Term Loans and (b) any Additional Term Loans that are subject to ratable prepayment requirements in accordance with </w:t>
      </w:r>
      <w:r>
        <w:rPr>
          <w:rFonts w:ascii="Times New Roman" w:cs="Times New Roman" w:eastAsia="Times New Roman" w:hAnsi="Times New Roman"/>
          <w:sz w:val="18"/>
          <w:szCs w:val="18"/>
          <w:u w:val="single" w:color="auto"/>
          <w:color w:val="auto"/>
        </w:rPr>
        <w:t>Section 2.11(b)(vii)</w:t>
      </w:r>
      <w:r>
        <w:rPr>
          <w:rFonts w:ascii="Times New Roman" w:cs="Times New Roman" w:eastAsia="Times New Roman" w:hAnsi="Times New Roman"/>
          <w:sz w:val="18"/>
          <w:szCs w:val="18"/>
          <w:color w:val="auto"/>
        </w:rPr>
        <w:t xml:space="preserve"> on such date.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Person</w:t>
      </w:r>
      <w:r>
        <w:rPr>
          <w:rFonts w:ascii="Times New Roman" w:cs="Times New Roman" w:eastAsia="Times New Roman" w:hAnsi="Times New Roman"/>
          <w:sz w:val="18"/>
          <w:szCs w:val="18"/>
          <w:color w:val="auto"/>
        </w:rPr>
        <w:t>” has the meaning assigned to such term in the definition of “Consolidated Net Income”.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4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Subject Transaction</w:t>
      </w:r>
      <w:r>
        <w:rPr>
          <w:rFonts w:ascii="Times New Roman" w:cs="Times New Roman" w:eastAsia="Times New Roman" w:hAnsi="Times New Roman"/>
          <w:sz w:val="17"/>
          <w:szCs w:val="17"/>
          <w:color w:val="auto"/>
        </w:rPr>
        <w:t>” means, with respect to any Test Period, (a) the Transactions, (b) any Permitted Acquisition or any other acquisition or similar Investment, whether by purchase, merger, amalgamation or otherwise, of all or substantially all of the assets of, or any business line, unit or division of, any Person or any facility, or of a majority of the outstanding Capital Stock of any Person (and in any event including any Investment in</w:t>
      </w:r>
    </w:p>
    <w:p>
      <w:pPr>
        <w:spacing w:after="0" w:line="1" w:lineRule="exact"/>
        <w:rPr>
          <w:sz w:val="20"/>
          <w:szCs w:val="20"/>
          <w:color w:val="auto"/>
        </w:rPr>
      </w:pPr>
    </w:p>
    <w:p>
      <w:pPr>
        <w:ind w:left="4" w:right="60" w:hanging="4"/>
        <w:spacing w:after="0" w:line="255" w:lineRule="auto"/>
        <w:tabs>
          <w:tab w:leader="none" w:pos="259"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the effect of which is to increase the Borrower’s or any Restricted Subsidiary’s respective equity ownership in such Restricted Subsidiary or (y) any Joint Venture for the purpose of increasing the Borrower’s or its relevant Restricted Subsidiary’s ownership interest in such Joint Venture), in each case that is permitted by this Agreement, (c) any</w:t>
      </w:r>
    </w:p>
    <w:p>
      <w:pPr>
        <w:spacing w:after="0" w:line="118" w:lineRule="exact"/>
        <w:rPr>
          <w:sz w:val="20"/>
          <w:szCs w:val="20"/>
          <w:color w:val="auto"/>
        </w:rPr>
      </w:pPr>
    </w:p>
    <w:p>
      <w:pPr>
        <w:jc w:val="center"/>
        <w:ind w:right="-10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04"/>
          </w:cols>
          <w:pgMar w:left="436" w:top="266" w:right="559" w:bottom="1440" w:gutter="0" w:footer="0" w:header="0"/>
        </w:sectPr>
      </w:pPr>
    </w:p>
    <w:bookmarkStart w:id="402" w:name="page403"/>
    <w:bookmarkEnd w:id="40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Disposition of all or substantially all of the assets or Capital Stock of a subsidiary (or any business unit, line of business or division of the Borrower or a Restricted Subsidiary) not prohibited by this Agreement, (d) the designation of a Restricted Subsidiary as an Unrestricted Subsidiary or an Unrestricted Subsidiary as a Restricted Subsidiary in accordance with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hereof, (e) any incurrence or repayment of Indebtedness (other than revolving Indebtedness), (f) any Cost Saving Initiative and/or (g) any other event that by the terms of the Loan Documents requires pro forma compliance with a test or covenant hereunder or requires such test or covenant to be calculated on a pro forma basis.</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xml:space="preserve">”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Borrower.</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xml:space="preserve">” means (x) on the Closing Date, each subsidiary of the Borrower (other than any subsidiary that is an Excluded Subsidiary on the Closing Date) listed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as of the Closing Date and (y) thereafter, each subsidiary of the Borrower that becomes a guarantor of the Obligations pursuant to the terms of this Agreement, in each case, until such time as the relevant subsidiary is released from its obligations under the Loan Guarantee in accordance with the terms and provisions hereof. Notwithstanding the foregoing, the Borrower may from time to time, upon notice to the Administrative Agent, elect to cause any subsidiary that would otherwise be an Excluded Subsidiary to become a Subsidiary Guarantor hereunder (but shall have no obligation to do so), subject to the satisfaction of guarantee and collateral requirements consistent with the Collateral and Guarantee Requirements or otherwise reasonably acceptable to the Borrower and the Administrative Agent (which shall include, in the case of a Foreign Subsidiary, guarantee and collateral requirements customary under local law, including customary local limitations). For the avoidance of doubt, in no event shall an Excluded Subsidiary be a Subsidiary Guarantor unless the Borrower makes such an election with respect to the Excluded Subsidiary.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Affiliate Lender</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Substitute Facility Office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080" w:hanging="221"/>
        <w:spacing w:after="0"/>
        <w:tabs>
          <w:tab w:leader="none" w:pos="1080"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“Successor Borrower” as referenced in </w:t>
      </w:r>
      <w:r>
        <w:rPr>
          <w:rFonts w:ascii="Times New Roman" w:cs="Times New Roman" w:eastAsia="Times New Roman" w:hAnsi="Times New Roman"/>
          <w:sz w:val="18"/>
          <w:szCs w:val="18"/>
          <w:u w:val="single" w:color="auto"/>
          <w:color w:val="auto"/>
        </w:rPr>
        <w:t>Section 6.07(a)(i)(B)</w:t>
      </w:r>
      <w:r>
        <w:rPr>
          <w:rFonts w:ascii="Times New Roman" w:cs="Times New Roman" w:eastAsia="Times New Roman" w:hAnsi="Times New Roman"/>
          <w:sz w:val="18"/>
          <w:szCs w:val="18"/>
          <w:color w:val="auto"/>
        </w:rPr>
        <w:t>; and/or</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28"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appointed by the Borrower as a “Successor Borrower” pursuant to a Permitted Reorganization,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“Successor Borrower” shall (x) expressly assume the applicable Loan Document Obligations of the applicable Borrower, in a manner reasonably satisfactory to the Administrative Agent, and (y) be an entity organized or existing under the laws of the U.S., any state thereof or the District of Columbia, and subject to the following conditions:</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76" w:val="left"/>
        </w:tabs>
        <w:numPr>
          <w:ilvl w:val="1"/>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customary “know your customer” information reasonably requested by the Administrative Agent (including, if such Person qualifies as a “legal entity customer” under the Beneficial Ownership Regulation, a Beneficial Ownership Certificate as to such Successor Borrower);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403" w:name="page404"/>
    <w:bookmarkEnd w:id="403"/>
    <w:p>
      <w:pPr>
        <w:ind w:left="980" w:right="200" w:firstLine="408"/>
        <w:spacing w:after="0" w:line="266" w:lineRule="auto"/>
        <w:tabs>
          <w:tab w:leader="none" w:pos="166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the Administrative Agent may otherwise agree, each Guarantor (unless it is the Person appointed as such Successor Borrower) shall have executed and delivered a reaffirmation agreement with respect to its obligations under the Loan Guarantee and the other applicable Loan Documents; and</w:t>
      </w:r>
    </w:p>
    <w:p>
      <w:pPr>
        <w:spacing w:after="0" w:line="67"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66"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a certificate to the Administrative Agent stating that at the time of (and immediately after) giving effect to the appointment of such Successor Borrower, no Event of Default shall have occurred that is continuing.</w:t>
      </w:r>
    </w:p>
    <w:p>
      <w:pPr>
        <w:spacing w:after="0" w:line="158"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Obligations</w:t>
      </w:r>
      <w:r>
        <w:rPr>
          <w:rFonts w:ascii="Times New Roman" w:cs="Times New Roman" w:eastAsia="Times New Roman" w:hAnsi="Times New Roman"/>
          <w:sz w:val="18"/>
          <w:szCs w:val="18"/>
          <w:color w:val="auto"/>
        </w:rPr>
        <w:t>” means, with respect to any Loan Party,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Commitment</w:t>
      </w:r>
      <w:r>
        <w:rPr>
          <w:rFonts w:ascii="Times New Roman" w:cs="Times New Roman" w:eastAsia="Times New Roman" w:hAnsi="Times New Roman"/>
          <w:sz w:val="18"/>
          <w:szCs w:val="18"/>
          <w:color w:val="auto"/>
        </w:rPr>
        <w:t>” means, with respect to each Swingline Lender, the commitment of such Lender to make Swingline Loans hereunder as set forth on the Commitment Schedule after giving effect to any applicable Incremental Facility Amendment or other amendment to this Agreement. The aggregate amount of the Swingline Commitments as of the Closing Date is $0.</w:t>
      </w:r>
    </w:p>
    <w:p>
      <w:pPr>
        <w:spacing w:after="0" w:line="171"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Exposure</w:t>
      </w:r>
      <w:r>
        <w:rPr>
          <w:rFonts w:ascii="Times New Roman" w:cs="Times New Roman" w:eastAsia="Times New Roman" w:hAnsi="Times New Roman"/>
          <w:sz w:val="18"/>
          <w:szCs w:val="18"/>
          <w:color w:val="auto"/>
        </w:rPr>
        <w:t>” means, at any time, the aggregate principal amount of Swingline Loans outstanding at such time. The Swingline Exposure of any Revolving Lender at any time shall be equal to its Applicable Percentage of the aggregate Swingline Exposure at such time.</w:t>
      </w:r>
    </w:p>
    <w:p>
      <w:pPr>
        <w:spacing w:after="0" w:line="15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Lender</w:t>
      </w:r>
      <w:r>
        <w:rPr>
          <w:rFonts w:ascii="Times New Roman" w:cs="Times New Roman" w:eastAsia="Times New Roman" w:hAnsi="Times New Roman"/>
          <w:sz w:val="18"/>
          <w:szCs w:val="18"/>
          <w:color w:val="auto"/>
        </w:rPr>
        <w:t>” means the applicable Revolving Lender with a Swingline Commitment, in its capacity as lender of Swingline Loans hereunder, or any successor lender of Swingline Loans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Swingline Loan</w:t>
      </w:r>
      <w:r>
        <w:rPr>
          <w:rFonts w:ascii="Times New Roman" w:cs="Times New Roman" w:eastAsia="Times New Roman" w:hAnsi="Times New Roman"/>
          <w:sz w:val="18"/>
          <w:szCs w:val="18"/>
          <w:color w:val="auto"/>
        </w:rPr>
        <w:t xml:space="preserve">” means any Loan made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T2 (or, if such payment system ceases to be operative, such other payment system, if any, determined by the Administrative Agent to be a suitable replacement) is open for the settlement of payments in Euro.</w:t>
      </w:r>
    </w:p>
    <w:p>
      <w:pPr>
        <w:spacing w:after="0" w:line="155" w:lineRule="exact"/>
        <w:rPr>
          <w:sz w:val="20"/>
          <w:szCs w:val="20"/>
          <w:color w:val="auto"/>
        </w:rPr>
      </w:pPr>
    </w:p>
    <w:p>
      <w:pPr>
        <w:ind w:right="3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any and all present and future taxes, levies, imposts, duties, deductions, withholdings (including backup withholding), assessments, fees or other charges imposed by any Governmental Authority, including any interest, additions to tax and penalties applicable thereto.</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w:t>
      </w:r>
      <w:r>
        <w:rPr>
          <w:rFonts w:ascii="Times New Roman" w:cs="Times New Roman" w:eastAsia="Times New Roman" w:hAnsi="Times New Roman"/>
          <w:sz w:val="18"/>
          <w:szCs w:val="18"/>
          <w:color w:val="auto"/>
        </w:rPr>
        <w:t>” means any Initial Term Loan Commitment and, if applicable, any Additional Term Loan Commitment.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Administrator</w:t>
      </w:r>
      <w:r>
        <w:rPr>
          <w:rFonts w:ascii="Times New Roman" w:cs="Times New Roman" w:eastAsia="Times New Roman" w:hAnsi="Times New Roman"/>
          <w:sz w:val="18"/>
          <w:szCs w:val="18"/>
          <w:color w:val="auto"/>
        </w:rPr>
        <w:t>” means Candeal Benchmark Administration Services Inc., TSX Inc., or any successor administrator.</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80"/>
          </w:cols>
          <w:pgMar w:left="440" w:top="270" w:right="479" w:bottom="1440" w:gutter="0" w:footer="0" w:header="0"/>
        </w:sectPr>
      </w:pPr>
    </w:p>
    <w:bookmarkStart w:id="404" w:name="page405"/>
    <w:bookmarkEnd w:id="404"/>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CORRA</w:t>
      </w:r>
      <w:r>
        <w:rPr>
          <w:rFonts w:ascii="Times New Roman" w:cs="Times New Roman" w:eastAsia="Times New Roman" w:hAnsi="Times New Roman"/>
          <w:sz w:val="18"/>
          <w:szCs w:val="18"/>
          <w:color w:val="auto"/>
        </w:rPr>
        <w:t>” means, for any calculation with respect to a Term CORRA Loan, the Term CORRA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CORRA Determination Day</w:t>
      </w:r>
      <w:r>
        <w:rPr>
          <w:rFonts w:ascii="Times New Roman" w:cs="Times New Roman" w:eastAsia="Times New Roman" w:hAnsi="Times New Roman"/>
          <w:sz w:val="18"/>
          <w:szCs w:val="18"/>
          <w:color w:val="auto"/>
        </w:rPr>
        <w:t xml:space="preserve">”) that is two (2) Business Days prior to the first day of such Interest Period, as such rate is published by the Term CORRA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Term CORRA shall ever be less than zero, then Term CORRA shall be deemed to be zero.</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Borrowing</w:t>
      </w:r>
      <w:r>
        <w:rPr>
          <w:rFonts w:ascii="Times New Roman" w:cs="Times New Roman" w:eastAsia="Times New Roman" w:hAnsi="Times New Roman"/>
          <w:sz w:val="18"/>
          <w:szCs w:val="18"/>
          <w:color w:val="auto"/>
        </w:rPr>
        <w:t>” means a Borrowing comprised of Term CORRA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Loan</w:t>
      </w:r>
      <w:r>
        <w:rPr>
          <w:rFonts w:ascii="Times New Roman" w:cs="Times New Roman" w:eastAsia="Times New Roman" w:hAnsi="Times New Roman"/>
          <w:sz w:val="18"/>
          <w:szCs w:val="18"/>
          <w:color w:val="auto"/>
        </w:rPr>
        <w:t xml:space="preserve">” means a Loan made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that bears interest at a rate based on Term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CORRA Reference Rate</w:t>
      </w:r>
      <w:r>
        <w:rPr>
          <w:rFonts w:ascii="Times New Roman" w:cs="Times New Roman" w:eastAsia="Times New Roman" w:hAnsi="Times New Roman"/>
          <w:sz w:val="18"/>
          <w:szCs w:val="18"/>
          <w:color w:val="auto"/>
        </w:rPr>
        <w:t>” means the forward-looking term rate based on CORRA.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means the Term Loans provided to or for the benefit of the Borrower pursuant to the terms of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Lender with a Term Commitment or an outstanding Term Loan.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the Initial Term Loans and, if applicable, any Additional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229" w:lineRule="exact"/>
        <w:rPr>
          <w:sz w:val="20"/>
          <w:szCs w:val="20"/>
          <w:color w:val="auto"/>
        </w:rPr>
      </w:pPr>
    </w:p>
    <w:p>
      <w:pPr>
        <w:ind w:right="20" w:firstLine="987"/>
        <w:spacing w:after="0" w:line="254" w:lineRule="auto"/>
        <w:tabs>
          <w:tab w:leader="none" w:pos="123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Eurocurrency Rate Loan denominated in Dollars,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Periodic Term SOFR Determination Day, and</w:t>
      </w:r>
    </w:p>
    <w:p>
      <w:pPr>
        <w:spacing w:after="0" w:line="19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an ABR Loan denominated in Dollars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 Reference Rate for the applicable tenor has not been published by the Term SOFR Administrator,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five (5) U.S. Government Securities Business Days prior to such ABR Term SOFR Determination Day.</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40" w:top="266" w:right="479" w:bottom="1440" w:gutter="0" w:footer="0" w:header="0"/>
        </w:sectPr>
      </w:pPr>
    </w:p>
    <w:bookmarkStart w:id="405" w:name="page406"/>
    <w:bookmarkEnd w:id="405"/>
    <w:p>
      <w:pPr>
        <w:ind w:left="4"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the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rate per annum determined by the Administrative Agent as the forward-looking term rate based on SOFR.</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xml:space="preserve">” has the meaning assigned to such term in the lead-in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xml:space="preserve">” means, as of any date, (a) [reserved] and (b) the period of four consecutive Fiscal Quarters then most recently ended for which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applicable, have been delivered (or are required to have been delivered) or, at the Borrower’s election, are internally available; it being understood and agreed that prior to the first delivery (or required delivery) of financial statements under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“Test Period” means the period of four consecutive Fiscal Quarters most recently ended for which financial statements of the Borrower and its consolidated (or, to the extent provided in </w:t>
      </w:r>
      <w:r>
        <w:rPr>
          <w:rFonts w:ascii="Times New Roman" w:cs="Times New Roman" w:eastAsia="Times New Roman" w:hAnsi="Times New Roman"/>
          <w:sz w:val="18"/>
          <w:szCs w:val="18"/>
          <w:u w:val="single" w:color="auto"/>
          <w:color w:val="auto"/>
        </w:rPr>
        <w:t>Section 1.04(l)</w:t>
      </w:r>
      <w:r>
        <w:rPr>
          <w:rFonts w:ascii="Times New Roman" w:cs="Times New Roman" w:eastAsia="Times New Roman" w:hAnsi="Times New Roman"/>
          <w:sz w:val="18"/>
          <w:szCs w:val="18"/>
          <w:color w:val="auto"/>
        </w:rPr>
        <w:t>, combined) subsidiaries are available.</w:t>
      </w:r>
    </w:p>
    <w:p>
      <w:pPr>
        <w:spacing w:after="0" w:line="179"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the greater of $562,500,000 and 25% of Consolidated Adjusted EBITDA as of the last day of the most recently ended Test Period.</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Leverage Ratio</w:t>
      </w:r>
      <w:r>
        <w:rPr>
          <w:rFonts w:ascii="Times New Roman" w:cs="Times New Roman" w:eastAsia="Times New Roman" w:hAnsi="Times New Roman"/>
          <w:sz w:val="18"/>
          <w:szCs w:val="18"/>
          <w:color w:val="auto"/>
        </w:rPr>
        <w:t>” means the ratio, as of any date of determination, of (a) Consolidated Total Debt outstanding as of such date to</w:t>
      </w:r>
    </w:p>
    <w:p>
      <w:pPr>
        <w:spacing w:after="0" w:line="31" w:lineRule="exact"/>
        <w:rPr>
          <w:sz w:val="20"/>
          <w:szCs w:val="20"/>
          <w:color w:val="auto"/>
        </w:rPr>
      </w:pPr>
    </w:p>
    <w:p>
      <w:pPr>
        <w:ind w:left="4" w:hanging="4"/>
        <w:spacing w:after="0" w:line="260" w:lineRule="auto"/>
        <w:tabs>
          <w:tab w:leader="none" w:pos="259" w:val="left"/>
        </w:tabs>
        <w:numPr>
          <w:ilvl w:val="0"/>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Adjusted EBITDA for the Test Period then most recently ended or the Test Period otherwise specified where the term “Total Leverage Ratio” is used in this Agreement, in each case of the Borrower and its Restricted Subsidiaries on a consolidated basis.</w:t>
      </w:r>
    </w:p>
    <w:p>
      <w:pPr>
        <w:spacing w:after="0" w:line="177"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Credit Commitment</w:t>
      </w:r>
      <w:r>
        <w:rPr>
          <w:rFonts w:ascii="Times New Roman" w:cs="Times New Roman" w:eastAsia="Times New Roman" w:hAnsi="Times New Roman"/>
          <w:sz w:val="18"/>
          <w:szCs w:val="18"/>
          <w:color w:val="auto"/>
        </w:rPr>
        <w:t>” means, at any time, the aggregate amount of the Revolving Credit Commitments as in effect at such time. The Total Revolving Credit Commitment as of the Closing Date is $0.</w:t>
      </w:r>
    </w:p>
    <w:p>
      <w:pPr>
        <w:spacing w:after="0" w:line="155" w:lineRule="exact"/>
        <w:rPr>
          <w:sz w:val="20"/>
          <w:szCs w:val="20"/>
          <w:color w:val="auto"/>
        </w:rPr>
      </w:pPr>
    </w:p>
    <w:p>
      <w:pPr>
        <w:ind w:left="4" w:right="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“Trade Date</w:t>
      </w:r>
      <w:r>
        <w:rPr>
          <w:rFonts w:ascii="Times New Roman" w:cs="Times New Roman" w:eastAsia="Times New Roman" w:hAnsi="Times New Roman"/>
          <w:sz w:val="18"/>
          <w:szCs w:val="18"/>
          <w:color w:val="auto"/>
        </w:rPr>
        <w:t>” means the date on which the applicable Lender entered into a binding agreement to sell and assign or participate all or a portion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its rights and/or obligations under this Agreement.</w:t>
      </w:r>
    </w:p>
    <w:p>
      <w:pPr>
        <w:spacing w:after="0" w:line="15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Trademark</w:t>
      </w:r>
      <w:r>
        <w:rPr>
          <w:rFonts w:ascii="Times New Roman" w:cs="Times New Roman" w:eastAsia="Times New Roman" w:hAnsi="Times New Roman"/>
          <w:sz w:val="18"/>
          <w:szCs w:val="18"/>
          <w:color w:val="auto"/>
        </w:rPr>
        <w:t>” means all trademarks, trade names, trade dress and logos, registrations and applications for registration thereof and the goodwill of the business symbolized by the foregoing, and all renewals of the foregoing.</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means fees, premiums, expenses and other transaction costs (including original issue discount or upfront fees) payable or otherwise borne by the Borrower and/or its subsidiaries in connection with the Transactions and the transactions contemplated thereby.</w:t>
      </w:r>
    </w:p>
    <w:p>
      <w:pPr>
        <w:spacing w:after="0" w:line="155" w:lineRule="exact"/>
        <w:rPr>
          <w:sz w:val="20"/>
          <w:szCs w:val="20"/>
          <w:color w:val="auto"/>
        </w:rPr>
      </w:pPr>
    </w:p>
    <w:p>
      <w:pPr>
        <w:ind w:left="4" w:right="80"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means, collectively, (a) the execution, delivery and performance by the Loan Parties of the Loan Documents to which they are a party and the Borrowing of Loans hereunder, (b) the execution, delivery and performance by the Borrower and its respective subsidiaries (and/or any escrow subsidiaries of the Borrower or the Parent) of documents in connection with, and incurrence of, Pro Rata Facilities and Other Secured Debt,</w:t>
      </w:r>
    </w:p>
    <w:p>
      <w:pPr>
        <w:spacing w:after="0" w:line="1" w:lineRule="exact"/>
        <w:rPr>
          <w:sz w:val="20"/>
          <w:szCs w:val="20"/>
          <w:color w:val="auto"/>
        </w:rPr>
      </w:pPr>
    </w:p>
    <w:p>
      <w:pPr>
        <w:ind w:left="4" w:right="60" w:hanging="4"/>
        <w:spacing w:after="0" w:line="255" w:lineRule="auto"/>
        <w:tabs>
          <w:tab w:leader="none" w:pos="249"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Separation Agreements and the consummation of the Separation, including the Restructuring, the Borrower Distribution and the Distribution, and other transactions contemplated by Separation Agreements or otherwise in connection therewith, (d) the payment of the Special Cash Payment and (e) the payment of the Transaction Costs.</w:t>
      </w:r>
    </w:p>
    <w:p>
      <w:pPr>
        <w:spacing w:after="0" w:line="11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24"/>
          </w:cols>
          <w:pgMar w:left="436" w:top="266" w:right="539" w:bottom="1440" w:gutter="0" w:footer="0" w:header="0"/>
        </w:sectPr>
      </w:pPr>
    </w:p>
    <w:bookmarkStart w:id="406" w:name="page407"/>
    <w:bookmarkEnd w:id="406"/>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Transformative Transaction</w:t>
      </w:r>
      <w:r>
        <w:rPr>
          <w:rFonts w:ascii="Times New Roman" w:cs="Times New Roman" w:eastAsia="Times New Roman" w:hAnsi="Times New Roman"/>
          <w:sz w:val="18"/>
          <w:szCs w:val="18"/>
          <w:color w:val="auto"/>
        </w:rPr>
        <w:t>” means any transaction by the Borrower or any Restricted Subsidiary that is either (a) not permitted by the terms of this Agreement immediately prior to the consummation of such transaction or (b) if permitted by the terms of this Agreement immediately prior to the consummation of such transaction, would not provide the Borrower and its Restricted Subsidiaries with a durable capital structure following such consummation, as determined by the Borrower acting in good faith.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6.04(a)(viii)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xml:space="preserve">” means, with respect to the Initial Term Loans, the rate per annum equal to the yield to maturity at the time of computation of U.S. Treasury securities with a constant maturity most nearly equal to the period from the date of any applicable Prepayment Premium Event to the first anniversary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period from such date of such Prepayment Premium Event to the first anniversary of the Closing Date is not equal to the constant maturity of a U.S. Treasury security for which a weekly average yield is given, the weekly average yield on actually traded U.S. Treasury securities adjusted to a constant maturity of one year shall be used. The applicable Treasury Rate shall be determined by the Borrower.</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Regulations</w:t>
      </w:r>
      <w:r>
        <w:rPr>
          <w:rFonts w:ascii="Times New Roman" w:cs="Times New Roman" w:eastAsia="Times New Roman" w:hAnsi="Times New Roman"/>
          <w:sz w:val="18"/>
          <w:szCs w:val="18"/>
          <w:color w:val="auto"/>
        </w:rPr>
        <w:t>” means the U.S. federal income tax regulations promulgated under the Code.</w:t>
      </w:r>
    </w:p>
    <w:p>
      <w:pPr>
        <w:spacing w:after="0" w:line="22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when used in reference to any Loan or Borrowing, refers to whether the rate of interest on such Loan, or on the Loans comprising such Borrowing, is determined by reference to the Eurocurrency Rate, the Alternate Base Rate, the Alternative Currency Daily Rate, the Canadian Prime Rate, Term CORRA or Daily Simple CORRA.</w:t>
      </w:r>
    </w:p>
    <w:p>
      <w:pPr>
        <w:spacing w:after="0" w:line="17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creation or perfection of security interests.</w:t>
      </w:r>
    </w:p>
    <w:p>
      <w:pPr>
        <w:spacing w:after="0" w:line="155" w:lineRule="exact"/>
        <w:rPr>
          <w:sz w:val="20"/>
          <w:szCs w:val="20"/>
          <w:color w:val="auto"/>
        </w:rPr>
      </w:pPr>
    </w:p>
    <w:p>
      <w:pPr>
        <w:jc w:val="both"/>
        <w:ind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Amount</w:t>
      </w:r>
      <w:r>
        <w:rPr>
          <w:rFonts w:ascii="Times New Roman" w:cs="Times New Roman" w:eastAsia="Times New Roman" w:hAnsi="Times New Roman"/>
          <w:sz w:val="18"/>
          <w:szCs w:val="18"/>
          <w:color w:val="auto"/>
        </w:rPr>
        <w:t>” means, as to any Person on any date of determination, the amount of (a) unrestricted Cash and Cash Equivalents of such Person and its Restricted Subsidiaries and (b) Cash and Cash Equivalents of such Person and its Restricted Subsidiaries that are restricted in favor of the Credit Facilities and/or other permitted pari passu, senior or junior secured Indebtedness (which may also include Cash and Cash Equivalents securing other Indebtedness that is secured by a Lien on Collateral along with the Credit Facilities and/or any other permitted pari passu, senior or junior secured Indebtedness), in each case as determined in accordance with GAAP.</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Unrestricted Subsidiary</w:t>
      </w:r>
      <w:r>
        <w:rPr>
          <w:rFonts w:ascii="Times New Roman" w:cs="Times New Roman" w:eastAsia="Times New Roman" w:hAnsi="Times New Roman"/>
          <w:sz w:val="17"/>
          <w:szCs w:val="17"/>
          <w:color w:val="auto"/>
        </w:rPr>
        <w:t xml:space="preserve">” means any subsidiary of the Borrower designated by the Borrower as an Unrestricted Subsidiary as of the Closing Date (and listed on </w:t>
      </w:r>
      <w:r>
        <w:rPr>
          <w:rFonts w:ascii="Times New Roman" w:cs="Times New Roman" w:eastAsia="Times New Roman" w:hAnsi="Times New Roman"/>
          <w:sz w:val="17"/>
          <w:szCs w:val="17"/>
          <w:u w:val="single" w:color="auto"/>
          <w:color w:val="auto"/>
        </w:rPr>
        <w:t>Schedule 5.10</w:t>
      </w:r>
      <w:r>
        <w:rPr>
          <w:rFonts w:ascii="Times New Roman" w:cs="Times New Roman" w:eastAsia="Times New Roman" w:hAnsi="Times New Roman"/>
          <w:sz w:val="17"/>
          <w:szCs w:val="17"/>
          <w:color w:val="auto"/>
        </w:rPr>
        <w:t xml:space="preserve"> hereto) or after the Closing Date pursuant to </w:t>
      </w:r>
      <w:r>
        <w:rPr>
          <w:rFonts w:ascii="Times New Roman" w:cs="Times New Roman" w:eastAsia="Times New Roman" w:hAnsi="Times New Roman"/>
          <w:sz w:val="17"/>
          <w:szCs w:val="17"/>
          <w:u w:val="single" w:color="auto"/>
          <w:color w:val="auto"/>
        </w:rPr>
        <w:t>Section 5.10</w:t>
      </w:r>
      <w:r>
        <w:rPr>
          <w:rFonts w:ascii="Times New Roman" w:cs="Times New Roman" w:eastAsia="Times New Roman" w:hAnsi="Times New Roman"/>
          <w:sz w:val="17"/>
          <w:szCs w:val="17"/>
          <w:color w:val="auto"/>
        </w:rPr>
        <w:t>, and any subsidiary of an Unrestricted Subsidiary.</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00"/>
          </w:cols>
          <w:pgMar w:left="440" w:top="266" w:right="459" w:bottom="1440" w:gutter="0" w:footer="0" w:header="0"/>
        </w:sectPr>
      </w:pPr>
    </w:p>
    <w:bookmarkStart w:id="407" w:name="page408"/>
    <w:bookmarkEnd w:id="407"/>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Unused Revolving Credit Commitment</w:t>
      </w:r>
      <w:r>
        <w:rPr>
          <w:rFonts w:ascii="Times New Roman" w:cs="Times New Roman" w:eastAsia="Times New Roman" w:hAnsi="Times New Roman"/>
          <w:sz w:val="18"/>
          <w:szCs w:val="18"/>
          <w:color w:val="auto"/>
        </w:rPr>
        <w:t xml:space="preserve">” of any Lender, at any time, means the remainder of the Revolving Credit Commitment of such Lender at such time, if any, less the sum of (a) the aggregate Outstanding Amount of Revolving Loans made by such Lender, (b) such Lender’s LC Exposure at such time and (c) except for purposes of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such Lender’s Applicable Percentage of the aggregate Outstanding Amount of Swingline Loans.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means the United States of America.</w:t>
      </w:r>
    </w:p>
    <w:p>
      <w:pPr>
        <w:spacing w:after="0" w:line="22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Restricted Subsidiary incorporated or organized under the laws of the U.S., any state thereof or the District of Columbia.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2.17(f)(iii)(B)(3)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USA PATRIOT Act</w:t>
      </w:r>
      <w:r>
        <w:rPr>
          <w:rFonts w:ascii="Times New Roman" w:cs="Times New Roman" w:eastAsia="Times New Roman" w:hAnsi="Times New Roman"/>
          <w:sz w:val="18"/>
          <w:szCs w:val="18"/>
          <w:color w:val="auto"/>
        </w:rPr>
        <w:t>” means The Uniting and Strengthening America by Providing Appropriate Tools Required to Intercept and Obstruct Terrorism Act of 2001 (Title III of Pub. L. No. 107-56 (signed into law October 26, 2001)).</w:t>
      </w:r>
    </w:p>
    <w:p>
      <w:pPr>
        <w:spacing w:after="0" w:line="15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xml:space="preserve">” means, when applied to any Indebtedness at any date, the number of years obtained by dividing: (a) the sum of the products obtained by multiplying (i) the amount of each then remaining installment, sinking fund, serial maturity or other required scheduled payments of principal, including payment at final maturity, in respect thereof by (ii) the number of years (calculated to the nearest one-twelfth) that will elapse between such date and the making of such payment; by (b) the then outstanding principal amount of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effect of (x) any prepayment made in respect of such Indebtedness shall be disregarded in making such calculation and (y) any “AHYDO catch-up” payment that may be required to be made in respect of such Indebtedness shall be disregarded in making such calculation.</w:t>
      </w:r>
    </w:p>
    <w:p>
      <w:pPr>
        <w:spacing w:after="0" w:line="182"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any Person means a subsidiary of such Person 100% of the Capital Stock of which (other than directors’ qualifying shares or shares required by Requirements of Law to be owned by a resident of the relevant jurisdiction) is owned by such Person or by one or more Wholly-Owned Subsidiaries of such Person.</w:t>
      </w:r>
    </w:p>
    <w:p>
      <w:pPr>
        <w:spacing w:after="0" w:line="171" w:lineRule="exact"/>
        <w:rPr>
          <w:sz w:val="20"/>
          <w:szCs w:val="20"/>
          <w:color w:val="auto"/>
        </w:rPr>
      </w:pPr>
    </w:p>
    <w:p>
      <w:pPr>
        <w:ind w:right="2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66" w:right="479" w:bottom="1440" w:gutter="0" w:footer="0" w:header="0"/>
        </w:sectPr>
      </w:pPr>
    </w:p>
    <w:bookmarkStart w:id="408" w:name="page409"/>
    <w:bookmarkEnd w:id="408"/>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Classification of Loans and Borrowings</w:t>
      </w:r>
      <w:r>
        <w:rPr>
          <w:rFonts w:ascii="Times New Roman" w:cs="Times New Roman" w:eastAsia="Times New Roman" w:hAnsi="Times New Roman"/>
          <w:sz w:val="18"/>
          <w:szCs w:val="18"/>
          <w:color w:val="auto"/>
        </w:rPr>
        <w:t>. For purposes of this Agreement, Loans may be classified and referred to by Class (e.g., a “Term Loan”) or by Type (e.g., a “Eurocurrency Rate Loan”) or by Class and Type (e.g., a “Eurocurrency Rate Term Loan”). Borrowings also may be classified and referred to by Class (e.g., a “Term Loan Borrowing”) or by Type (e.g., a “Eurocurrency Rate Borrowing”) or by Class and Type (e.g., a “Eurocurrency Rate Term Loan Borrowing”).</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Terms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1" w:lineRule="auto"/>
        <w:tabs>
          <w:tab w:leader="none" w:pos="685"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“ordinary course of business” or “ordinary course” shall, with respect to any Person, be deemed to refer to items or actions that are consistent with practice in or norms of the industry in which such Person operates or such Person’s past practice (it being understood that the sale of accounts receivable (and related assets) pursuant to supply-chain, factoring or reverse factoring arrangements entered into by the Borrower and its Restricted Subsidiaries shall be deemed to be in the ordinary course of business so long as such accounts receivable (and related assets) are sold for Cash in an amount not less than 95% of the face amount thereof (but, for the avoidance of doubt, this shall not preclude any sale for less than a price to be determined to be in the ordinary course so long as it is in the ordinary course of business)) (in each case, as determined by the Borrower in good faith). Unless the context requires otherwise (i) any definition of or reference to any agreement, instrument or other document herein or in any Loan Document (including any Loan Document) shall be construed as referring to such agreement, instrument or other document as from time to time amended, restated, amended and restated, supplemented or otherwise modified or extended, replaced or refinanced (subject to any restrictions or qualifications on such amendments, restatements, amendment and restatements, supplements or modifications or extensions, replacements or refinancings set forth herein), (ii) any reference to any Requirement of Law in any Loan Document shall include all statutory and regulatory provisions consolidating, amending, replacing, supplementing, superseding or interpreting such Requirement of Law, (iii) any reference herein or in any Loan Document to any Person shall be construed to include such Person’s successors and permitted assigns, (iv) the words “herein,” “hereof” and “hereunder,” and words of similar import, when used in any Loan Document, shall be construed to refer to such Loan Document in its entirety and not to any particular provision hereof, (v) all references herein or in any Loan Document to Articles, Sections, clauses, paragraphs, Exhibits and Schedules shall be construed to refer to Articles, Sections, clauses and paragraphs of, and Exhibits and Schedules to, such Loan Document, (vi) in the computation of periods of time in any Loan Document from a specified date to a later specified date, the word “from” means “from and including”, the words “to” and “until” mean “to but excluding” and the word “through” means “to and including”, (vii) the words “asset” and “property”, when used in any Loan Document, shall be construed to have the same meaning and effect and to refer to any and all tangible and intangible assets and properties, including Cash, securities, accounts and contract rights, (viii) the words “permitted” shall be construed to also refer to actions or undertakings that are “not prohibited”, (ix) any references to “open market purchases” (or words of similar effect) shall include privately negotiated transactions at, below or above par, for cash, securities and/or any other consideration, with one (or more) Lender(s) that may or may not be made available for participation of all Lenders or all Lenders of any particular Class or tranche, and, in each case shall not require any quote or open process or activity on any market or exchange, (x) any reference to the end date for any fiscal quarter, Fiscal Quarter, fiscal year or Fiscal Year shall mean the date on or around such specified date on which the applicable period actually ends (as determined by the Borrower in good faith), (xi) the fair market value of any asset or property shall be determined by the Borrower in good faith, (xii) any time period in this Agreement to cure any actual or alleged Default or Event of Default may be extended or stayed by a court of competent jurisdiction to the extent such actual or alleged Default or</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80"/>
          </w:cols>
          <w:pgMar w:left="440" w:top="270" w:right="479" w:bottom="1440" w:gutter="0" w:footer="0" w:header="0"/>
        </w:sectPr>
      </w:pPr>
    </w:p>
    <w:bookmarkStart w:id="409" w:name="page410"/>
    <w:bookmarkEnd w:id="409"/>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of Default is the subject of litigation, (xiii) the Administrative Agent may grant extensions of time (including after the expiration of any relevant period, which apply retroactively) in its reasonable discretion with respect to any obligations of the Borrower or its Subsidiaries under any Loan Document, (xiv) the word “knowledge”, and words of similar import, when used in any Loan Document, shall be construed to mean actual knowledge of the underlying facts and circumstances and, to the extent applicable, actual knowledge of the continuance of a Default or Event of Default resulting from such facts and circumstances. The foregoing shall apply to this Agreement and all other Loan Documents.</w:t>
      </w:r>
    </w:p>
    <w:p>
      <w:pPr>
        <w:spacing w:after="0" w:line="183" w:lineRule="exact"/>
        <w:rPr>
          <w:sz w:val="20"/>
          <w:szCs w:val="20"/>
          <w:color w:val="auto"/>
        </w:rPr>
      </w:pPr>
    </w:p>
    <w:p>
      <w:pPr>
        <w:ind w:left="4" w:right="80" w:firstLine="436"/>
        <w:spacing w:after="0" w:line="252" w:lineRule="auto"/>
        <w:tabs>
          <w:tab w:leader="none" w:pos="699" w:val="left"/>
        </w:tabs>
        <w:numPr>
          <w:ilvl w:val="1"/>
          <w:numId w:val="5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at any time with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in the event that any Indebtedness, Lien, Restricted Payment, Restricted Debt Payment, Investment or Disposition or portion thereof, as applicable, at any time meets the criteria of more than one of the categories of transactions or items permitted pursuant to any clause of such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(in the case of Indebtedness incurred on the Closing Date)),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(other than Sections </w:t>
      </w:r>
      <w:r>
        <w:rPr>
          <w:rFonts w:ascii="Times New Roman" w:cs="Times New Roman" w:eastAsia="Times New Roman" w:hAnsi="Times New Roman"/>
          <w:sz w:val="18"/>
          <w:szCs w:val="18"/>
          <w:u w:val="single" w:color="auto"/>
          <w:color w:val="auto"/>
        </w:rPr>
        <w:t>6.02(a)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(each of the foregoing, a “</w:t>
      </w:r>
      <w:r>
        <w:rPr>
          <w:rFonts w:ascii="Times New Roman" w:cs="Times New Roman" w:eastAsia="Times New Roman" w:hAnsi="Times New Roman"/>
          <w:sz w:val="18"/>
          <w:szCs w:val="18"/>
          <w:b w:val="1"/>
          <w:bCs w:val="1"/>
          <w:color w:val="auto"/>
        </w:rPr>
        <w:t>Reclassifiable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Item</w:t>
      </w:r>
      <w:r>
        <w:rPr>
          <w:rFonts w:ascii="Times New Roman" w:cs="Times New Roman" w:eastAsia="Times New Roman" w:hAnsi="Times New Roman"/>
          <w:sz w:val="18"/>
          <w:szCs w:val="18"/>
          <w:color w:val="auto"/>
        </w:rPr>
        <w:t>”), the Borrower, in its sole discretion, may, from time to time, divide, classify or reclassify such Reclassifiable Item (or portion thereof) under one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more clauses of each such Section and will only be required to include such Reclassifiable Item (or portion thereof) in any one category;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delivery of any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following the initial incurrence or making of any such Reclassifiable Item, if such Reclassifiable Item could, based on such financial statements, have been incurred or made in reliance on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(in the case of Indebtedness and Liens) or any “ratio-based” basket or exception (in the case of all other Reclassifiable Items), such Reclassifiable Item shall automatically be reclassified as having been incurred or made under the applicable provisions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such “ratio-based” basket or exception, as applicable (in each case, subject to any other applicable provision of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or such “ratio-based” basket or exception, as applicable). It is understood and agreed that any Indebtedness, Lien, Restricted Payment, Restricted Debt Payment, Investment, Disposition and/or Affiliate transaction need not be permitted solely by reference to one category of permitted Indebtedness, Lien, Restricted Payment, Restricted Debt Payment, Investment, Disposition and/or Affiliate transaction under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 respectively, but may instead be permitted in part under any combination thereof or under any other available exception.</w:t>
      </w:r>
    </w:p>
    <w:p>
      <w:pPr>
        <w:spacing w:after="0" w:line="195" w:lineRule="exact"/>
        <w:rPr>
          <w:rFonts w:ascii="Times New Roman" w:cs="Times New Roman" w:eastAsia="Times New Roman" w:hAnsi="Times New Roman"/>
          <w:sz w:val="18"/>
          <w:szCs w:val="18"/>
          <w:color w:val="auto"/>
        </w:rPr>
      </w:pPr>
    </w:p>
    <w:p>
      <w:pPr>
        <w:ind w:left="4" w:firstLine="436"/>
        <w:spacing w:after="0" w:line="267" w:lineRule="auto"/>
        <w:tabs>
          <w:tab w:leader="none" w:pos="689" w:val="left"/>
        </w:tabs>
        <w:numPr>
          <w:ilvl w:val="1"/>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respect to any Default or Event of Default, the words “exists”, “is continuing” or similar expressions with respect thereto shall mean that the Default or Event of Default has occurred and has not yet been cured or waived. If any Default or Event of Default occurs due to (i) the failure by any Loan Party or Restricted Subsidiary to take any action by a specified time, such Default or Event of Default shall be deemed to have been cured at the time, if any, that the applicable Loan Party or any Restricted Subsidiary takes such action (regardless of whether taken before or after the specified time) or (ii) the taking of any action by any Loan Party or any Restricted Subsidiary that is not then permitted by the terms of this Agreement or any other Loan Document, such Default or Event of Default shall be deemed to be cured on the earlier to occur of (x) the date on which such action would be permitted at such time to be taken under this Agreement and the other Loan Documents and (y) the date on which such action is unwound or otherwise modified to the extent necessary for such modified action to be permitted at such time by this Agreement and the other Loan Documents;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notwithstanding anything to the contrary contained in the foregoing, a Default or Event of Default may not be cured pursuant to such provisions set forth above (x) if the Administrative Agent has given notice and has taken any remedial action, in each case, pursuant to the last paragraph of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or</w:t>
      </w:r>
    </w:p>
    <w:p>
      <w:pPr>
        <w:spacing w:after="0" w:line="3" w:lineRule="exact"/>
        <w:rPr>
          <w:rFonts w:ascii="Times New Roman" w:cs="Times New Roman" w:eastAsia="Times New Roman" w:hAnsi="Times New Roman"/>
          <w:sz w:val="17"/>
          <w:szCs w:val="17"/>
          <w:color w:val="auto"/>
        </w:rPr>
      </w:pPr>
    </w:p>
    <w:p>
      <w:pPr>
        <w:ind w:left="4" w:right="60" w:hanging="4"/>
        <w:spacing w:after="0" w:line="253" w:lineRule="auto"/>
        <w:tabs>
          <w:tab w:leader="none" w:pos="259"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it is an Event of Default under </w:t>
      </w:r>
      <w:r>
        <w:rPr>
          <w:rFonts w:ascii="Times New Roman" w:cs="Times New Roman" w:eastAsia="Times New Roman" w:hAnsi="Times New Roman"/>
          <w:sz w:val="18"/>
          <w:szCs w:val="18"/>
          <w:u w:val="single" w:color="auto"/>
          <w:color w:val="auto"/>
        </w:rPr>
        <w:t>Section 8.01(k)</w:t>
      </w:r>
      <w:r>
        <w:rPr>
          <w:rFonts w:ascii="Times New Roman" w:cs="Times New Roman" w:eastAsia="Times New Roman" w:hAnsi="Times New Roman"/>
          <w:sz w:val="18"/>
          <w:szCs w:val="18"/>
          <w:color w:val="auto"/>
        </w:rPr>
        <w:t xml:space="preserve"> that (A) directly results in material adverse impairment of the rights and remedies of the Lenders or the Administrative Agent and (B) such material adverse impairment is incapable of being cured. If any Default or Event of Default occurs that is subsequently cured (a “</w:t>
      </w:r>
      <w:r>
        <w:rPr>
          <w:rFonts w:ascii="Times New Roman" w:cs="Times New Roman" w:eastAsia="Times New Roman" w:hAnsi="Times New Roman"/>
          <w:sz w:val="18"/>
          <w:szCs w:val="18"/>
          <w:b w:val="1"/>
          <w:bCs w:val="1"/>
          <w:color w:val="auto"/>
        </w:rPr>
        <w:t>Cured Default</w:t>
      </w:r>
      <w:r>
        <w:rPr>
          <w:rFonts w:ascii="Times New Roman" w:cs="Times New Roman" w:eastAsia="Times New Roman" w:hAnsi="Times New Roman"/>
          <w:sz w:val="18"/>
          <w:szCs w:val="18"/>
          <w:color w:val="auto"/>
        </w:rPr>
        <w:t>”), any other Default or Event of Default resulting from the making (or deemed making) of any representation or warranty by any Loan Party or any Restricted Subsidiary or the taking of (or the failure to take) any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4"/>
          </w:cols>
          <w:pgMar w:left="436" w:top="270" w:right="459" w:bottom="1440" w:gutter="0" w:footer="0" w:header="0"/>
        </w:sectPr>
      </w:pPr>
    </w:p>
    <w:bookmarkStart w:id="410" w:name="page411"/>
    <w:bookmarkEnd w:id="41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action by any Loan Party or any Restricted Subsidiary, in each case which subsequent Default or Event of Default would not have arisen had the Cured Default not occurred, shall be deemed to be cured automatically upon, and simultaneously with, the cure of the Cured Default, but only to the extent that a Responsible Officer of the Borrower did not have actual knowledge of the continuance of the Cured Default that caused the relevant subsequent Default or Event of Default to arise at the time of the making (or deemed making (with actual knowledge of the Responsible Officer of the Borrower thereof)) of the relevant representation and warranty or the taking of (or failure to take (with actual knowledge of the Responsible Officer of the Borrower thereof)) the relevant action, as applicable. Notwithstanding anything to the contrary in this </w:t>
      </w:r>
      <w:r>
        <w:rPr>
          <w:rFonts w:ascii="Times New Roman" w:cs="Times New Roman" w:eastAsia="Times New Roman" w:hAnsi="Times New Roman"/>
          <w:sz w:val="18"/>
          <w:szCs w:val="18"/>
          <w:u w:val="single" w:color="auto"/>
          <w:color w:val="auto"/>
        </w:rPr>
        <w:t>Section 1.03(d)</w:t>
      </w:r>
      <w:r>
        <w:rPr>
          <w:rFonts w:ascii="Times New Roman" w:cs="Times New Roman" w:eastAsia="Times New Roman" w:hAnsi="Times New Roman"/>
          <w:sz w:val="18"/>
          <w:szCs w:val="18"/>
          <w:color w:val="auto"/>
        </w:rPr>
        <w:t xml:space="preserve">, the foregoing two sentences shall not apply to any Default or Event of Default under </w:t>
      </w:r>
      <w:r>
        <w:rPr>
          <w:rFonts w:ascii="Times New Roman" w:cs="Times New Roman" w:eastAsia="Times New Roman" w:hAnsi="Times New Roman"/>
          <w:sz w:val="18"/>
          <w:szCs w:val="18"/>
          <w:u w:val="single" w:color="auto"/>
          <w:color w:val="auto"/>
        </w:rPr>
        <w:t>Section 5.01(e)(i)</w:t>
      </w:r>
      <w:r>
        <w:rPr>
          <w:rFonts w:ascii="Times New Roman" w:cs="Times New Roman" w:eastAsia="Times New Roman" w:hAnsi="Times New Roman"/>
          <w:sz w:val="18"/>
          <w:szCs w:val="18"/>
          <w:color w:val="auto"/>
        </w:rPr>
        <w:t xml:space="preserve">, which shall be subject to the terms set forth in </w:t>
      </w:r>
      <w:r>
        <w:rPr>
          <w:rFonts w:ascii="Times New Roman" w:cs="Times New Roman" w:eastAsia="Times New Roman" w:hAnsi="Times New Roman"/>
          <w:sz w:val="18"/>
          <w:szCs w:val="18"/>
          <w:u w:val="single" w:color="auto"/>
          <w:color w:val="auto"/>
        </w:rPr>
        <w:t>Section 8.01(c)</w:t>
      </w:r>
      <w:r>
        <w:rPr>
          <w:rFonts w:ascii="Times New Roman" w:cs="Times New Roman" w:eastAsia="Times New Roman" w:hAnsi="Times New Roman"/>
          <w:sz w:val="18"/>
          <w:szCs w:val="18"/>
          <w:color w:val="auto"/>
        </w:rPr>
        <w:t xml:space="preserve">. It is understood and agreed for the avoidance of doubt that the carve-outs from the provisions of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may include items or activities that are not restricted by the relevant provision and the inclusion of such item or activity shall not be construed to expand the scope of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Accounting Terms;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All financial statements to be delivered pursuant to this Agreement shall be prepared in accordance with GAAP as in effect from time to time and, except as otherwise expressly provided herein, all terms of an accounting or financial nature that are used in calculating the Total Leverage Ratio, the First Lien Leverage Ratio, the Secured Leverage Ratio, Consolidated Adjusted EBITDA, Consolidated Net Income or Consolidated Total Assets shall be construed and interpreted in accordance with GAAP, as in effect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if any change to GAAP or in the application thereof or any change as a result of the adoption or modification of accounting policies (including (x) the conversion to IFRS as described below and (y) the impact of Accounting Standards Update 2016-12, Revenue from Contracts with Customers (Topic 606) or similar revenue recognition policies or any change in the methodology of calculating reserves for returns, rebates and other chargebacks) is implemented or takes effect after the date of delivery of the financial statements described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and/or there is any change in the functional currency reflected in the financial statements or (B) if the Borrower elects or is required to report under IFRS, the Borrower or the Required Lenders may request to amend the relevant affected provisions hereof (whether or not the request for such amendment is delivered before or after the relevant change or election) to eliminate the effect of such change or election, as the case may be, on the operation of such provisions and (x) the Borrower and the Administrative Agent shall negotiate in good faith to enter into an amendment of the relevant affected provisions (it being understood that no amendment or similar fee shall be payable to the Administrative Agent or any Lender in connection therewith) to preserve the original intent thereof in light of the applicable change or election, as the case may be and (y) the relevant affected provisions shall be interpreted on the basis of GAAP and the currency, in each case, as in effect and applied immediately prior to the applicable change or election, as the case may be, until the request for amendment has been withdrawn by the Borrower or the Required Lenders, as applicable, or this Agreement has been amended as contemplated hereby. Any consent required from the Administrative Agent or any Required Lender with respect to the foregoing shall not be unreasonably withheld, conditioned or delayed.</w:t>
      </w:r>
    </w:p>
    <w:p>
      <w:pPr>
        <w:spacing w:after="0" w:line="193" w:lineRule="exact"/>
        <w:rPr>
          <w:rFonts w:ascii="Times New Roman" w:cs="Times New Roman" w:eastAsia="Times New Roman" w:hAnsi="Times New Roman"/>
          <w:sz w:val="18"/>
          <w:szCs w:val="18"/>
          <w:color w:val="auto"/>
        </w:rPr>
      </w:pPr>
    </w:p>
    <w:p>
      <w:pPr>
        <w:ind w:right="120" w:firstLine="987"/>
        <w:spacing w:after="0" w:line="256" w:lineRule="auto"/>
        <w:tabs>
          <w:tab w:leader="none" w:pos="1256" w:val="left"/>
        </w:tabs>
        <w:numPr>
          <w:ilvl w:val="1"/>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Borrower or any subsidiary at “fair value,” as defined therein, (ii) any treatment of Indebtedness in respect of convertible debt instruments under Accounting Standards Codification 470-20 (or any other Accounting Standards Codification, International</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411" w:name="page412"/>
    <w:bookmarkEnd w:id="41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Borrower and its Restricted Subsidiaries in the circumstance where, but for the application of the pronouncements, such award would have been classified as equity). If the Borrower notifies the Administrative Agent that the Borrower is required to report under IFRS or has elected to do so through an early adoption policy, “GAAP” shall mean international financial reporting standards pursuant to IFRS (provided thereafter, the Borrower cannot elect to report under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any calculation or determination in this Agreement that requires the application of GAAP for periods that include fiscal quarters ended prior to the application of IFRS will remain as previously calculated or determined in accordance with GAAP.</w:t>
      </w:r>
    </w:p>
    <w:p>
      <w:pPr>
        <w:spacing w:after="0" w:line="188" w:lineRule="exact"/>
        <w:rPr>
          <w:sz w:val="20"/>
          <w:szCs w:val="20"/>
          <w:color w:val="auto"/>
        </w:rPr>
      </w:pPr>
    </w:p>
    <w:p>
      <w:pPr>
        <w:ind w:firstLine="436"/>
        <w:spacing w:after="0" w:line="253" w:lineRule="auto"/>
        <w:tabs>
          <w:tab w:leader="none" w:pos="69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but subject to </w:t>
      </w:r>
      <w:r>
        <w:rPr>
          <w:rFonts w:ascii="Times New Roman" w:cs="Times New Roman" w:eastAsia="Times New Roman" w:hAnsi="Times New Roman"/>
          <w:sz w:val="18"/>
          <w:szCs w:val="18"/>
          <w:u w:val="single" w:color="auto"/>
          <w:color w:val="auto"/>
        </w:rPr>
        <w:t>Sections 1.04(d)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all financial ratios and tests (including the Total Leverage Ratio, the First Lien Leverage Ratio, the Secured Leverage Ratio and the amount of Consolidated Total Assets, Consolidated Net Income and Consolidated Adjusted EBITDA) (other than, for the avoidance of doubt, for purposes of calculating Excess Cash Flow) contained in this Agreement that are calculated with respect to any Test Period during which any Subject Transaction occurs shall be calculated with respect to such Test Period and such Subject Transaction on a Pro Forma Basis. Further, if since the beginning of any such Test Period and on or prior to the date of any required calculation of any financial ratio, test or amount (x) any Subject Transaction has occurred or (y) any Person that subsequently became a Restricted Subsidiary or was merged, amalgamated or consolidated with or into the Borrower or any of its Restricted Subsidiaries since the beginning of such Test Period has consummated any Subject Transaction, then, in each case, any applicable financial ratio, test or amount shall be calculated on a Pro Forma Basis for such Test Period as if such Subject Transaction had occurred at the beginning of the applicable Test Period (or, in the case of Consolidated Total Assets (or with respect to any determination pertaining to the balance sheet, including the acquisition of Cash and Cash Equivalents), as of the last day of such Test Period), it being understood, for the avoidance of doubt, that solely for purposes of calculating (x) [reserved] and (y) the First Lien Leverage Ratio for purposes of the definitions of “Applicable Rate”, and “Commitment Fee Rate”, in each case, the date of the required calculation shall be the last day of the Test Period, and no Subject Transaction occurring thereafter shall be taken into account.</w:t>
      </w:r>
    </w:p>
    <w:p>
      <w:pPr>
        <w:spacing w:after="0" w:line="187" w:lineRule="exact"/>
        <w:rPr>
          <w:rFonts w:ascii="Times New Roman" w:cs="Times New Roman" w:eastAsia="Times New Roman" w:hAnsi="Times New Roman"/>
          <w:sz w:val="18"/>
          <w:szCs w:val="18"/>
          <w:color w:val="auto"/>
        </w:rPr>
      </w:pPr>
    </w:p>
    <w:p>
      <w:pPr>
        <w:ind w:right="120" w:firstLine="436"/>
        <w:spacing w:after="0" w:line="254" w:lineRule="auto"/>
        <w:tabs>
          <w:tab w:leader="none" w:pos="68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or in the definition of “Finance Lease”, unless the Borrower elects otherwise, all obligations of any Person that are or would have been treated as operating leases for purposes of GAAP prior to the issuance by the Financial Accounting Standards Board on February 25, 2016 of an Accounting Standards Update (the “</w:t>
      </w:r>
      <w:r>
        <w:rPr>
          <w:rFonts w:ascii="Times New Roman" w:cs="Times New Roman" w:eastAsia="Times New Roman" w:hAnsi="Times New Roman"/>
          <w:sz w:val="18"/>
          <w:szCs w:val="18"/>
          <w:u w:val="single" w:color="auto"/>
          <w:color w:val="auto"/>
        </w:rPr>
        <w:t>ASU</w:t>
      </w:r>
      <w:r>
        <w:rPr>
          <w:rFonts w:ascii="Times New Roman" w:cs="Times New Roman" w:eastAsia="Times New Roman" w:hAnsi="Times New Roman"/>
          <w:sz w:val="18"/>
          <w:szCs w:val="18"/>
          <w:color w:val="auto"/>
        </w:rPr>
        <w:t>”) shall continue to be accounted for as operating leases (and not be treated as financing or capital lease obligations or Indebtedness) for purposes of all financial definitions, calculations and deliverables under this Agreement or any other Loan Document (including the calculation of Consolidated Net Income and Consolidated Adjusted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9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permissibility of any action, change, transaction or event that requires a calculation of any financial ratio or financial test (including any First Lien Leverage Ratio test, any Secured Leverage Ratio test and/or any Total Leverage Ratio test) and/or the amount of Consolidated Adjusted EBITDA, Consolidated Net Income or Consolidated Total Assets, such financial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412" w:name="page413"/>
    <w:bookmarkEnd w:id="412"/>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ratio, financial test or amount shall, subject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180" w:lineRule="exact"/>
        <w:rPr>
          <w:sz w:val="20"/>
          <w:szCs w:val="20"/>
          <w:color w:val="auto"/>
        </w:rPr>
      </w:pPr>
    </w:p>
    <w:p>
      <w:pPr>
        <w:ind w:left="4" w:firstLine="436"/>
        <w:spacing w:after="0" w:line="266" w:lineRule="auto"/>
        <w:tabs>
          <w:tab w:leader="none" w:pos="689" w:val="left"/>
        </w:tabs>
        <w:numPr>
          <w:ilvl w:val="1"/>
          <w:numId w:val="5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(including in connection with any calculation made on a Pro Forma Basis), to the extent that the terms of this Agreement require (i) compliance with any financial ratio or financial test (including, without limitation, any First Lien Leverage Ratio test, any Secured Leverage Ratio test and/or any Total Leverage Ratio test) and/or any cap expressed as a percentage of Consolidated Total Assets, Consolidated Net Income or Consolidated Adjusted EBITDA, (ii) accuracy of any representation or warranty and/or the absence of a Default or Event of Default (or any type of default or event of default) or (iii) compliance with any basket or other condition, as a condition to (A) the consummation of any transaction (including in connection with any acquisition, consolidation, business combination or similar Investment or the assumption or incurrence of Indebtedness), (B) the making of any Restricted Payment and/or (C) the making of any Restricted Debt Payment, the determination of whether the relevant condition is satisfied may be made, at the election of the Borrower, (1) in the case of any acquisition, consolidation, business combination or similar Investment, any Disposition, any incurrence of Indebtedness or any transaction relating thereto, at the time of (or on the basis of the financial statements for the most recently ended Test Period at the time of) either (x) the execution of a letter of intent or the definitive agreement with respect to such acquisition, consolidation, business combination, similar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consolidation, business combination, Investment or Disposition or the incurrence of such Indebtedness, (2) in the case of any Restricted Payment, at the time of (or on the basis of the financial statements for the most recently ended Test Period at the time of) (x) the declaration of such Restricted Payment or (y) the making of such Restricted Payment and (3) in the case of any Restricted Debt Payment, at the time of (or on the basis of the financial statements for the most recently ended Test Period at the time of) (x) delivery of notice with respect to such Restricted Debt Payment or</w:t>
      </w:r>
    </w:p>
    <w:p>
      <w:pPr>
        <w:spacing w:after="0" w:line="7" w:lineRule="exact"/>
        <w:rPr>
          <w:rFonts w:ascii="Times New Roman" w:cs="Times New Roman" w:eastAsia="Times New Roman" w:hAnsi="Times New Roman"/>
          <w:sz w:val="17"/>
          <w:szCs w:val="17"/>
          <w:color w:val="auto"/>
        </w:rPr>
      </w:pPr>
    </w:p>
    <w:p>
      <w:pPr>
        <w:ind w:left="4" w:right="120" w:hanging="4"/>
        <w:spacing w:after="0" w:line="251" w:lineRule="auto"/>
        <w:tabs>
          <w:tab w:leader="none" w:pos="259"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such Restricted Debt Payment, in each case, after giving effect on a Pro Forma Basis to the relevant acquisition, consolidation, business combination or similar Investment, Restricted Payment and/or Restricted Debt Payment, incurrence of Indebtedness or other transaction (including the intended use of proceeds of any Indebtedness to be incurred in connection therewith) and, at the election of the Borrower, any other acquisition, consolidation, business combination or similar Investment, Restricted Payment, Restricted Debt Payment, incurrence of Indebtedness or other transaction that has not been consummated but with respect to which the Borrower has elected to test any applicable condition prior to the date of consummation in accordance with this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and no Default or Event of Default shall be deemed to have occurred solely as a result of an adverse change in such ratio, test or condition occurring after the time such election is made (but any subsequent improvement in the applicable ratio, test or amount may be utilized by the Borrower or any Restricted Subsidiary). For the avoidance of doubt, if the Borrower shall have elected the option set forth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any of the preceding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in respect of any transaction, then the Borrower or its applicable Restricted Subsidiary shall be permitted to consummate such transaction even if any applicable test or condition shall cease to be satisfied subsequent to the Borrower’s election of such option. The provisions of this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shall also apply in respect of the incurrence of any Incremental Facility, in which case the representations and warranties that are required to be true and correct as a condition thereto may also be limited to the Specified Representations.</w:t>
      </w:r>
    </w:p>
    <w:p>
      <w:pPr>
        <w:spacing w:after="0" w:line="19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4"/>
          </w:cols>
          <w:pgMar w:left="436" w:top="270" w:right="459" w:bottom="1440" w:gutter="0" w:footer="0" w:header="0"/>
        </w:sectPr>
      </w:pPr>
    </w:p>
    <w:bookmarkStart w:id="413" w:name="page414"/>
    <w:bookmarkEnd w:id="413"/>
    <w:p>
      <w:pPr>
        <w:ind w:left="-20" w:firstLine="436"/>
        <w:spacing w:after="0" w:line="253" w:lineRule="auto"/>
        <w:tabs>
          <w:tab w:leader="none" w:pos="67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unless the Borrower otherwise elects in its sole discretion, with respect to any amount incurred or transaction entered into (or consummated) in reliance on a provision of this Agreement (other than a non-concurrent borrowing under the Revolving Facility) that does not require compliance with a financial ratio or financial test (including any First Lien Leverage Ratio test, any Secured Leverage Ratio test and/or any Total Leverage Ratio test) (any such amount, including any concurrent drawing under the Revolving Facility or any other permitted revolving facility, and any cap expressed as a percentage of Consolidated Total Assets, Consolidated Net Income or Consolidated Adjusted EBITDA, a “</w:t>
      </w:r>
      <w:r>
        <w:rPr>
          <w:rFonts w:ascii="Times New Roman" w:cs="Times New Roman" w:eastAsia="Times New Roman" w:hAnsi="Times New Roman"/>
          <w:sz w:val="18"/>
          <w:szCs w:val="18"/>
          <w:u w:val="single" w:color="auto"/>
          <w:color w:val="auto"/>
        </w:rPr>
        <w:t>Fixed Amount</w:t>
      </w:r>
      <w:r>
        <w:rPr>
          <w:rFonts w:ascii="Times New Roman" w:cs="Times New Roman" w:eastAsia="Times New Roman" w:hAnsi="Times New Roman"/>
          <w:sz w:val="18"/>
          <w:szCs w:val="18"/>
          <w:color w:val="auto"/>
        </w:rPr>
        <w:t>”) substantially concurrently with any amount incurred or transaction entered into (or consummated) in reliance on a provision of this Agreement that requires compliance with a financial ratio or financial test (including any First Lien Leverage Ratio test, any Secured Leverage Ratio test and/or any Total Leverage Ratio test) (any such amount, an “</w:t>
      </w:r>
      <w:r>
        <w:rPr>
          <w:rFonts w:ascii="Times New Roman" w:cs="Times New Roman" w:eastAsia="Times New Roman" w:hAnsi="Times New Roman"/>
          <w:sz w:val="18"/>
          <w:szCs w:val="18"/>
          <w:u w:val="single" w:color="auto"/>
          <w:color w:val="auto"/>
        </w:rPr>
        <w:t>Incurrence-Based Amount</w:t>
      </w:r>
      <w:r>
        <w:rPr>
          <w:rFonts w:ascii="Times New Roman" w:cs="Times New Roman" w:eastAsia="Times New Roman" w:hAnsi="Times New Roman"/>
          <w:sz w:val="18"/>
          <w:szCs w:val="18"/>
          <w:color w:val="auto"/>
        </w:rPr>
        <w:t>”), it is understood and agreed that (i) the incurrence or other utilization of the Incurrence-Based Amount shall be calculated first without giving effect to any Fixed Amount but giving full pro forma effect to the use of proceeds of such Fixed Amount and the related transactions and (ii) the incurrence or other utilization of the Fixed Amount shall be calculated thereafter. Unless it elects otherwise, the Borrower shall be deemed to have used amounts under an Incurrence-Based Amount then available to the Borrower prior to utilization of any amount under a Fixed Amount then available to the Borrower. In calculating any Incurrence-Based Amount, any amounts concurrently-incurred under the Revolving Facility or any other permitted revolving facility shall not be given effect.</w:t>
      </w:r>
    </w:p>
    <w:p>
      <w:pPr>
        <w:spacing w:after="0" w:line="187" w:lineRule="exact"/>
        <w:rPr>
          <w:rFonts w:ascii="Times New Roman" w:cs="Times New Roman" w:eastAsia="Times New Roman" w:hAnsi="Times New Roman"/>
          <w:sz w:val="18"/>
          <w:szCs w:val="18"/>
          <w:color w:val="auto"/>
        </w:rPr>
      </w:pPr>
    </w:p>
    <w:p>
      <w:pPr>
        <w:ind w:left="-20" w:right="340" w:firstLine="436"/>
        <w:spacing w:after="0" w:line="282" w:lineRule="auto"/>
        <w:tabs>
          <w:tab w:leader="none" w:pos="67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Indebtedness or other discount security constituting Indebtedness at any date shall be the principal amount thereof that would be shown on a balance sheet of the Borrower dated such date prepared in accordance with GAAP.</w:t>
      </w:r>
    </w:p>
    <w:p>
      <w:pPr>
        <w:spacing w:after="0" w:line="161" w:lineRule="exact"/>
        <w:rPr>
          <w:rFonts w:ascii="Times New Roman" w:cs="Times New Roman" w:eastAsia="Times New Roman" w:hAnsi="Times New Roman"/>
          <w:sz w:val="18"/>
          <w:szCs w:val="18"/>
          <w:color w:val="auto"/>
        </w:rPr>
      </w:pPr>
    </w:p>
    <w:p>
      <w:pPr>
        <w:ind w:left="-20" w:right="180" w:firstLine="436"/>
        <w:spacing w:after="0" w:line="281" w:lineRule="auto"/>
        <w:tabs>
          <w:tab w:leader="none" w:pos="635" w:val="left"/>
        </w:tabs>
        <w:numPr>
          <w:ilvl w:val="0"/>
          <w:numId w:val="5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and will be deemed not to be the granting of a Lien for purposes of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w:t>
      </w:r>
    </w:p>
    <w:p>
      <w:pPr>
        <w:spacing w:after="0" w:line="164" w:lineRule="exact"/>
        <w:rPr>
          <w:rFonts w:ascii="Times New Roman" w:cs="Times New Roman" w:eastAsia="Times New Roman" w:hAnsi="Times New Roman"/>
          <w:sz w:val="17"/>
          <w:szCs w:val="17"/>
          <w:color w:val="auto"/>
        </w:rPr>
      </w:pPr>
    </w:p>
    <w:p>
      <w:pPr>
        <w:ind w:left="-20" w:right="20" w:firstLine="436"/>
        <w:spacing w:after="0" w:line="254" w:lineRule="auto"/>
        <w:tabs>
          <w:tab w:leader="none" w:pos="63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if any Indebtedness or Lien is incurred in reliance on a basket measured by reference to a percentage of Consolidated Adjusted EBITDA, and any refinancing or replacement thereof would cause the percentage of Consolidated Adjusted EBITDA to be exceeded if calculated based on the Consolidated Adjusted EBITDA on the date of such refinancing or replacement, such percentage of Consolidated Adjusted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(x) unpaid accrued dividends,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 (z)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jc w:val="both"/>
        <w:ind w:left="-20" w:right="220" w:firstLine="436"/>
        <w:spacing w:after="0" w:line="261" w:lineRule="auto"/>
        <w:tabs>
          <w:tab w:leader="none" w:pos="675"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ratios required to be maintained by the Borrower pursuant to this Agreement (or required to be satisfied in order for a specific action to be permitted under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60" w:top="270" w:right="459" w:bottom="1440" w:gutter="0" w:footer="0" w:header="0"/>
        </w:sectPr>
      </w:pPr>
    </w:p>
    <w:bookmarkStart w:id="414" w:name="page415"/>
    <w:bookmarkEnd w:id="414"/>
    <w:p>
      <w:pPr>
        <w:ind w:left="4" w:right="80" w:firstLine="436"/>
        <w:spacing w:after="0" w:line="258" w:lineRule="auto"/>
        <w:tabs>
          <w:tab w:leader="none" w:pos="659" w:val="left"/>
        </w:tabs>
        <w:numPr>
          <w:ilvl w:val="0"/>
          <w:numId w:val="5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herein or in any other Loan Document, if this Agreement or any other Loan Document requires any determination to be made with respect to the Borrower and any of its subsidiaries on a consolidated basis, with respect to any accounting period prior to the first delivery of financial statements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such determination may be made with respect to the Borrower and its subsidiaries on a combined basis based on the combined financial statements of the Versant businesses of Comcast Corporation filed with the Form 10 for such accounting period.</w:t>
      </w:r>
    </w:p>
    <w:p>
      <w:pPr>
        <w:spacing w:after="0" w:line="183"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Each of the representations and warranties contained in this Agreement (and all corresponding definitions) is made after giving effect to the Transactions, unless the context otherwise requires. Notwithstanding anything herein or in any other Loan Document to the contrary, no officer, director or other representative of the Borrower or any Subsidiary shall have any personal liability in connection with any representation, warranty or other certification in, or made pursuant to, this Agreement or any other Loan Document.</w:t>
      </w:r>
    </w:p>
    <w:p>
      <w:pPr>
        <w:spacing w:after="0" w:line="180" w:lineRule="exact"/>
        <w:rPr>
          <w:sz w:val="20"/>
          <w:szCs w:val="20"/>
          <w:color w:val="auto"/>
        </w:rPr>
      </w:pPr>
    </w:p>
    <w:p>
      <w:pPr>
        <w:ind w:left="4" w:right="2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Timing of Payment and Performance</w:t>
      </w:r>
      <w:r>
        <w:rPr>
          <w:rFonts w:ascii="Times New Roman" w:cs="Times New Roman" w:eastAsia="Times New Roman" w:hAnsi="Times New Roman"/>
          <w:sz w:val="18"/>
          <w:szCs w:val="18"/>
          <w:color w:val="auto"/>
        </w:rPr>
        <w:t>. When payment of any obligation or the performance of any covenant, duty or obligation is stated to be due or required on a day which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spacing w:after="0" w:line="180"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1" w:lineRule="auto"/>
        <w:tabs>
          <w:tab w:leader="none" w:pos="689" w:val="left"/>
        </w:tabs>
        <w:numPr>
          <w:ilvl w:val="1"/>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for purposes of any determination under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(other than the calculation of compliance with any financial ratio for purposes of taking any action hereunder) or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with respect to the amount of any Indebtedness, Lien, Restricted Payment, Restricted Debt Payment, Investment, Disposition, Sale and Lease-Back Transaction, affiliate transaction or other transaction, event or circumstance, or any determination under any other provision of this Agreement (any of the foregoing, a “</w:t>
      </w:r>
      <w:r>
        <w:rPr>
          <w:rFonts w:ascii="Times New Roman" w:cs="Times New Roman" w:eastAsia="Times New Roman" w:hAnsi="Times New Roman"/>
          <w:sz w:val="18"/>
          <w:szCs w:val="18"/>
          <w:b w:val="1"/>
          <w:bCs w:val="1"/>
          <w:color w:val="auto"/>
        </w:rPr>
        <w:t>relevant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transaction</w:t>
      </w:r>
      <w:r>
        <w:rPr>
          <w:rFonts w:ascii="Times New Roman" w:cs="Times New Roman" w:eastAsia="Times New Roman" w:hAnsi="Times New Roman"/>
          <w:sz w:val="18"/>
          <w:szCs w:val="18"/>
          <w:color w:val="auto"/>
        </w:rPr>
        <w:t>”), in a currency other than Dollars, (i) the Dollar equivalent amount of a relevant transaction in a currency other than Dollars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calculated based on the rate of exchange quoted by the Bloomberg Foreign Exchange Rates &amp; World Currencies Page (or any successor page thereto, or in the event such rate does not appear on any Bloomberg Page, by reference to such other publicly available service for displaying exchange rates as may be agreed upon by the Administrative Agent and the Borrower) for such foreign currency, as in effect at 11:00 a.m. (London time) on the date of such relevant transaction (which, in the case of any Restricted Payment, Restricted Debt Payment, Investment, Disposition or incurrence of Indebtedness, shall be determined as set forth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any Indebtedness is incurred (and, if applicable, associated Lien granted) to refinance or replace other Indebtedness denominated in a currency other than Dollars, and the relevant refinancing or replacement would cause the applicable Dollar-denominated restriction to be exceeded if calculated at the relevant currency exchange rate in effect on the date of such refinancing or replacement, such Dollar-denominated restriction shall be deemed not to have been exceeded so long as the principal amount of such refinancing or replacement Indebtedness (and, if applicable, associated Lien granted) does not exceed an amount sufficient to repay the principal amount of such Indebtedness being refinanced or replaced, except by an amount equal to (x) unpaid accrued interest, penalties and premiums (including tender premiums) thereon plus underwriting discounts and other customary fees, commissions and expenses (including upfront fees, original issue discount or initial yield payment) incurred in connection with such refinancing or replacement, (y) any existing commitments unutilized thereunder and</w:t>
      </w:r>
    </w:p>
    <w:p>
      <w:pPr>
        <w:spacing w:after="0" w:line="10"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4"/>
          </w:cols>
          <w:pgMar w:left="436" w:top="270" w:right="459" w:bottom="1440" w:gutter="0" w:footer="0" w:header="0"/>
        </w:sectPr>
      </w:pPr>
    </w:p>
    <w:bookmarkStart w:id="415" w:name="page416"/>
    <w:bookmarkEnd w:id="41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applicable, and (ii) for the avoidance of doubt, no Default or Event of Default shall be deemed to have occurred solely as a result of a change in the rate of currency exchange occurring after the time of any relevant transaction so long as such relevant transaction was permitted at the time incurred, made, acquired, committed, entered or declared as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For purposes of the calculation of compliance with any financial ratio for purposes of taking any action hereunder (including for purposes of calculating availability under the Incremental Cap) on any relevant date of determination, amounts denominated in currencies other than Dollars shall be translated into Dollars at the applicable currency exchange rate used in preparing the financial statements delivered pursuant to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prior to the first such delivery, the financial statements referred to in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as applicable, for the relevant Test Period.</w:t>
      </w:r>
    </w:p>
    <w:p>
      <w:pPr>
        <w:spacing w:after="0" w:line="189" w:lineRule="exact"/>
        <w:rPr>
          <w:sz w:val="20"/>
          <w:szCs w:val="20"/>
          <w:color w:val="auto"/>
        </w:rPr>
      </w:pPr>
    </w:p>
    <w:p>
      <w:pPr>
        <w:jc w:val="both"/>
        <w:ind w:right="140" w:firstLine="436"/>
        <w:spacing w:after="0" w:line="266" w:lineRule="auto"/>
        <w:tabs>
          <w:tab w:leader="none" w:pos="69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provision of this Agreement shall be subject to such reasonable changes of construction as the Administrative Agent may from time to time specify with the Borrower’s consent to appropriately reflect a change in currency of any country and any relevant market convention or practice relating to such change in currency.</w:t>
      </w:r>
    </w:p>
    <w:p>
      <w:pPr>
        <w:spacing w:after="0" w:line="175"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5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determine the Spot Rate as of each Revaluation Date to be used for calculating the Dollar Equivalent amount of any Revolving Loan and/or Letter of Credit that is denominated in any Alternate Currency. The Spot Rate shall become effective as of such Revaluation Date and shall be the Spot Rate employed in converting any amount between any Alternate Currency and Dollars until the next occurring Revaluation Date.</w:t>
      </w:r>
    </w:p>
    <w:p>
      <w:pPr>
        <w:spacing w:after="0" w:line="180"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Cashless Rollovers</w:t>
      </w:r>
      <w:r>
        <w:rPr>
          <w:rFonts w:ascii="Times New Roman" w:cs="Times New Roman" w:eastAsia="Times New Roman" w:hAnsi="Times New Roman"/>
          <w:sz w:val="18"/>
          <w:szCs w:val="18"/>
          <w:color w:val="auto"/>
        </w:rPr>
        <w:t>. Notwithstanding anything to the contrary contained in this Agreement or in any other Loan Document, to the extent that any Lender extends the maturity date of, or replaces, renews or refinances, any of its then-existing Loans with Incremental Loans, Replacement Term Loans, Loans in connection with any Replacement Revolving Facility, Extended Term Loans, Extended Revolving Loans or loans incurred under a new credit facility, in each case, to the extent such extension, replacement, renewal or refinancing is effected by means of a “cashless roll” by such Lender (or other cashless settlement mechanism approved by the Borrower and such Lender), such extension, replacement, renewal or refinancing shall be deemed to comply with any requirement hereunder or any other Loan Document that such payment be made “in Dollars”, “in immediately available funds”, “in Cash” or any other similar requirement.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Additional Alternate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36"/>
        <w:spacing w:after="0" w:line="255" w:lineRule="auto"/>
        <w:tabs>
          <w:tab w:leader="none" w:pos="685"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Alternative Currency Loans be made to the Borrower and/or Letters of Credit be issued to the Borrower in a currency other than Dollars and those specifically listed in the definition of “Alternate Currencies”;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(other than Dollars) that is readily available and freely transferable and convertible into Dollars. In the case of any such request with respect to the making of Alternative Currency Loans, such request shall be subject to the approval of the Administrative Agent and the Revolving Lenders of the applicable Class that will provide such Loans, and in the case of any such request with respect to the issuance of Letters of Credit, such request shall be subject to the approval of the Administrative Agent and the applicable Issuing Banks, in each case as set forth in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80" w:firstLine="436"/>
        <w:spacing w:after="0" w:line="258" w:lineRule="auto"/>
        <w:tabs>
          <w:tab w:leader="none" w:pos="695" w:val="left"/>
        </w:tabs>
        <w:numPr>
          <w:ilvl w:val="0"/>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ten Business Days prior to the requested date of the making of such Revolving Loan or issuance of such Letter of Credit (or such other time or date as may be agreed by the Administrative Agent and, in the case of any such request pertaining to Letters of Credit, the applicable Issuing Banks, in its or their sole discretion). In the case of any such request pertaining to Alternative Currency Loans, the Administrative Agent shall promptly notify each Revolving Lender thereof; and in the case of any such request pertaining</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00"/>
          </w:cols>
          <w:pgMar w:left="440" w:top="270" w:right="559" w:bottom="1440" w:gutter="0" w:footer="0" w:header="0"/>
        </w:sectPr>
      </w:pPr>
    </w:p>
    <w:bookmarkStart w:id="416" w:name="page417"/>
    <w:bookmarkEnd w:id="41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Letters of Credit, the Administrative Agent shall promptly notify the applicable Issuing Bank thereof. Each applicable Revolving Lender (in the case of any such request pertaining to Revolving Loans) or each applicable Issuing Bank (in the case of a request pertaining to Letters of Credit) shall notify the Administrative Agent, not later than 11:00 a.m., five Business Days after receipt of such request whether it consents, in its sole discretion, to the making of Alternative Currency Loans or the issuance of Letters of Credit, as the case may be, in such requested currency.</w:t>
      </w:r>
    </w:p>
    <w:p>
      <w:pPr>
        <w:spacing w:after="0" w:line="180" w:lineRule="exact"/>
        <w:rPr>
          <w:sz w:val="20"/>
          <w:szCs w:val="20"/>
          <w:color w:val="auto"/>
        </w:rPr>
      </w:pPr>
    </w:p>
    <w:p>
      <w:pPr>
        <w:ind w:firstLine="436"/>
        <w:spacing w:after="0" w:line="253" w:lineRule="auto"/>
        <w:tabs>
          <w:tab w:leader="none" w:pos="685"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a Revolving Lender or Issuing Bank, as the case may be, to respond to such request within the time period specified in the preceding paragraph shall be deemed to be a refusal by such Revolving Lender or Issuing Bank, as the case may be, to permit Alternative Currency Loans to be made or Letters of Credit to be issued in such requested currency. If the Administrative Agent and all the applicable Revolving Lenders consent to making Alternative Currency Loans or issuance of Letters of Credit in such requested currency, the Administrative Agent shall so notify the Borrower, and such currency shall thereupon be deemed for all purposes to be an Alternate Currency hereunder for purposes of any Borrowing of Revolving Loans or issuance of Letters of Credit in such currency, as applicable, in which case the Borrower and the Revolving Lenders shall be permitted (but not required) to amend this Agreement and the other Loan Documents as necessary to accommodate such Borrowings and/or Letters of Credit (as applicable), in accordance with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 xml:space="preserve">. If the Administrative Agent shall fail to obtain consent to any request for an additional currency under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the Administrative Agent shall promptly so notify the Borrower. Except to the extent otherwise expressly provided, to the extent that the Alternative Currency Daily Rate, the Eurocurrency Rate and/or the Alternate Base Rate is not applicable to or available with respect to any Revolving Loan denominated in any Alternate Currency, the components of the interest rate applicable to such Revolving Loan shall be separately agreed by the Borrower and the Administrative Agent in accordance with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Additional Borrowers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on or after the Closing Date, and with three Business Days’ notice to the Administrative Agent (or such shorter period as the Administrative Agent may agree), subject to completion of customary “know your customer” procedures and delivery of related information reasonably requested by the Administrative Agent (including, if such Additional Borrower qualifies as a “legal entity customer” under the Beneficial Ownership Regulation, a Beneficial Ownership Certificate as to such Additional Borrower), the Borrower may designate any Restricted Subsidiary as an additional Borrower (each such person, an “</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xml:space="preserve">”) hereunder in respect of any specified Class or Classes of Obligations,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prior to or contemporaneously with becoming an Additional Borrower (i) is incorporated in an Approved Jurisdiction and (ii) shall have expressly assumed the Obligations of a Borrower in a manner and pursuant to documentation reasonably satisfactory to the Administrative Agent (it being understood that an Additional Borrower may be designated as such pursuant to the terms of any Incremental Facility Amendment, Refinancing Amendment, Extension Amendment or other applicable amendment to this Agreement) (any such documentation, an “</w:t>
      </w:r>
      <w:r>
        <w:rPr>
          <w:rFonts w:ascii="Times New Roman" w:cs="Times New Roman" w:eastAsia="Times New Roman" w:hAnsi="Times New Roman"/>
          <w:sz w:val="18"/>
          <w:szCs w:val="18"/>
          <w:b w:val="1"/>
          <w:bCs w:val="1"/>
          <w:color w:val="auto"/>
        </w:rPr>
        <w:t>Additional 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Upon satisfaction of such requirements, the Additional Borrower shall be a “Borrower” hereunder and will have the right to request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Loans, Revolving Loans or Letters of Credit, as the case may be, in each case of the applicable Class, in accordance with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 until the earlier to occur of the applicable Maturity Date or the date on which such Additional Borrower resigns as an Additional Borrower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417" w:name="page418"/>
    <w:bookmarkEnd w:id="417"/>
    <w:p>
      <w:pPr>
        <w:ind w:left="4" w:firstLine="436"/>
        <w:spacing w:after="0" w:line="268" w:lineRule="auto"/>
        <w:tabs>
          <w:tab w:leader="none" w:pos="689" w:val="left"/>
        </w:tabs>
        <w:numPr>
          <w:ilvl w:val="1"/>
          <w:numId w:val="5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 Additional Borrower may elect to resign as an Additional Borrower;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no Default or Event of Default is continuing or would result from the resignation of such Additional Borrower, (ii) such resigning Additional Borrower has delivered to the Administrative Agent a written notice of resignation, (iii) all outstanding Loans of the applicable Class or Classes of Obligations, together with all accrued and unpaid interest, unpaid fees and other unpaid amounts with respect to such Loans, extended to it hereunder as a Borrower (in each case, solely if any) shall be deemed to be assigned to another Borrower, and such other Borrower shall be deemed to have assumed such unpaid Loans, and unpaid interest, unpaid fees and other unpaid amounts with respect to such Loans (in each case, if any), as its primary obligations as Borrower, and (iv) either (A) its obligations in its capacity as Subsidiary Guarantor continue to be legal, valid, binding and enforceable and in full force and effect after giving effect to such resignation or</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89"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resigning Additional Borrower is released from its obligations as a Subsidiary Guarantor pursuant to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substantially concurrently with such resignation pursuant to the Loan Documents. Upon satisfaction of the requirements in </w:t>
      </w:r>
      <w:r>
        <w:rPr>
          <w:rFonts w:ascii="Times New Roman" w:cs="Times New Roman" w:eastAsia="Times New Roman" w:hAnsi="Times New Roman"/>
          <w:sz w:val="18"/>
          <w:szCs w:val="18"/>
          <w:u w:val="single" w:color="auto"/>
          <w:color w:val="auto"/>
        </w:rPr>
        <w:t>sub-clauses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Additional Borrower shall cease to be an Additional Borrower and a Borrower (but in the case of a resignation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continue to be a Subsidiary Guarantor (unless such Person thereafter shall become an Excluded Subsidiary)) and at the request of the Borrower any Promissory Note in respect of such Additional Borrower shall be returned by the holder thereof to such Additional Borrower for cancellation.</w:t>
      </w:r>
    </w:p>
    <w:p>
      <w:pPr>
        <w:spacing w:after="0" w:line="186"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Additional Borrower hereby designates the Borrower as its agent and representative. The Borrower may act as the agent and/or representative of any Additional Borrower for the purposes of (i) delivering Borrowing Requests, continuation or conversion notices and other notices pursuant to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hereof (and for the purpose of giving instructions with respect to the disbursement of the proceeds of any Loans or the issuance of any Letters of Credit), (ii) delivering and receiving all other notices, consents, certificates and similar instruments contemplated hereunder or under any of the other Loan Documents and (iii) taking all other actions (including in respect of compliance with covenants and certifications) on behalf of any Additional Borrower under any Loan Document. The Borrower hereby accepts such appointment.</w:t>
      </w:r>
    </w:p>
    <w:p>
      <w:pPr>
        <w:spacing w:after="0" w:line="183"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a Loan or Loans to a particular Additional Borrower (“</w:t>
      </w:r>
      <w:r>
        <w:rPr>
          <w:rFonts w:ascii="Times New Roman" w:cs="Times New Roman" w:eastAsia="Times New Roman" w:hAnsi="Times New Roman"/>
          <w:sz w:val="18"/>
          <w:szCs w:val="18"/>
          <w:b w:val="1"/>
          <w:bCs w:val="1"/>
          <w:color w:val="auto"/>
        </w:rPr>
        <w:t>Designated Loans</w:t>
      </w:r>
      <w:r>
        <w:rPr>
          <w:rFonts w:ascii="Times New Roman" w:cs="Times New Roman" w:eastAsia="Times New Roman" w:hAnsi="Times New Roman"/>
          <w:sz w:val="18"/>
          <w:szCs w:val="18"/>
          <w:color w:val="auto"/>
        </w:rPr>
        <w:t>”), any Lender (a “</w:t>
      </w:r>
      <w:r>
        <w:rPr>
          <w:rFonts w:ascii="Times New Roman" w:cs="Times New Roman" w:eastAsia="Times New Roman" w:hAnsi="Times New Roman"/>
          <w:sz w:val="18"/>
          <w:szCs w:val="18"/>
          <w:b w:val="1"/>
          <w:bCs w:val="1"/>
          <w:color w:val="auto"/>
        </w:rPr>
        <w:t>Designating Lender</w:t>
      </w:r>
      <w:r>
        <w:rPr>
          <w:rFonts w:ascii="Times New Roman" w:cs="Times New Roman" w:eastAsia="Times New Roman" w:hAnsi="Times New Roman"/>
          <w:sz w:val="18"/>
          <w:szCs w:val="18"/>
          <w:color w:val="auto"/>
        </w:rPr>
        <w:t>”) may at any time and from time to time designate (by written notice to the Administrative Agent and the Borrower): (i) a substitute lending office from which it will make Designated Loans (a “</w:t>
      </w:r>
      <w:r>
        <w:rPr>
          <w:rFonts w:ascii="Times New Roman" w:cs="Times New Roman" w:eastAsia="Times New Roman" w:hAnsi="Times New Roman"/>
          <w:sz w:val="18"/>
          <w:szCs w:val="18"/>
          <w:b w:val="1"/>
          <w:bCs w:val="1"/>
          <w:color w:val="auto"/>
        </w:rPr>
        <w:t>Substitute Facility Office</w:t>
      </w:r>
      <w:r>
        <w:rPr>
          <w:rFonts w:ascii="Times New Roman" w:cs="Times New Roman" w:eastAsia="Times New Roman" w:hAnsi="Times New Roman"/>
          <w:sz w:val="18"/>
          <w:szCs w:val="18"/>
          <w:color w:val="auto"/>
        </w:rPr>
        <w:t>”) or (ii) nominate an Affiliate to act as the Lender of Designated Loans (a “</w:t>
      </w:r>
      <w:r>
        <w:rPr>
          <w:rFonts w:ascii="Times New Roman" w:cs="Times New Roman" w:eastAsia="Times New Roman" w:hAnsi="Times New Roman"/>
          <w:sz w:val="18"/>
          <w:szCs w:val="18"/>
          <w:b w:val="1"/>
          <w:bCs w:val="1"/>
          <w:color w:val="auto"/>
        </w:rPr>
        <w:t>Substitute Affiliate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 notice to nominate a Substitute Affiliate Lender must be in the form set out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be countersigned by the relevant Substitute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Affiliate Lender confirming it will be bound as a Lender under this Agreement in respect of the Designated Loans in respect of which it acts as Substitute Affiliate Lender. The Designating Lender will act as the representative of any Substitute Affiliate Lender it nominates for all administrative purposes under this Agreement. The Borrower, the Administrative Agent and the other Loan Parties will be entitled to deal only with the Designating Lender, except that payments will be made in respect of Designated Loans to the lending office of the Substitute Affiliate Lender. In particular the Loans, Commitments, LC Exposure and Swingline Exposure of the Designating Lender will not be treated as reduced by the introduction of the Substitute Affiliate Lender for voting purposes under this Agreement or the other Loan Documents and the Substitute Affiliate Lender will be treated as having no Loans, Commitments, LC Exposure or Swingline Exposure for such voting purposes. Save as mentioned in the immediately preceding sentence, a Substitute Affiliate Lender will be treated as a Lender for all purposes under the Loan Documents and having a Loan, Commitment, LC Exposure or Swingline Exposure equal to the principal amount of all Designated Loans in which it is participating if and for so long as it continues to be a Substitute Affiliate Lender under this Agreement. A Designating Lender may revoke its designation of an Affiliate as a Substitute Affiliate Lender by notice in writing to the Administrative Agent and provided that such notice may only take effect when there are no Designated Loans outstanding to the Substitute Affiliate Lender.</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4"/>
          </w:cols>
          <w:pgMar w:left="436" w:top="270" w:right="459" w:bottom="1440" w:gutter="0" w:footer="0" w:header="0"/>
        </w:sectPr>
      </w:pPr>
    </w:p>
    <w:bookmarkStart w:id="418" w:name="page419"/>
    <w:bookmarkEnd w:id="418"/>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such Substitute Affiliate Lender ceasing to be a Substitute Affiliate Lender the Designating Lender will automatically assume (and be deemed to assume without further action by any party) all rights and obligations previously vested in the Substitute Affiliate Lender. If a Designating Lender designates a Substitute Facility Office or Substitute Affiliate Lender in accordance with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(i) any Substitute Affiliate Lender shall be treated for the purposes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as having become a Lender on the date of this Agreement and (ii) the provisions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or in respect of any Substitute Facility Office or Substitute Affiliate Lender.</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Escrow Funding</w:t>
      </w:r>
      <w:r>
        <w:rPr>
          <w:rFonts w:ascii="Times New Roman" w:cs="Times New Roman" w:eastAsia="Times New Roman" w:hAnsi="Times New Roman"/>
          <w:sz w:val="18"/>
          <w:szCs w:val="18"/>
          <w:color w:val="auto"/>
        </w:rPr>
        <w:t>. Any Indebtedness permitted to be incurred under this Agreement (including any Incremental Facilities) may be incurred, at the option of the Borrower, by a newly created and newly designated Unrestricted Subsidiary (an “</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(i) with no assets other than the cash proceeds of such incurred Indebtedness, any Cash and Cash Equivalents contributed to such Unrestricted Escrow Subsidiary as deposit of interest expenses, premium and fees, customary cash collateral or similar items in respect of such Indebtedness and (ii) which is formed, established and/or designated for the purpose of incurring Indebtedness and/or receiving committed financing, the proceeds of which will be subject to an escrow or other similar arrangement, and such Unrestricted Escrow Subsidiary shall, in each case, be subject to passivity restrictions reasonably satisfactory to the Administrative Agent. Such Unrestricted Escrow Subsidiary shall be permitted to merge with and into any Borrower or any of the Restricted Subsidiaries with such Borrower or such Restricted Subsidiary surviving the merger, amalgamation or other consolidation or combination and assuming all obligations of the Unrestricted Escrow Subsidiary. So long as such Indebtedness would have been permitted to be incurred directly by any Borrower or any Restricted Subsidiary upon the incurrence of such Indebtedness or upon the receipt of the applicable committed financing by the Unrestricted Escrow Subsidiary or, at the option of the Borrower, upon the merger, amalgamation or other consolidation or combination of such Unrestricted Escrow Subsidiary with any Borrower or any Restricted Subsidiary, the assumption of such Indebtedness by the applicable Borrower and the applicable Restricted Subsidiary shall be deemed to be permitted under Section 6.01 at such time and such merger, amalgamation or other consolidation or combination shall be deemed to be permitted under Section 6.07, regardless of whether or not any Default or Event of Default shall have occurred and be continuing at such time.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CREDITS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66" w:lineRule="auto"/>
        <w:tabs>
          <w:tab w:leader="none" w:pos="685"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set forth herein, each Initial Term Lender severally, and not jointly, agrees to make Initial Term Loans to the Borrower on the Closing Date in Dollars in a principal amount not to exceed its Initial Term Loan Commitment. Amounts paid or prepaid in respect of the Initial Term Loans may not be re-borrowed.</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and any applicable Refinancing Amendment, Extension Amendment, Incremental Facility Amendment or other applicable amendment to this Agreement, each Lender with an Additional Commitment of a given Class, severally and not jointly, agrees to make Additional Loans of such Class to the Borrower, which Loans shall not exceed for any such Lender at the time of any incurrence thereof the Additional Commitment of such Class of such Lender as set forth in the applicable Refinancing Amendment, Extension Amendment, Incremental Facility Amendment or other applicable amendment to this Agreement.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419" w:name="page420"/>
    <w:bookmarkEnd w:id="41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Loans and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60" w:firstLine="436"/>
        <w:spacing w:after="0" w:line="266" w:lineRule="auto"/>
        <w:tabs>
          <w:tab w:leader="none" w:pos="689"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(other than a Swingline Loan) shall be made as part of a Borrowing consisting of Loans of the same Class and Type made by the Lenders ratably in accordance with their respective Commitments of the applicable Class. Each Swingline Loan shall be made in accordance with the procedures set forth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 each Borrowing denominated in Dollars shall be comprised entirely of ABR Loans or Eurocurrency Rate Loans as the Borrower may request in accordance herewith, (ii) each Borrowing denominated in Canadian Dollars shall be comprised entirely of Canadian Prime Rate Loans or CORRA Loans as the Borrower may request in accordance herewith, (iii) each Borrowing denominated in Sterling shall be comprised of Alternative Currency Daily Rate Loans and (iv) each Borrowing denominated in Euros shall be comprised of Eurocurrency Rate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Swingline Loan shall be an ABR Loan denominated in Dollars. Each Lender at its option may make any Eurocurrency Rate Loan or Alternative Currency Daily Rate Loan by causing any domestic or foreign branch or Affiliate of such Lender to make such Loan;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any exercise of such option shall not affect the obligation of the Borrower to repay such Loan in accordance with the terms of this Agreement, (ii) such Eurocurrency Rate Loan or Alternative Currency Daily Rate Loan shall be deemed to have been made and held by such Lender, and the obligation of the Borrower to repay such Eurocurrency Rate Loan or Alternative Currency Daily Rate Loan shall nevertheless be to such Lender for the account of such domestic or foreign branch or Affiliate of such Lender and (iii) in exercising such option, such Lender shall use reasonable efforts to minimize increased costs to the Borrower resulting therefrom (which obligation of such Lender shall not require it to take, or refrain from taking, actions that it determines would result in increased costs for which it will not be compensated hereunder or that it otherwise determines would be disadvantageous to it and in the event of such request for costs for which compensation is provided under this Agreement, the provisions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apply);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any such domestic or foreign branch or Affiliate of such Lender shall not be entitled to any greater indemnification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such Eurocurrency Rate Loan or Alternative Currency Daily Rate Loan than that to which the applicable Lender was entitled on the date on which such Loan was made (except in connection with any indemnification entitlement arising as a result of a Change in Law after the date on which such Loan was made).</w:t>
      </w:r>
    </w:p>
    <w:p>
      <w:pPr>
        <w:spacing w:after="0" w:line="193" w:lineRule="exact"/>
        <w:rPr>
          <w:rFonts w:ascii="Times New Roman" w:cs="Times New Roman" w:eastAsia="Times New Roman" w:hAnsi="Times New Roman"/>
          <w:sz w:val="18"/>
          <w:szCs w:val="18"/>
          <w:color w:val="auto"/>
        </w:rPr>
      </w:pPr>
    </w:p>
    <w:p>
      <w:pPr>
        <w:ind w:left="4" w:right="40" w:firstLine="436"/>
        <w:spacing w:after="0" w:line="257" w:lineRule="auto"/>
        <w:tabs>
          <w:tab w:leader="none" w:pos="689" w:val="left"/>
        </w:tabs>
        <w:numPr>
          <w:ilvl w:val="1"/>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commencement of each Interest Period for any Eurocurrency Rate Borrowing, such Borrowing shall comprise an aggregate principal amount that is an integral multiple of $100,000 and not less than $500,000 (or the Dollar Equivalent thereof). Each ABR Borrowing when made shall be in a minimum principal amount of $100,000;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ABR Revolving Loan Borrowing may be made in a lesser aggregate amount that is</w:t>
      </w:r>
    </w:p>
    <w:p>
      <w:pPr>
        <w:spacing w:after="0" w:line="1" w:lineRule="exact"/>
        <w:rPr>
          <w:rFonts w:ascii="Times New Roman" w:cs="Times New Roman" w:eastAsia="Times New Roman" w:hAnsi="Times New Roman"/>
          <w:sz w:val="18"/>
          <w:szCs w:val="18"/>
          <w:color w:val="auto"/>
        </w:rPr>
      </w:pPr>
    </w:p>
    <w:p>
      <w:pPr>
        <w:ind w:left="4" w:right="100" w:hanging="4"/>
        <w:spacing w:after="0" w:line="250" w:lineRule="auto"/>
        <w:tabs>
          <w:tab w:leader="none" w:pos="259"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equal to the entire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Each Alternative Currency Daily Rate Loan Borrowing when made shall comprise an aggregate principal amount that is an integral multiple of the Dollar Equivalent of $100,000 (or in the case of any Daily Simple CORRA Borrowing C$100,000) and not less than the Dollar Equivalent of $500,000 (or in the case of any Daily Simple CORRA Borrowing C$500,000);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 Alternative Currency Daily Rate Loan Borrowing may be made in a lesser aggregate amount that is (x) equal to the entire aggregate Unused Revolving Credit Commitments or</w:t>
      </w:r>
    </w:p>
    <w:p>
      <w:pPr>
        <w:spacing w:after="0" w:line="1" w:lineRule="exact"/>
        <w:rPr>
          <w:rFonts w:ascii="Times New Roman" w:cs="Times New Roman" w:eastAsia="Times New Roman" w:hAnsi="Times New Roman"/>
          <w:sz w:val="18"/>
          <w:szCs w:val="18"/>
          <w:color w:val="auto"/>
        </w:rPr>
      </w:pPr>
    </w:p>
    <w:p>
      <w:pPr>
        <w:ind w:left="4" w:right="20" w:hanging="4"/>
        <w:spacing w:after="0" w:line="265" w:lineRule="auto"/>
        <w:tabs>
          <w:tab w:leader="none" w:pos="259" w:val="left"/>
        </w:tabs>
        <w:numPr>
          <w:ilvl w:val="0"/>
          <w:numId w:val="5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required to finance the reimbursement of an LC Disbursement as contemplated by </w:t>
      </w:r>
      <w:r>
        <w:rPr>
          <w:rFonts w:ascii="Times New Roman" w:cs="Times New Roman" w:eastAsia="Times New Roman" w:hAnsi="Times New Roman"/>
          <w:sz w:val="17"/>
          <w:szCs w:val="17"/>
          <w:u w:val="single" w:color="auto"/>
          <w:color w:val="auto"/>
        </w:rPr>
        <w:t>Section 2.05(e)</w:t>
      </w:r>
      <w:r>
        <w:rPr>
          <w:rFonts w:ascii="Times New Roman" w:cs="Times New Roman" w:eastAsia="Times New Roman" w:hAnsi="Times New Roman"/>
          <w:sz w:val="17"/>
          <w:szCs w:val="17"/>
          <w:color w:val="auto"/>
        </w:rPr>
        <w:t xml:space="preserve">. At the commencement of each Interest Period for any Term CORRA Borrowing, such Borrowing shall comprise an aggregate principal amount that is an integral multiple of C$100,000 and not less than C$500,000. Each Canadian Prime Rate Borrowing when made shall be in a minimum principal amount of C$100,000;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 Canadian Prime Rate Revolving Borrowing may be made in a lesser aggregate amount that is (x) equal to the entire aggregate Unused Revolving Credit Commitments or</w:t>
      </w:r>
    </w:p>
    <w:p>
      <w:pPr>
        <w:ind w:left="4" w:hanging="4"/>
        <w:spacing w:after="0" w:line="253" w:lineRule="auto"/>
        <w:tabs>
          <w:tab w:leader="none" w:pos="259"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Borrowings of more than one Type and Class may be outstanding at the same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there shall not at any time be more than a total of fifteen (15) different Interest Periods in effect for Eurocurrency Rate Borrowings and Term CORRA Borrowings at any time outstanding (or such greater number of different Interest Periods as the Administrative Agent may agree from time to time).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24"/>
          </w:cols>
          <w:pgMar w:left="436" w:top="270" w:right="439" w:bottom="1440" w:gutter="0" w:footer="0" w:header="0"/>
        </w:sectPr>
      </w:pPr>
    </w:p>
    <w:bookmarkStart w:id="420" w:name="page421"/>
    <w:bookmarkEnd w:id="420"/>
    <w:p>
      <w:pPr>
        <w:jc w:val="both"/>
        <w:ind w:right="320" w:firstLine="436"/>
        <w:spacing w:after="0" w:line="312" w:lineRule="auto"/>
        <w:tabs>
          <w:tab w:leader="none" w:pos="695" w:val="left"/>
        </w:tabs>
        <w:numPr>
          <w:ilvl w:val="0"/>
          <w:numId w:val="5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Agreement, the Borrower shall not, nor shall the Borrower be entitled to, request, or to elect to convert or continue, any Borrowing if the Interest Period requested with respect thereto would end after the Maturity Date applicable to such Loans.</w:t>
      </w:r>
    </w:p>
    <w:p>
      <w:pPr>
        <w:spacing w:after="0" w:line="14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Requests for Borrowings</w:t>
      </w:r>
      <w:r>
        <w:rPr>
          <w:rFonts w:ascii="Times New Roman" w:cs="Times New Roman" w:eastAsia="Times New Roman" w:hAnsi="Times New Roman"/>
          <w:sz w:val="18"/>
          <w:szCs w:val="18"/>
          <w:color w:val="auto"/>
        </w:rPr>
        <w:t>. Each Borrowing, each conversion of Loans from one Type to the other, and each continuation of Eurocurrency Rate Loans, Alternative Currency Daily Rate Loans or Term CORRA Loans shall be made upon notice by the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notices in respect of any Borrowings (x) to be made on the Closing Date may be conditioned on the closing of the Transactions and (y) to be made in connection with any acquisition, Investment or repayment, redemption or refinancing of Indebtedness may be conditioned on the closing of such acquisition, Investment or repayment, redemption or refinancing of such Indebtedness). Each such notice must be in writing and must be received by the Administrative Agent (by hand delivery, fax or other electronic transmission (including “.pdf” or “.tif”)) not later than 1:00 p.m. (i) three Business Days prior to the requested day of any Borrowing of, conversion to or continuation of Eurocurrency Rate Loans or Term CORRA Loans (or one Business Day in the case of any Borrowing of Eurocurrency Rate Loans or Term CORRA Loans to be made on the Closing Date), (ii) five Business Days prior to the requested date of any Borrowing of Alternative Currency Daily Rate Loans and (iii) on the requested date of any Borrowing of or conversion to ABR Loans (other than Swingline Loans) or Canadian Prime Rate Loans (or, in each case, (x) such other time as may be agreed with Lenders of the applicable Class or (y) such later time as shall be reasonably acceptable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Borrower wishes to request Eurocurrency Rate Loans or Term CORRA Loans having an Interest Period of other than one, three or (other than with respect to Term CORRA Loans) six months in duration as provided in the definition of “Interest Period,” (A) the applicable notice from the Borrower must be received by the Administrative Agent not later than 1:00 p.m. four Business Days prior to the requested date of such Borrowing, conversion or continuation (or such later time as is reasonably acceptable to the Administrative Agent), whereupon the Administrative Agent shall give prompt notice to the appropriate Lenders of such request and determine whether the requested Interest Period is available to them and (B) not later than 10:00 a.m. three Business Days before the requested date of such Borrowing, conversion or continuation, the Administrative Agent shall notify the Borrower whether or not the requested Interest Period is available to the appropriate Lenders. Each written notice with respect to a Borrowing by the Borrower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delivered to the Administrative Agent in the form of a written Borrowing Request, appropriately completed and signed by a Responsible Officer of the Borrower. Each such Borrowing Request shall specify the following information in compliance with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680" w:hanging="244"/>
        <w:spacing w:after="0"/>
        <w:tabs>
          <w:tab w:leader="none" w:pos="68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requesting such Borrowing;</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 of such Borrowing;</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requested Borrowing;</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such Borrowing, which shall be a Business Day;</w:t>
      </w:r>
    </w:p>
    <w:p>
      <w:pPr>
        <w:spacing w:after="0" w:line="225" w:lineRule="exact"/>
        <w:rPr>
          <w:rFonts w:ascii="Times New Roman" w:cs="Times New Roman" w:eastAsia="Times New Roman" w:hAnsi="Times New Roman"/>
          <w:sz w:val="18"/>
          <w:szCs w:val="18"/>
          <w:color w:val="auto"/>
        </w:rPr>
      </w:pPr>
    </w:p>
    <w:p>
      <w:pPr>
        <w:ind w:right="480" w:firstLine="436"/>
        <w:spacing w:after="0" w:line="282" w:lineRule="auto"/>
        <w:tabs>
          <w:tab w:leader="none" w:pos="685"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Borrowing is to be an ABR Borrowing, a Eurocurrency Rate Borrowing, an Alternative Currency Daily Rate Borrowing, a Canadian Prime Rate Borrowing, a Term CORRA Borrowing or a Daily Simple CORRA Borrowing;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70" w:right="459" w:bottom="1440" w:gutter="0" w:footer="0" w:header="0"/>
        </w:sectPr>
      </w:pPr>
    </w:p>
    <w:bookmarkStart w:id="421" w:name="page422"/>
    <w:bookmarkEnd w:id="421"/>
    <w:p>
      <w:pPr>
        <w:ind w:right="100" w:firstLine="436"/>
        <w:spacing w:after="0" w:line="282" w:lineRule="auto"/>
        <w:tabs>
          <w:tab w:leader="none" w:pos="66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 Eurocurrency Rate Borrowing or a Term CORRA Borrowing, the initial Interest Period to be applicable thereto, which shall be a period contemplated by the definition of the term “Interest Period”; and</w:t>
      </w:r>
    </w:p>
    <w:p>
      <w:pPr>
        <w:spacing w:after="0" w:line="157" w:lineRule="exact"/>
        <w:rPr>
          <w:rFonts w:ascii="Times New Roman" w:cs="Times New Roman" w:eastAsia="Times New Roman" w:hAnsi="Times New Roman"/>
          <w:sz w:val="18"/>
          <w:szCs w:val="18"/>
          <w:color w:val="auto"/>
        </w:rPr>
      </w:pPr>
    </w:p>
    <w:p>
      <w:pPr>
        <w:ind w:right="520" w:firstLine="436"/>
        <w:spacing w:after="0" w:line="286" w:lineRule="auto"/>
        <w:tabs>
          <w:tab w:leader="none" w:pos="695"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location and number of the Borrower’s account or any other designated account(s) to which funds are to be disbursed (the “</w:t>
      </w:r>
      <w:r>
        <w:rPr>
          <w:rFonts w:ascii="Times New Roman" w:cs="Times New Roman" w:eastAsia="Times New Roman" w:hAnsi="Times New Roman"/>
          <w:sz w:val="18"/>
          <w:szCs w:val="18"/>
          <w:b w:val="1"/>
          <w:bCs w:val="1"/>
          <w:color w:val="auto"/>
        </w:rPr>
        <w:t>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Account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If, with respect to a Borrowing denominated in Dollars, no election as to the Type of Borrowing is specified, then the requested Borrowing shall be an ABR Borrowing. If, with respect to a Borrowing denominated in Canadian Dollars, no election as to the Type of Borrowing is specified, then the requested Borrowing shall be a Canadian Prime Rate Borrowing. If no Interest Period is specified with respect to any requested Eurocurrency Rate Borrowing or Term CORRA Borrowing, then the Borrower shall be deemed to have selected an Interest Period of one month’s duration. Promptly following receipt of a Borrowing Request in accordance with this Section, the Administrative Agent shall advise each Lender of the details thereof and of the amount (and currency) of such Lender’s Loan to be made as part of the requested Borrowing.</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Swingline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the Swingline Lender agrees to make Swingline Loans in Dollars to the Borrower from time to time during the Availability Period, in an aggregate principal amount at any time outstanding not to exceed its Swingline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the Swingline Lender shall not be required to make any Swingline Loan to refinance an outstanding Swingline Loan and (y) after giving effect to any Swingline Loan, the aggregate Outstanding Amount of all Revolving Loans, Swingline Loans and LC Exposure shall not exceed the Total Revolving Credit Commitments. Each Swingline Loan shall be in a minimum principal amount of not less than $100,000 or such lesser amount as may be agreed by the Swingline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a Swingline Loan may be in an aggregate amount that is (x) equal to the entire unused balance of the aggregate Unused Revolving Credit Commitments or (y) required to finance the reimbursement of an LC Disbursement as contemplated by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Within the foregoing limits and subject to the terms and conditions set forth herein, Swingline Loans may be borrowed, prepaid and reborrowed. To request a Swingline Loan, the Borrower shall notify the Swingline Lender (with a copy to the Administrative Agent) of such request by in writing, not later than 2:00 p.m. on the day of a proposed Swingline Loan. Each such notice shall be irrevocable and shall specify the requested date (which shall be a Business Day) and amount of the requested Swingline Loan. The Swingline Lender shall make each Swingline Loan available to the Borrower on the same Business Day by means of a credit to the Funding Account or otherwise in accordance with the instructions of the Borrower (including, in the case of a Swingline Loan made to finance the reimbursement of an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by remittance to the applicable Issuing Bank).</w:t>
      </w:r>
    </w:p>
    <w:p>
      <w:pPr>
        <w:spacing w:after="0" w:line="197"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Swingline Lender may by written notice given to the Administrative Agent not later than 12:00 p.m. on any Business Day require the Revolving Lenders to acquire participations on the second Business Day following receipt of such notice in all or a portion of the Swingline Loans outstanding. Such notice shall specify the aggregate amount of Swingline Loans in which Revolving Lenders will participate. Promptly upon receipt of such notice, the Administrative Agent will give notice thereof to each Revolving Lender, specifying in such notice such Revolving Lender’s Applicable Percentage of such Swingline Loan or Swingline Loans. Each Revolving Lender hereby absolutely and unconditionally agrees, upon receipt of notice as provided above, to pay to the Administrative Agent, for the account of the Swingline Lender, such Lender’s Applicable Percentage of such Swingline Loan or Swingline Loans. Each Revolving Lender acknowledges and agrees that its obligation to acquire participations in Swingline Loans pursuant to this paragraph is absolute and unconditional and shall not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20"/>
          </w:cols>
          <w:pgMar w:left="440" w:top="270" w:right="439" w:bottom="1440" w:gutter="0" w:footer="0" w:header="0"/>
        </w:sectPr>
      </w:pPr>
    </w:p>
    <w:bookmarkStart w:id="422" w:name="page423"/>
    <w:bookmarkEnd w:id="422"/>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 affected by any circumstance whatsoever, including the occurrence and continuance of a Default or any reduction or termination of the Revolving Credit Commitments, and that each such payment shall be made without any offset, abatement, withholding or reduction whatsoever. Each Revolving Lender shall comply with its obligation under this paragraph by wire transfer of immediately available funds,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Revolving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the Administrative Agent shall promptly remit to the Swingline Lender the amounts so received by it from the Revolving Lenders. The Administrative Agent shall notify the Borrower of any participation in any Swingline Loan acquired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thereafter payments in respect of such Swingline Loan shall be made to the Administrative Agent and not to the Swingline Lender. Any amounts received by the Swingline Lender from the Borrower (or other Person on behalf of the Borrower) in respect of any Swingline Loan after receipt by the Swingline Lender of the proceeds of any sale of participations therein shall be promptly remitted by the Swingline Lender to the Administrative Agent and any such amounts received by the Administrative Agent shall be promptly remitted by the Administrative Agent to the Revolving Lenders that have made their payments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to the Swingline Lender, as their interests may appear;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payment so remitted shall be repaid to the Swingline Lender or the Administrative Agent, as the case may be, and thereafter to the Borrower, if and to the extent such payment is required to be refunded to the Borrower for any reason. The purchase of participations in any Swingline Loan pursuant to this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shall not relieve the Borrower of any default in the payment thereof.</w:t>
      </w:r>
    </w:p>
    <w:p>
      <w:pPr>
        <w:spacing w:after="0" w:line="197" w:lineRule="exact"/>
        <w:rPr>
          <w:sz w:val="20"/>
          <w:szCs w:val="20"/>
          <w:color w:val="auto"/>
        </w:rPr>
      </w:pPr>
    </w:p>
    <w:p>
      <w:pPr>
        <w:ind w:firstLine="436"/>
        <w:spacing w:after="0" w:line="255" w:lineRule="auto"/>
        <w:tabs>
          <w:tab w:leader="none" w:pos="685"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Swingline Lender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by the time specified in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the Swingline Lender shall be entitled to recover from such Revolving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Effective Rate from time to time in effect and a rate determined by the Administrative Agent in accordance with banking industry rules on interbank compensation. A certificate of the Swingline Lender submitted to any Revolving Lender (through the Administrative Agent) with respect to any amounts owing under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conclusive absent manifest error.</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3" w:lineRule="auto"/>
        <w:tabs>
          <w:tab w:leader="none" w:pos="685"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Subject to the terms and conditions set forth herein, (i) each Issuing Bank agrees, in each case in reliance upon the agreements of the other Revolving Lenders set forth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 from time to time on any Business Day during the period from the Closing Date to the fifth Business Day prior to the Latest Revolving Loan Maturity Date, upon the request of the Borrower, to issue Letters of Credit denominated in Dollars or any Alternate Currency issued on sight basis only for the account of the Borrower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will be the applicant) and to amend or renew Letters of Credit previously issued by it, in accordance with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and (B) to honor drafts under the Letters of Credit and (ii) the Revolving Lenders severally agree to participate in the Letters of Credit issued pursuant to </w:t>
      </w:r>
      <w:r>
        <w:rPr>
          <w:rFonts w:ascii="Times New Roman" w:cs="Times New Roman" w:eastAsia="Times New Roman" w:hAnsi="Times New Roman"/>
          <w:sz w:val="18"/>
          <w:szCs w:val="18"/>
          <w:u w:val="single" w:color="auto"/>
          <w:color w:val="auto"/>
        </w:rPr>
        <w:t>Section 2.05(d)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after giving effect to the issuance, amendment, renewal or extension of any Letter of Credit, (w) the aggregate LC Exposure shall not exceed the Total Revolving Credit Commitments, (x) the LC Exposure of each Revolving Lender shall not exceed such Revolving Lender’s Revolving Credit Commitment, (y) the Outstanding Amount of the LC Exposure shall not exceed the Letter of Credit Sublimit and (z) the Outstanding Amount of the Letters of Credit issued by any Issuing Bank shall not exceed such Issuing Bank’s Letter of Credit Commitment. Notwithstanding anything to the contrary contained in this Agreement, no Issuing Bank shall be required to issue (x) Commercial Letters of Credit, bank guarantees,</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940"/>
          </w:cols>
          <w:pgMar w:left="440" w:top="270" w:right="519" w:bottom="1440" w:gutter="0" w:footer="0" w:header="0"/>
        </w:sectPr>
      </w:pPr>
    </w:p>
    <w:bookmarkStart w:id="423" w:name="page424"/>
    <w:bookmarkEnd w:id="423"/>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bankers’ acceptances or similar documents or instruments (in each case, other than Standby Letters of Credit) or (y) other Letter of Credit with an expiry date that is more than one year after the date on which such Letter of Credit is issued, in each case, without its consent.</w:t>
      </w:r>
    </w:p>
    <w:p>
      <w:pPr>
        <w:spacing w:after="0" w:line="54" w:lineRule="exact"/>
        <w:rPr>
          <w:sz w:val="20"/>
          <w:szCs w:val="20"/>
          <w:color w:val="auto"/>
        </w:rPr>
      </w:pPr>
    </w:p>
    <w:p>
      <w:pPr>
        <w:ind w:left="440" w:right="20" w:firstLine="419"/>
        <w:spacing w:after="0" w:line="255" w:lineRule="auto"/>
        <w:tabs>
          <w:tab w:leader="none" w:pos="1078"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Issuing Bank shall have an obligation to issue any Letter of Credit if (w) any order, judgment or decree of any Governmental Authority or arbitrator shall by its terms purport to enjoin or restrain such Issuing Bank from issuing such Letter of Credit, (x) customary “know your customer” requirements of such Issuing Bank with respect to the beneficiary of such Letter of Credit would be violated, (y) any law applicable to such Issuing Bank or any directive (whether or not having the force of law) from any Governmental Authority with jurisdiction over such Issuing Bank shall prohibit, or direct that such Issuing Bank refrain from, the issuance of letters of credit generally or such Letter of Credit in particular or (z) the issuance, amendment or extension of such Letter of Credit would violate one or more policies of such Issuing Bank applicable to letters of credit generally.</w:t>
      </w:r>
    </w:p>
    <w:p>
      <w:pPr>
        <w:spacing w:after="0" w:line="80" w:lineRule="exact"/>
        <w:rPr>
          <w:rFonts w:ascii="Times New Roman" w:cs="Times New Roman" w:eastAsia="Times New Roman" w:hAnsi="Times New Roman"/>
          <w:sz w:val="18"/>
          <w:szCs w:val="18"/>
          <w:color w:val="auto"/>
        </w:rPr>
      </w:pPr>
    </w:p>
    <w:p>
      <w:pPr>
        <w:ind w:left="440" w:right="420" w:firstLine="419"/>
        <w:spacing w:after="0" w:line="258" w:lineRule="auto"/>
        <w:tabs>
          <w:tab w:leader="none" w:pos="1128" w:val="left"/>
        </w:tabs>
        <w:numPr>
          <w:ilvl w:val="1"/>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agreed by the Issuing Bank thereof, each Letter of Credit shall be subject to, in the case of Commercial Letters of Credit, the Uniform Customs and Practice for Documentary Credits, International Chamber of Commerce Publication No. 600 (or such later version thereof as may be in effect at the applicable time), in the case of Standby Letters of Credit, the International Standby Practices, International Chamber of Commerce Publication No. 590 (or such later version thereof as may be in effect at the applicable time) and, for all Letters of Credit, to the extent not consistent or inconsistent with the aforementioned rules, the laws of the State of New York.</w:t>
      </w:r>
    </w:p>
    <w:p>
      <w:pPr>
        <w:spacing w:after="0" w:line="183"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the Borrower shall deliver to the applicable Issuing Bank and the Administrative Agent, at least three Business Days in advance of the requested date of issuance (or such shorter period as is acceptable to the applicable Issuing Bank or, in the case of any issuance to be made on the Closing Date, one Business Day prior to the Closing Date), a request to issue a Letter of Credit, which shall specify that it is being issued under this Agreement, in the form of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attached hereto or any other form approved by the applicable Issuing Bank and the Borrower. To request an amendment, extension or renewal of a Letter of Credit (other than any automatic extension of a Letter of Credit permitted under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the Borrower shall submit such a request to the applicable Issuing Bank selected by the Borrower (with a copy to the Administrative Agent) at least three Business Days in advance of the requested date of amendment, extension or renewal (or such shorter period as is acceptable to the applicable Issuing Bank), identifying the Letter of Credit to be amended, extended or renewed, and specifying the proposed date (which shall be a Business Day) and other details of the amendment, extension or renewal. Requests for the issuance, amendment, extension or renewal of any Letter of Credit must be accompanied by such other information required by the applicable Issuing Bank as shall be necessary to issue, amend, extend or renew such Letter of Credit. If requested by the applicable Issuing Bank, the Borrower also shall submit a letter of credit application on such Issuing Bank’s standard form in connection with any request for a Letter of Credit. In the event of any inconsistency between the terms and conditions of this Agreement and the terms and conditions of any form of letter of credit application or other agreement submitted by the Borrower to, or entered into by the Borrower with, the applicable Issuing Bank relating to any Letter of Credit, the terms and conditions of this Agreement shall control. No Letter of Credit, letter of credit application or other document entered into by the Borrower with any Issuing Bank relating to any Letter of Credit shall contain any representations or warranties, covenants or events of default not set forth in this Agreement (and to the extent inconsistent herewith shall be rendered null and void or reformed automatically without further action by any Person to conform to the terms of this Agreement), and all representations and warranties, covenants and events of default set forth therein shall contain standards, qualifications, thresholds and exceptions for materiality or otherwise consistent</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424" w:name="page425"/>
    <w:bookmarkEnd w:id="424"/>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those set forth in this Agreement (and, to the extent inconsistent herewith, shall be deemed to automatically incorporate the applicable standards, qualifications, thresholds and exceptions set forth herein without action by any Person). A Letter of Credit may be issued, amended, extended or renewed only if (and on the issuance, amendment, extension or renewal of each Letter of Credit the Borrower shall be deemed to represent and warrant that), after giving effect to such issuance, amendment, extension or renewal, (w) the aggregate Revolving Credit Exposure shall not exceed the Total Revolving Credit Commitments, (x) the LC Exposure of each Revolving Lender shall not exceed such Revolving Lender’s Revolving Credit Commitment, (y) the aggregate amount of the LC Exposure shall not exceed the Letter of Credit Sublimit and (z) the Outstanding Amount of the Letters of Credit issued by any Issuing Bank shall not exceed such Issuing Bank’s Letter of Credit Commitment. In addition, no Issuing Bank shall be required to issue, amend, extend or renew any Letter of Credit if the expiration date of such Letter of Credit extends beyond the Maturity Date applicable to the Revolving Credit Commitments of any Class unless (1) the aggregate amount of the LC Exposure attributable to Letters of Credit expiring after such Maturity Date does not exceed the aggregate amount of the Revolving Credit Commitments then in effect that are scheduled to remain in effect after such Maturity Date, (2) all Revolving Lenders and such Issuing Bank shall have consented to such expiry date, (3) the Borrower shall have caused such Letter of Credit to be backstopped by a “back to back” letter of credit reasonably satisfactory to such Issuing Bank or (4) the Borrower shall have caused such Letter of Credit to be Cash collateralized in accordance with </w:t>
      </w:r>
      <w:r>
        <w:rPr>
          <w:rFonts w:ascii="Times New Roman" w:cs="Times New Roman" w:eastAsia="Times New Roman" w:hAnsi="Times New Roman"/>
          <w:sz w:val="18"/>
          <w:szCs w:val="18"/>
          <w:u w:val="single" w:color="auto"/>
          <w:color w:val="auto"/>
        </w:rPr>
        <w:t>Section 2.05(j)</w:t>
      </w:r>
      <w:r>
        <w:rPr>
          <w:rFonts w:ascii="Times New Roman" w:cs="Times New Roman" w:eastAsia="Times New Roman" w:hAnsi="Times New Roman"/>
          <w:sz w:val="18"/>
          <w:szCs w:val="18"/>
          <w:color w:val="auto"/>
        </w:rPr>
        <w:t xml:space="preserve">, 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on or before the date that such Letter of Credit is issued, amended, extended or renewed beyond such date. Promptly after the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 Upon receipt of such Letter of Credit or amendment, the Administrative Agent shall notify the Revolving Lenders, in writing, of such Letter of Credit or amendment, and if so requested by a Revolving Lender, the Administrative Agent will provide such Revolving Lender with copies of such Letter of Credit or amendment.</w:t>
      </w:r>
    </w:p>
    <w:p>
      <w:pPr>
        <w:spacing w:after="0" w:line="192" w:lineRule="exact"/>
        <w:rPr>
          <w:sz w:val="20"/>
          <w:szCs w:val="20"/>
          <w:color w:val="auto"/>
        </w:rPr>
      </w:pPr>
    </w:p>
    <w:p>
      <w:pPr>
        <w:ind w:left="680" w:hanging="244"/>
        <w:spacing w:after="0"/>
        <w:tabs>
          <w:tab w:leader="none" w:pos="680"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55" w:lineRule="auto"/>
        <w:tabs>
          <w:tab w:leader="none" w:pos="1078"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no Standby Letter of Credit shall expire later than the earlier of (A) the date that is two years after the date of the issuance of such Standby Letter of Credit (or such later date to which the relevant Issuing Bank may agree) and (B) five (5) Business Days prior to the Latest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Standby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80"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no Commercial Letter of Credit shall expire later than the earlier to occur of (A) two years after the issuance thereof (or such later date to which the relevant Issuing Bank may agree) and (B) five (5) Business Days prior to the Latest Revolving Loan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Commercial Letter of Credit may provide for the automatic extension thereof for any number of additional periods each of up to one year in duration (none of which, in any event, shall extend beyond the date referred to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unless 100% of the then-available face amount thereof is Cash collateralized or backstopped on or before the date that such Letter of Credit is extended beyond the date referred to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pursuant to arrangements reasonably satisfactory to the relevant Issuing Bank).</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425" w:name="page426"/>
    <w:bookmarkEnd w:id="425"/>
    <w:p>
      <w:pPr>
        <w:ind w:left="-20" w:firstLine="436"/>
        <w:spacing w:after="0" w:line="253" w:lineRule="auto"/>
        <w:tabs>
          <w:tab w:leader="none" w:pos="675"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Revolving Lenders, the applicable Issuing Bank hereby grants to each Revolving Lender, and each Revolving Lender hereby acquires from such Issuing Bank, a participation in such Letter of Credit equal to such Revolving Lender’s Applicable Percentage of the aggregate amount available to be drawn under such Letter of Credit (in respect of any Letter of Credit issued in any Alternate Currency, expressed in the Dollar Equivalent thereof). In consideration and in furtherance of the foregoing, each Revolving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or of any reimbursement payment required to be refunded to the Borrower for any reason. Each Revolving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Event of Default or reduction or termination of the Revolving Credit Commitments, and that each such payment shall be made without any offset, abatement, withholding or reduction whatsoever.</w:t>
      </w:r>
    </w:p>
    <w:p>
      <w:pPr>
        <w:spacing w:after="0" w:line="189"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Reimbursement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right="60" w:firstLine="419"/>
        <w:spacing w:after="0" w:line="252" w:lineRule="auto"/>
        <w:tabs>
          <w:tab w:leader="none" w:pos="1058"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applicable Issuing Bank makes any LC Disbursement in respect of a Letter of Credit, the Borrower shall reimburse such LC Disbursement by paying to the Administrative Agent (or, in the case of Commercial Letters of Credit, the applicable Issuing Bank) an amount equal to such LC Disbursement not later than 1:00 p.m. on the Business Day immediately following the date on which the Borrower receives notice under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of this Section of such LC Disbursement (or, if such notice is received less than two hours prior to the deadline for requesting ABR Borrowings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on the second Business Day immediately following the date on which the Borrower receives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subject to the conditions to borrowing set forth herein, request in accordance with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that such payment be financed with an ABR Revolving Loan or a Swingline Loan and, to the extent so financed, the Borrower’s obligation to make such payment shall be discharged and replaced by the resulting Revolving Loan Borrowing or Swingline Loan. If the Borrower fails to make such payment when due, the Administrative Agent shall notify each Revolving Lender of the applicable LC Disbursement, the payment then due from the Borrower in respect thereof and such Revolving Lender’s Applicable Percentage thereof. Promptly following receipt of such notice, each Revolving Lender shall pay to the Administrative Agent its Applicable Percentage of the payment then due from the Borrower, in the same manner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with respect to Loans made by such Revolving Lender (and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apply, mutatis mutandis, to the payment obligations of the Revolving Lenders), and the Administrative Agent shall promptly pay to the applicable Issuing Bank the amounts so received by it from the Revolving Lenders. Promptly following receipt by the Administrative Agent of any payment from the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w:t>
      </w:r>
    </w:p>
    <w:p>
      <w:pPr>
        <w:spacing w:after="0" w:line="85" w:lineRule="exact"/>
        <w:rPr>
          <w:rFonts w:ascii="Times New Roman" w:cs="Times New Roman" w:eastAsia="Times New Roman" w:hAnsi="Times New Roman"/>
          <w:sz w:val="18"/>
          <w:szCs w:val="18"/>
          <w:color w:val="auto"/>
        </w:rPr>
      </w:pPr>
    </w:p>
    <w:p>
      <w:pPr>
        <w:ind w:left="420" w:right="120" w:firstLine="419"/>
        <w:spacing w:after="0" w:line="261" w:lineRule="auto"/>
        <w:tabs>
          <w:tab w:leader="none" w:pos="1108" w:val="left"/>
        </w:tabs>
        <w:numPr>
          <w:ilvl w:val="1"/>
          <w:numId w:val="5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applicable Issuing Bank any amount required to be paid by such Revolving Lender pursuant to the foregoing provisions of this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by the time specified therein, such Issuing Bank shall be entitled to recover from such Revolving Lender (acting through the Administrative Agent), on demand, such amount with interest thereon for the period from the date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60" w:top="270" w:right="459" w:bottom="1440" w:gutter="0" w:footer="0" w:header="0"/>
        </w:sectPr>
      </w:pPr>
    </w:p>
    <w:bookmarkStart w:id="426" w:name="page427"/>
    <w:bookmarkEnd w:id="426"/>
    <w:p>
      <w:pPr>
        <w:ind w:left="4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payment is required to the date on which such payment is immediately available to such Issuing Bank at a rate per annum equal to the greater of the Federal Funds Effective Rate (or, in the case of any Letter of Credit denominated in any Alternate Currency, the Administrative Agent’s customary rate for interbank advances in such Alternate Currency) from time to time in effect and a rate determined by the Administrative Agent in accordance with banking industry rules on interbank compensation. A certificate of the applicable Issuing Bank submitted to any Revolving Lender (through the Administrative Agent) with respect to any amounts owing under this </w:t>
      </w:r>
      <w:r>
        <w:rPr>
          <w:rFonts w:ascii="Times New Roman" w:cs="Times New Roman" w:eastAsia="Times New Roman" w:hAnsi="Times New Roman"/>
          <w:sz w:val="17"/>
          <w:szCs w:val="17"/>
          <w:u w:val="single" w:color="auto"/>
          <w:color w:val="auto"/>
        </w:rPr>
        <w:t>clause (ii)</w:t>
      </w:r>
      <w:r>
        <w:rPr>
          <w:rFonts w:ascii="Times New Roman" w:cs="Times New Roman" w:eastAsia="Times New Roman" w:hAnsi="Times New Roman"/>
          <w:sz w:val="17"/>
          <w:szCs w:val="17"/>
          <w:color w:val="auto"/>
        </w:rPr>
        <w:t xml:space="preserve"> shall be conclusive absent manifest error.</w:t>
      </w:r>
    </w:p>
    <w:p>
      <w:pPr>
        <w:spacing w:after="0" w:line="168" w:lineRule="exact"/>
        <w:rPr>
          <w:sz w:val="20"/>
          <w:szCs w:val="20"/>
          <w:color w:val="auto"/>
        </w:rPr>
      </w:pPr>
    </w:p>
    <w:p>
      <w:pPr>
        <w:ind w:left="-20" w:firstLine="436"/>
        <w:spacing w:after="0" w:line="251" w:lineRule="auto"/>
        <w:tabs>
          <w:tab w:leader="none" w:pos="64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xml:space="preserve">. The Borrower’s obligation to reimburse LC Disbursements as provided in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or herein, (ii) any draft or other document presented under any Letter of Credit proving to be forged, fraudulent or invalid in any respect or any statement therein being untrue or inaccurate in any respect, (iii) payment by the applicable Issuing Bank under any Letter of Credit against presentation of a draft or other document that does not comply with the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Revolving Lenders nor any Issuing Bank, nor any of their respective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such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such Issuing Bank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such Issuing Bank’s failure to exercise care when determining whether drafts and other documents presented under a Letter of Credit comply with the terms thereof. The parties hereto expressly agree that, in the absence of gross negligence, bad faith or willful misconduct on the part of applicable Issuing Bank (as finally determined by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the applicable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5" w:lineRule="exact"/>
        <w:rPr>
          <w:rFonts w:ascii="Times New Roman" w:cs="Times New Roman" w:eastAsia="Times New Roman" w:hAnsi="Times New Roman"/>
          <w:sz w:val="18"/>
          <w:szCs w:val="18"/>
          <w:color w:val="auto"/>
        </w:rPr>
      </w:pPr>
    </w:p>
    <w:p>
      <w:pPr>
        <w:ind w:left="-20" w:firstLine="436"/>
        <w:spacing w:after="0" w:line="258" w:lineRule="auto"/>
        <w:tabs>
          <w:tab w:leader="none" w:pos="675" w:val="left"/>
        </w:tabs>
        <w:numPr>
          <w:ilvl w:val="0"/>
          <w:numId w:val="5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Disbursement Procedures</w:t>
      </w:r>
      <w:r>
        <w:rPr>
          <w:rFonts w:ascii="Times New Roman" w:cs="Times New Roman" w:eastAsia="Times New Roman" w:hAnsi="Times New Roman"/>
          <w:sz w:val="18"/>
          <w:szCs w:val="18"/>
          <w:color w:val="auto"/>
        </w:rPr>
        <w:t xml:space="preserve">. The applicable Issuing Bank shall, promptly following its receipt thereof, examine all documents purporting to represent a demand for payment under a Letter of Credit. Such Issuing Bank shall promptly notify the Administrative Agent and the Borrower in writing of such demand for payment and whether such Issuing Bank has made or will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failure to give or delay in giving such notice shall relieve the Borrower of its obligation to reimburse such Issuing Bank and the Revolving Lenders with respect to any such LC Disbursement within the time period prescribed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60"/>
          </w:cols>
          <w:pgMar w:left="460" w:top="270" w:right="479" w:bottom="1440" w:gutter="0" w:footer="0" w:header="0"/>
        </w:sectPr>
      </w:pPr>
    </w:p>
    <w:bookmarkStart w:id="427" w:name="page428"/>
    <w:bookmarkEnd w:id="427"/>
    <w:p>
      <w:pPr>
        <w:ind w:left="4" w:right="40" w:firstLine="436"/>
        <w:spacing w:after="0" w:line="253" w:lineRule="auto"/>
        <w:tabs>
          <w:tab w:leader="none" w:pos="699"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Interim Interest</w:t>
      </w:r>
      <w:r>
        <w:rPr>
          <w:rFonts w:ascii="Times New Roman" w:cs="Times New Roman" w:eastAsia="Times New Roman" w:hAnsi="Times New Roman"/>
          <w:sz w:val="18"/>
          <w:szCs w:val="18"/>
          <w:color w:val="auto"/>
        </w:rPr>
        <w:t xml:space="preserve">. If any Issuing Bank makes any LC Disbursement, then, unless the Borrower reimburses such LC Disbursement in full on the date such LC Disbursement is made, the unpaid amount thereof shall bear interest, for each day from and including the date such LC Disbursement is made to but excluding the date that the Borrower reimburses such LC Disbursement (or the date on which such LC Disbursement is reimbursed with the proceeds of Loans, as applicable), at the rate per annum then applicable to (x) in the case of any Letter of Credit denominated in Dollars, Revolving Loans that are ABR Loans, (y) in the case of any Letter of Credit denominated in Canadian Dollars, Revolving Loans that are Canadian Prime Rate Loans and (z) in the case of any Letter of Credit denominated in any other Alternate Currency, Revolving Loans that are Eurocurrency Rate Loans with an Interest Period of one month commencing on the date of such LC Disbursement or Alternative Currency Daily Rate Loans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 fails to reimburse such LC Disbursement when due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then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Revolving Lender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to reimburse such Issuing Bank shall be for the account of such Revolving Lender to the extent of such payment.</w:t>
      </w:r>
    </w:p>
    <w:p>
      <w:pPr>
        <w:spacing w:after="0" w:line="191"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59" w:val="left"/>
        </w:tabs>
        <w:numPr>
          <w:ilvl w:val="1"/>
          <w:numId w:val="5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an Issuing Bank or Addition of New Issuing Banks</w:t>
      </w:r>
      <w:r>
        <w:rPr>
          <w:rFonts w:ascii="Times New Roman" w:cs="Times New Roman" w:eastAsia="Times New Roman" w:hAnsi="Times New Roman"/>
          <w:sz w:val="18"/>
          <w:szCs w:val="18"/>
          <w:color w:val="auto"/>
        </w:rPr>
        <w:t xml:space="preserve">. Any Issuing Bank may be replaced with the consent of the Administrative Agent (not to be unreasonably withheld or delayed), the Borrower and the successor Issuing Bank at any time by written agreement among the Borrower, the Administrative Agent and the successor Issuing Bank. The Administrative Agent shall notify the Revolving Lenders of any such replacement of an Issuing Bank. At the time any such replacement becomes effective, the Borrower shall pay all unpaid fees accrued for the account of the replaced Issuing Bank pursuant to </w:t>
      </w:r>
      <w:r>
        <w:rPr>
          <w:rFonts w:ascii="Times New Roman" w:cs="Times New Roman" w:eastAsia="Times New Roman" w:hAnsi="Times New Roman"/>
          <w:sz w:val="18"/>
          <w:szCs w:val="18"/>
          <w:u w:val="single" w:color="auto"/>
          <w:color w:val="auto"/>
        </w:rPr>
        <w:t>Section 2.12(b)(ii)</w:t>
      </w:r>
      <w:r>
        <w:rPr>
          <w:rFonts w:ascii="Times New Roman" w:cs="Times New Roman" w:eastAsia="Times New Roman" w:hAnsi="Times New Roman"/>
          <w:sz w:val="18"/>
          <w:szCs w:val="18"/>
          <w:color w:val="auto"/>
        </w:rPr>
        <w:t>. From and after the effective date of any such replacement, (i) the successor Issuing Bank shall have all the rights and obligations of the replaced Issuing Bank under this Agreement with respect to Letters of Credit to be issued thereafter and</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 after such replacement. The Borrower may, at any time and from time to time with the consent of the Administrative Agent (which consent shall not be unreasonably withheld or delayed) and the relevant Revolving Lender, designate one or more additional Revolving Lenders to act as an issuing bank under the terms of this Agreement. Any Revolving Lender designated as an issuing bank pursuant to this </w:t>
      </w:r>
      <w:r>
        <w:rPr>
          <w:rFonts w:ascii="Times New Roman" w:cs="Times New Roman" w:eastAsia="Times New Roman" w:hAnsi="Times New Roman"/>
          <w:sz w:val="18"/>
          <w:szCs w:val="18"/>
          <w:u w:val="single" w:color="auto"/>
          <w:color w:val="auto"/>
        </w:rPr>
        <w:t>paragraph (i)</w:t>
      </w:r>
      <w:r>
        <w:rPr>
          <w:rFonts w:ascii="Times New Roman" w:cs="Times New Roman" w:eastAsia="Times New Roman" w:hAnsi="Times New Roman"/>
          <w:sz w:val="18"/>
          <w:szCs w:val="18"/>
          <w:color w:val="auto"/>
        </w:rPr>
        <w:t xml:space="preserve"> shall be deemed to be an “Issuing Bank” (in addition to being a Revolving Lender) in respect of Letters of Credit issued or to be issued by such Revolving Lender, and, with respect to such Letters of Credit, such term shall thereafter apply to the other Issuing Bank and such Revolving Lender.</w:t>
      </w:r>
    </w:p>
    <w:p>
      <w:pPr>
        <w:spacing w:after="0" w:line="19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Collateralization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54" w:lineRule="auto"/>
        <w:tabs>
          <w:tab w:leader="none" w:pos="1082" w:val="left"/>
        </w:tabs>
        <w:numPr>
          <w:ilvl w:val="2"/>
          <w:numId w:val="5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Event of Default exists and the Revolving Loans have been declared due and payable in accordance with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hereof, then on the Business Day that the Borrower receives notice from the Administrative Agent at the direction of the Required Lenders demanding the deposit of Cash collateral pursuant to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color w:val="auto"/>
        </w:rPr>
        <w:t>, upon such demand, the Borrower shall deposit, in an interest-bearing account with the Administrative Agent, in the name of the Administrative Agent and for the benefit of the Revolving Lenders (the “</w:t>
      </w:r>
      <w:r>
        <w:rPr>
          <w:rFonts w:ascii="Times New Roman" w:cs="Times New Roman" w:eastAsia="Times New Roman" w:hAnsi="Times New Roman"/>
          <w:sz w:val="18"/>
          <w:szCs w:val="18"/>
          <w:b w:val="1"/>
          <w:bCs w:val="1"/>
          <w:color w:val="auto"/>
        </w:rPr>
        <w:t>LC Collateral Account</w:t>
      </w:r>
      <w:r>
        <w:rPr>
          <w:rFonts w:ascii="Times New Roman" w:cs="Times New Roman" w:eastAsia="Times New Roman" w:hAnsi="Times New Roman"/>
          <w:sz w:val="18"/>
          <w:szCs w:val="18"/>
          <w:color w:val="auto"/>
        </w:rPr>
        <w:t xml:space="preserve">”), an amount in Cash equal to 100% of the LC Exposure as of such date (minus the amount then on deposit in the LC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to deposit such Cash collateral shall become effective immediately, and such deposit shall become immediately due and payable, without demand or other notice of any kind, upon the occurrence of any Event of Default with respect to the Borrower described in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004"/>
          </w:cols>
          <w:pgMar w:left="436" w:top="270" w:right="459" w:bottom="1440" w:gutter="0" w:footer="0" w:header="0"/>
        </w:sectPr>
      </w:pPr>
    </w:p>
    <w:bookmarkStart w:id="428" w:name="page429"/>
    <w:bookmarkEnd w:id="428"/>
    <w:p>
      <w:pPr>
        <w:ind w:left="380" w:right="80" w:firstLine="419"/>
        <w:spacing w:after="0" w:line="253" w:lineRule="auto"/>
        <w:tabs>
          <w:tab w:leader="none" w:pos="1068" w:val="left"/>
        </w:tabs>
        <w:numPr>
          <w:ilvl w:val="1"/>
          <w:numId w:val="5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such deposit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shall be held by the Administrative Agent as collateral for the payment and performance of the Obligations in accordance with the provisions of this </w:t>
      </w:r>
      <w:r>
        <w:rPr>
          <w:rFonts w:ascii="Times New Roman" w:cs="Times New Roman" w:eastAsia="Times New Roman" w:hAnsi="Times New Roman"/>
          <w:sz w:val="18"/>
          <w:szCs w:val="18"/>
          <w:u w:val="single" w:color="auto"/>
          <w:color w:val="auto"/>
        </w:rPr>
        <w:t>paragraph (j)</w:t>
      </w:r>
      <w:r>
        <w:rPr>
          <w:rFonts w:ascii="Times New Roman" w:cs="Times New Roman" w:eastAsia="Times New Roman" w:hAnsi="Times New Roman"/>
          <w:sz w:val="18"/>
          <w:szCs w:val="18"/>
          <w:color w:val="auto"/>
        </w:rPr>
        <w:t>. The Administrative Agent shall have exclusive dominion and control, including the exclusive right of withdrawal, over such account, and the Borrower hereby grants the Administrative Agent, for the benefit of the Secured Parties, a First Priority security interest in the LC Collateral Account. Interest or profits, if any, on such investments shall accumulate in such account. Moneys in such account shall be applied by the Administrative Agent to reimburse the applicable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Required Revolving Lenders) be applied to satisfy other Obligations. If the Borrower is required to provide an amount of Cash collateral hereunder as a result of the occurrence of an Event of Default, such amount (together with all interest and other earnings with respect thereto, to the extent not applied as aforesaid) shall be returned to the Borrower promptly but in no event later than three Business Days after such Event of Default has been cured or waived.</w:t>
      </w:r>
    </w:p>
    <w:p>
      <w:pPr>
        <w:spacing w:after="0" w:line="191" w:lineRule="exact"/>
        <w:rPr>
          <w:rFonts w:ascii="Times New Roman" w:cs="Times New Roman" w:eastAsia="Times New Roman" w:hAnsi="Times New Roman"/>
          <w:sz w:val="18"/>
          <w:szCs w:val="18"/>
          <w:color w:val="auto"/>
        </w:rPr>
      </w:pPr>
    </w:p>
    <w:p>
      <w:pPr>
        <w:ind w:left="-60" w:right="20" w:firstLine="436"/>
        <w:spacing w:after="0" w:line="254" w:lineRule="auto"/>
        <w:tabs>
          <w:tab w:leader="none" w:pos="63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hereof, any Standby Letter of Credit, Commercial Letter of Credit, bank guarantee, bankers’ acceptance or similar document or instrument issued for the account of a Person that becomes a Restricted Subsidiary after the Closing Date pursuant to a Permitted Acquisition or other Investment, in each case that is (x) outstanding on the date of such Permitted Acquisition or other Investment and (y) issued by an entity that is, or is an Affiliate of, an Issuing Bank under this Agreement shall, at the request of the Borrower and with the consent of such Issuing Bank in its sole discretion, be deemed to be a “Letter of Credit” for all purposes of this Agreement as of the date of such Permitted Acquisition or other Investment;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Letter of Credit would otherwise be permitted to be issued under this Agreement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such Letter of Credit may be in another currency agreed by the Administrative Agent and such Issuing Bank) and (ii) the Borrower, the Administrative Agent and such Issuing Bank shall have entered into an acknowledgment reasonably acceptable to each party thereto confirming the foregoing.</w:t>
      </w:r>
    </w:p>
    <w:p>
      <w:pPr>
        <w:spacing w:after="0" w:line="188" w:lineRule="exact"/>
        <w:rPr>
          <w:rFonts w:ascii="Times New Roman" w:cs="Times New Roman" w:eastAsia="Times New Roman" w:hAnsi="Times New Roman"/>
          <w:sz w:val="18"/>
          <w:szCs w:val="18"/>
          <w:color w:val="auto"/>
        </w:rPr>
      </w:pPr>
    </w:p>
    <w:p>
      <w:pPr>
        <w:ind w:left="600" w:hanging="224"/>
        <w:spacing w:after="0"/>
        <w:tabs>
          <w:tab w:leader="none" w:pos="60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60" w:firstLine="436"/>
        <w:spacing w:after="0" w:line="256" w:lineRule="auto"/>
        <w:tabs>
          <w:tab w:leader="none" w:pos="685"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Not later than the third Business Day following the last day of each month and on the date of any issuance of any Letter of Credit (or at such other intervals as the Administrative Agent and the applicable Issuing Bank shall agree), each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Funding of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436"/>
        <w:spacing w:after="0" w:line="256" w:lineRule="auto"/>
        <w:tabs>
          <w:tab w:leader="none" w:pos="625" w:val="left"/>
        </w:tabs>
        <w:numPr>
          <w:ilvl w:val="0"/>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shall make each Loan to be made by it hereunder on the proposed date thereof by wire transfer of immediately available funds by 1:00 p.m. to the account of the Administrative Agent most recently designated by it for such purpose by notice to the Lenders in an amount equal to such Lender’s respective Applicable Percentage;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Swingline Loans shall be made as provided in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The Administrative Agent will make such Loans available to the Borrower by promptly crediting the amounts so received on the same Business Day, in like funds, to the Funding Account or as otherwise directed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Revolving Loans made to finance the reimbursement of any LC Disbursement as provided in </w:t>
      </w:r>
      <w:r>
        <w:rPr>
          <w:rFonts w:ascii="Times New Roman" w:cs="Times New Roman" w:eastAsia="Times New Roman" w:hAnsi="Times New Roman"/>
          <w:sz w:val="18"/>
          <w:szCs w:val="18"/>
          <w:u w:val="single" w:color="auto"/>
          <w:color w:val="auto"/>
        </w:rPr>
        <w:t>Section 2.05(e)</w:t>
      </w:r>
      <w:r>
        <w:rPr>
          <w:rFonts w:ascii="Times New Roman" w:cs="Times New Roman" w:eastAsia="Times New Roman" w:hAnsi="Times New Roman"/>
          <w:sz w:val="18"/>
          <w:szCs w:val="18"/>
          <w:color w:val="auto"/>
        </w:rPr>
        <w:t xml:space="preserve"> shall be remitted by the Administrative Agent to the applicable Issuing Bank.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900"/>
          </w:cols>
          <w:pgMar w:left="500" w:top="270" w:right="499" w:bottom="1440" w:gutter="0" w:footer="0" w:header="0"/>
        </w:sectPr>
      </w:pPr>
    </w:p>
    <w:bookmarkStart w:id="429" w:name="page430"/>
    <w:bookmarkEnd w:id="429"/>
    <w:p>
      <w:pPr>
        <w:ind w:firstLine="436"/>
        <w:spacing w:after="0" w:line="252" w:lineRule="auto"/>
        <w:tabs>
          <w:tab w:leader="none" w:pos="695"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has received notice from any Lender prior to the proposed date of any Borrowing that such Lender will not make available to the Administrative Agent such Lender’s share of such Borrowing, the Administrative Agent may assume that such Lender has made such share available on such date in accordance with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and may, in reliance upon such assumption, make available to the Borrower a corresponding amount. In such event, if any Lender has not in fact made its share of the applicable Borrowing available to the Administrative Agent, then the applicable Lender and the Borrower severally agree to pay to the Administrative Agent forthwith on demand (without duplication)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(or, with respect to any amount denominated in any Alternate Currency, the rate of interest per annum at which overnight deposits in the applicable Alternate Currency, in an amount that is approximately equal to the amount with respect to which such rate is being determined, would be offered for such day by the Administrative Agent in the applicable offshore interbank market for such currency) and a rate determined by the Administrative Agent in accordance with banking industry rules on interbank compensation or (ii) in the case of the Borrower, the interest rate applicable to the Loans comprising such Borrowing at such time. If such Lender pays such amount to the Administrative Agent, then such amount shall constitute such Lender’s Loan included in such Borrowing and the Borrower’s obligation to repay the Administrative Agent such corresponding amount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cease. If the Borrower pays such amount to the Administrative Agent, the amount so paid shall constitute a repayment of such Borrowing by such amount. Nothing herein shall be deemed to relieve any Lender from its obligation to fulfill its Commitment or to prejudice any rights which the Administrative Agent or the Borrower or any other Loan Party may have against any Lender as a result of any default by such Lender hereunder.</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Type; Interest Elections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5" w:lineRule="auto"/>
        <w:tabs>
          <w:tab w:leader="none" w:pos="68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Borrowing initially shall be of the Type specified in the applicable Borrowing Request and, in the case of a Eurocurrency Rate Borrowing or Term CORRA Borrowing, shall have an initial Interest Period as specified in such Borrowing Request. Thereafter, the Borrower may elect to convert any Borrowing to a Borrowing of a different Type available in such currency or to continue any Borrowing and, in the case of a Eurocurrency Rate Borrowing or Term CORRA Borrowing, may elect Interest Periods therefor, all as provided in this Section. The Borrower may elect different options with respect to different portions of the affected Borrowing, in which case each such portion shall be allocated ratably among the Lenders based upon their Applicable Percentages and the Loans comprising each such portion shall be considered a separate Borrowing. This Section shall not apply to Swingline Loans, which may not be converted or continued.</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make an election pursuant to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the Borrower shall deliver an Interest Election Request (by hand delivery, fax or other electronic transmission (including “.pdf” or “.tif”)), appropriately completed and signed by a Responsible Officer of the Borrower, of the applicable election to the Administrative Agent by the time that a Borrowing Request would be required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if the Borrower were requesting a Borrowing of the Type resulting from such election to be made on the effective date of such election. If any such Interest Election Request requests a Eurocurrency Rate Borrowing or a Term CORRA Borrowing but does not specify an Interest Period, then the Borrower shall be deemed to have selected an Interest Period of one month’s duration.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00"/>
          </w:cols>
          <w:pgMar w:left="440" w:top="270" w:right="459" w:bottom="1440" w:gutter="0" w:footer="0" w:header="0"/>
        </w:sectPr>
      </w:pPr>
    </w:p>
    <w:bookmarkStart w:id="430" w:name="page431"/>
    <w:bookmarkEnd w:id="430"/>
    <w:p>
      <w:pPr>
        <w:ind w:right="60" w:firstLine="436"/>
        <w:spacing w:after="0" w:line="282" w:lineRule="auto"/>
        <w:tabs>
          <w:tab w:leader="none" w:pos="685"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following receipt of an Interest Election Request, the Administrative Agent shall advise each applicable Lender of the details thereof and of such Lender’s portion of each resulting Borrowing.</w:t>
      </w:r>
    </w:p>
    <w:p>
      <w:pPr>
        <w:spacing w:after="0" w:line="161" w:lineRule="exact"/>
        <w:rPr>
          <w:rFonts w:ascii="Times New Roman" w:cs="Times New Roman" w:eastAsia="Times New Roman" w:hAnsi="Times New Roman"/>
          <w:sz w:val="18"/>
          <w:szCs w:val="18"/>
          <w:color w:val="auto"/>
        </w:rPr>
      </w:pPr>
    </w:p>
    <w:p>
      <w:pPr>
        <w:jc w:val="both"/>
        <w:ind w:right="60" w:firstLine="436"/>
        <w:spacing w:after="0" w:line="272" w:lineRule="auto"/>
        <w:tabs>
          <w:tab w:leader="none" w:pos="695" w:val="left"/>
        </w:tabs>
        <w:numPr>
          <w:ilvl w:val="0"/>
          <w:numId w:val="5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Borrower fails to deliver a timely Interest Election Request with respect to a Eurocurrency Rate Borrowing or Term CORRA Borrowing prior to the end of the Interest Period applicable thereto, then, unless such Borrowing is repaid as provided herein, such Borrowing shall be converted at the end of such Interest Period to a Eurocurrency Rate Borrowing or Term CORRA Borrowing, as applicable, with an Interest Period of one month.</w:t>
      </w:r>
    </w:p>
    <w:p>
      <w:pPr>
        <w:spacing w:after="0" w:line="1" w:lineRule="exact"/>
        <w:rPr>
          <w:rFonts w:ascii="Times New Roman" w:cs="Times New Roman" w:eastAsia="Times New Roman" w:hAnsi="Times New Roman"/>
          <w:sz w:val="17"/>
          <w:szCs w:val="17"/>
          <w:color w:val="auto"/>
        </w:rPr>
      </w:pPr>
    </w:p>
    <w:p>
      <w:pPr>
        <w:ind w:right="6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Notwithstanding any contrary provision hereof, if an Event of Default exists and the Administrative Agent, at the request of the Required Lenders, so notifies the Borrower, then, so long as such Event of Default exists (i) no outstanding Borrowing denominated in Dollars may be converted to or continued as a Eurocurrency Rate Borrowing and (ii) unless repaid, each Eurocurrency Rate Borrowing denominated in Dollars shall be converted to an ABR Borrowing at the end of the then-current Interest Period applicable thereto.</w:t>
      </w:r>
    </w:p>
    <w:p>
      <w:pPr>
        <w:spacing w:after="0" w:line="188" w:lineRule="exact"/>
        <w:rPr>
          <w:rFonts w:ascii="Times New Roman" w:cs="Times New Roman" w:eastAsia="Times New Roman" w:hAnsi="Times New Roman"/>
          <w:sz w:val="17"/>
          <w:szCs w:val="17"/>
          <w:color w:val="auto"/>
        </w:rPr>
      </w:pPr>
    </w:p>
    <w:p>
      <w:pPr>
        <w:ind w:right="160" w:firstLine="436"/>
        <w:spacing w:after="0" w:line="256" w:lineRule="auto"/>
        <w:tabs>
          <w:tab w:leader="none" w:pos="685"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understood and agreed that (i) only a Borrowing denominated in Dollars may be made as, or converted to, an ABR Loan, (ii) only a Borrowing denominated in Canadian Dollars may be made as, or converted to, a Canadian Prime Rate Loan or a CORRA Loan, (iii) a Borrowing denominated in Sterling may only be made as, or converted to, or continued as, an Alternative Currency Daily Rate Loan (or such other type of Revolving Loan as may be agreed by the Administrative Agent and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(iv) a Borrowing in Euros may only be made as, or converted to, or continued as, a Eurocurrency Rate Loan (or such other type of Revolving Loan as may be agreed by the Administrative Agent and the Borrower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4" w:lineRule="auto"/>
        <w:tabs>
          <w:tab w:leader="none" w:pos="685"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previously terminated, (i) the Initial Term Loan Commitments shall automatically terminate upon the making of the Initial Term Loans on the Closing Date, (ii) [reserved], (iii) the Additional Term Loan Commitments of any Class shall automatically terminate upon the making of the Additional Term Loans of such Class and, if any such Additional Term Loan Commitment is not drawn on the date that such Additional Term Loan Commitment is required to be drawn pursuant to the applicable Refinancing Amendment, Extension Amendment, Incremental Facility Amendment or other applicable amendment to this Agreement, the undrawn amount thereof shall terminate unless otherwise provided in the applicable Refinancing Amendment, Extension Amendment, Incremental Facility Amendment or other applicable amendment to this Agreement and (iv) the Additional Revolving Credit Commitments of any Class shall automatically terminate on the Maturity Date specified therefor in the applicable Refinancing Amendment, Extension Amendment, Incremental Facility Amendment or other applicable amendment to this Agreement.</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delivering the notice required by </w:t>
      </w:r>
      <w:r>
        <w:rPr>
          <w:rFonts w:ascii="Times New Roman" w:cs="Times New Roman" w:eastAsia="Times New Roman" w:hAnsi="Times New Roman"/>
          <w:sz w:val="18"/>
          <w:szCs w:val="18"/>
          <w:u w:val="single" w:color="auto"/>
          <w:color w:val="auto"/>
        </w:rPr>
        <w:t>Section 2.09(c)</w:t>
      </w:r>
      <w:r>
        <w:rPr>
          <w:rFonts w:ascii="Times New Roman" w:cs="Times New Roman" w:eastAsia="Times New Roman" w:hAnsi="Times New Roman"/>
          <w:sz w:val="18"/>
          <w:szCs w:val="18"/>
          <w:color w:val="auto"/>
        </w:rPr>
        <w:t xml:space="preserve">, the Borrower may at any time terminate or from time to time terminate or reduce the Commitments of any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reduction of the Revolving Credit Commitments of any Class shall be in an amount that is an integral multiple of $1,000,000 and not less than $1,000,000 and (ii) the Borrower shall not terminate or reduce the Revolving Credit Commitments of any Class if, after giving effect to such termination or reduction, as applicable, and any concurrent prepayment of Revolving Loans and Swingline Loans, the aggregate amount of the Revolving Credit Exposure attributable to the Revolving Credit Commitments of such Class would exceed the aggregate amount of the Revolving Credit Commitments of such Class;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the establishment of any Additional Revolving Credit Commitment, any such termination or reduction of the Revolving Credit Commitments of any Class shall be subject to the provisions set forth in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as applicable.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431" w:name="page432"/>
    <w:bookmarkEnd w:id="431"/>
    <w:p>
      <w:pPr>
        <w:ind w:left="4" w:right="80" w:firstLine="436"/>
        <w:spacing w:after="0" w:line="253" w:lineRule="auto"/>
        <w:tabs>
          <w:tab w:leader="none" w:pos="689" w:val="left"/>
        </w:tabs>
        <w:numPr>
          <w:ilvl w:val="0"/>
          <w:numId w:val="5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notify the Administrative Agent of any election to terminate or reduce any Class or Classes of Commitments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(as selected by the Borrower) not later than 1:00 p.m. on or prior to the effective date of such termination or reduction (or not later than 1:00 p.m., three Business Days prior to the effective date of such termination or reduction, in the case of a termination or reduction involving a prepayment of Eurocurrency Rate Borrowings, Alternative Currency Daily Rate Borrowings or CORRA Borrowings (or such later date to which the Administrative Agent may agree)), specifying such election and the effective date thereof. Promptly following receipt of any such notice, the Administrative Agent shall advise the Lenders of each applicable Class or Classes of the contents thereof. Each notice delivered by the Borrower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notice may state that such notice is conditioned upon the effectiveness of other transactions, in which case such notice may be revoked or its effectiveness deferred by the Borrower (by notice to the Administrative Agent on or prior to the specified effective date) if such condition is not satisfied. Any termination or reduction of any Commitment pursuant to this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shall be permanent. Upon any reduction of any Revolving Credit Commitment, the Revolving Credit Commitment of each Revolving Lender of the relevant Class shall be reduced by such Revolving Lender’s Applicable Percentage of such reduction amount.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Repayment of Loans; Evidence of Debt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3" w:lineRule="auto"/>
        <w:tabs>
          <w:tab w:leader="none" w:pos="689"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of Initial Term Loans hereby unconditionally promises to repay (i) the outstanding principal amount of the Initial Term Loans to the Administrative Agent for the account of each applicable Initial Term Lender (A) commencing on the last Business Day of the second full Fiscal Quarter ending after the Closing Date, on the last Business Day of each March, June, September and December prior to the Initial Term Loan Maturity Date (each such date being referred to as a “ </w:t>
      </w:r>
      <w:r>
        <w:rPr>
          <w:rFonts w:ascii="Times New Roman" w:cs="Times New Roman" w:eastAsia="Times New Roman" w:hAnsi="Times New Roman"/>
          <w:sz w:val="18"/>
          <w:szCs w:val="18"/>
          <w:b w:val="1"/>
          <w:bCs w:val="1"/>
          <w:color w:val="auto"/>
        </w:rPr>
        <w:t>Loan Installment Date</w:t>
      </w:r>
      <w:r>
        <w:rPr>
          <w:rFonts w:ascii="Times New Roman" w:cs="Times New Roman" w:eastAsia="Times New Roman" w:hAnsi="Times New Roman"/>
          <w:sz w:val="18"/>
          <w:szCs w:val="18"/>
          <w:color w:val="auto"/>
        </w:rPr>
        <w:t xml:space="preserve">”), in each case in an amount equal to 1.75% of the original principal amount of the Initial Term Loans previously advanced (as such payments may be reduced from time to time as a result of the application of prepayments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purchases or assignments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or increased as a result of any increase in the amount of such Initial Term Loans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 xml:space="preserve">), and (B) on the Initial Term Loan Maturity Date, in an amount equal to the remainder of the principal amount of the Initial Term Loans outstanding on such date, together in each case with accrued and unpaid interest on the principal amount to be paid to but excluding the date of such payment. The Borrower shall repay any Additional Term Loans of any Class in such scheduled amortization installments and on such date or dates as shall be specified therefor in the applicable Refinancing Amendment, Extension Amendment, Incremental Facility Amendment or other applicable amendment to this Agreement (as such payments may be reduced from time to time as a result of the application of prepayments in accordance with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purchases or assignments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or increased as a result of any increase in the amount of such Additional Term Loans pursuant to </w:t>
      </w:r>
      <w:r>
        <w:rPr>
          <w:rFonts w:ascii="Times New Roman" w:cs="Times New Roman" w:eastAsia="Times New Roman" w:hAnsi="Times New Roman"/>
          <w:sz w:val="18"/>
          <w:szCs w:val="18"/>
          <w:u w:val="single" w:color="auto"/>
          <w:color w:val="auto"/>
        </w:rPr>
        <w:t>Section 2.22(a)</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of Additional Revolving Loans or Swingline Loans, as the case may be, hereby unconditionally promises to pay (i) [reserved],</w:t>
      </w:r>
    </w:p>
    <w:p>
      <w:pPr>
        <w:spacing w:after="0" w:line="27" w:lineRule="exact"/>
        <w:rPr>
          <w:rFonts w:ascii="Times New Roman" w:cs="Times New Roman" w:eastAsia="Times New Roman" w:hAnsi="Times New Roman"/>
          <w:sz w:val="18"/>
          <w:szCs w:val="18"/>
          <w:color w:val="auto"/>
        </w:rPr>
      </w:pPr>
    </w:p>
    <w:p>
      <w:pPr>
        <w:jc w:val="both"/>
        <w:ind w:left="4" w:right="200" w:hanging="4"/>
        <w:spacing w:after="0" w:line="225" w:lineRule="auto"/>
        <w:tabs>
          <w:tab w:leader="none" w:pos="269" w:val="left"/>
        </w:tabs>
        <w:numPr>
          <w:ilvl w:val="0"/>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Administrative Agent for the account of each Additional Revolving Lender, the then-unpaid principal amount of each Additional Revolving Loan of such Additional Revolving Lender made to such Borrower on the Maturity Date applicable thereto and (iii) to the Swingline Lender the then unpaid principal amount of each Swingline Loan made to such Borrower on the earlier of (x) the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following the incurrence of such Swingline Loan and (y) the Latest Revolving Loan Maturity Date.</w:t>
      </w:r>
    </w:p>
    <w:p>
      <w:pPr>
        <w:spacing w:after="0" w:line="199"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5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Maturity Date in respect of any Class of Revolving Credit Commitments occurs prior to the expiry date of any Letter of Credit, then (i) if one or more other Classes of Revolving Credit Commitments in respect of which the Maturity Date shall not have so occurred are then in effect (or will automatically be in effect upon the occurrence of such Maturity Date), such Letters of Credit shall</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4"/>
          </w:cols>
          <w:pgMar w:left="436" w:top="270" w:right="479" w:bottom="1440" w:gutter="0" w:footer="0" w:header="0"/>
        </w:sectPr>
      </w:pPr>
    </w:p>
    <w:bookmarkStart w:id="432" w:name="page433"/>
    <w:bookmarkEnd w:id="432"/>
    <w:p>
      <w:pPr>
        <w:ind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automatically be deemed to have been issued (including for purposes of the obligations of the Revolving Lenders to purchase participations therein and to make Revolving Loans and payments in respect thereof pursuant to </w:t>
      </w:r>
      <w:r>
        <w:rPr>
          <w:rFonts w:ascii="Times New Roman" w:cs="Times New Roman" w:eastAsia="Times New Roman" w:hAnsi="Times New Roman"/>
          <w:sz w:val="17"/>
          <w:szCs w:val="17"/>
          <w:u w:val="single" w:color="auto"/>
          <w:color w:val="auto"/>
        </w:rPr>
        <w:t>Section 2.05(d)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2.05(e)</w:t>
      </w:r>
      <w:r>
        <w:rPr>
          <w:rFonts w:ascii="Times New Roman" w:cs="Times New Roman" w:eastAsia="Times New Roman" w:hAnsi="Times New Roman"/>
          <w:sz w:val="17"/>
          <w:szCs w:val="17"/>
          <w:color w:val="auto"/>
        </w:rPr>
        <w:t xml:space="preserve">) under (and ratably participated in by Revolving Lenders pursuant to) the non-terminating or new Classes of Revolving Credit Commitments up to an aggregate amount not to exceed the aggregate principal amount of the unutilized Revolving Credit Commitments continuing at such time (it being understood that no partial face amount of any Letter of Credit may be so reallocated) (in each case, after giving effect to any repayments of Revolving Loans) and (ii) to the extent not reallocated pursuant to immediately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and unless provisions reasonably satisfactory to the applicable Issuing Bank for the treatment of such Letter of Credit as a letter of credit under a successor credit facility have been agreed upon, the Borrower shall, on or prior to the applicable Maturity Date, (x) cause such Letter of Credit to be replaced and returned to the applicable Issuing Bank undrawn and marked “cancelled”, (y) cause such Letter of Credit to be backstopped by a “back to back” letter of credit reasonably satisfactory to the applicable Issuing Bank or (z) Cash collateralize such Letter of Credit in accordance with </w:t>
      </w:r>
      <w:r>
        <w:rPr>
          <w:rFonts w:ascii="Times New Roman" w:cs="Times New Roman" w:eastAsia="Times New Roman" w:hAnsi="Times New Roman"/>
          <w:sz w:val="17"/>
          <w:szCs w:val="17"/>
          <w:u w:val="single" w:color="auto"/>
          <w:color w:val="auto"/>
        </w:rPr>
        <w:t>Section 2.05(j)</w:t>
      </w:r>
      <w:r>
        <w:rPr>
          <w:rFonts w:ascii="Times New Roman" w:cs="Times New Roman" w:eastAsia="Times New Roman" w:hAnsi="Times New Roman"/>
          <w:sz w:val="17"/>
          <w:szCs w:val="17"/>
          <w:color w:val="auto"/>
        </w:rPr>
        <w:t xml:space="preserve">. Commencing with the Maturity Date of any Class of Revolving Credit Commitments, the Letter of Credit Sublimit shall be in an amount agreed solely with the applicable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at the request of the Borrower, the Letter of Credit Sublimit immediately following such Maturity Date shall be no less than the Letter of Credit Sublimit immediately prior to such Maturity Date multiplied by a fraction, the numerator of which is the aggregate amount of the Revolving Credit Commitments immediately following such Maturity Date and the denominator of which is the aggregate amount of the Revolving Credit Commitments immediately prior to such Maturity Date.</w:t>
      </w:r>
    </w:p>
    <w:p>
      <w:pPr>
        <w:spacing w:after="0" w:line="184" w:lineRule="exact"/>
        <w:rPr>
          <w:sz w:val="20"/>
          <w:szCs w:val="20"/>
          <w:color w:val="auto"/>
        </w:rPr>
      </w:pPr>
    </w:p>
    <w:p>
      <w:pPr>
        <w:ind w:right="160" w:firstLine="436"/>
        <w:spacing w:after="0" w:line="266" w:lineRule="auto"/>
        <w:tabs>
          <w:tab w:leader="none" w:pos="695"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shall maintain in accordance with its usual practice an account or accounts evidencing the indebtedness of the Borrower to such Lender resulting from each Loan made by such Lender, including the amounts of principal and interest payable and paid to such Lender from time to time hereunder.</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maintain accounts in which it shall record (i) the amount of each Loan made hereunder, the Class and Type thereof and the Interest Period (if any) applicable thereto, (ii) the amount of any principal or interest due and payable or to become due and payable from the Borrower to each Lender hereunder and (iii) the amount of any sum received by the Administrative Agent hereunder for the account of the Lenders or the Issuing Banks and each Lender’s or the Issuing Bank’s share thereof.</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entries made in the accounts maintained pursuant to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Section shall be prima facie evidence of the existence and amounts of the obligations recorded therein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manifest error therein shall not in any manner affect the obligation of the Borrower to repay the Loans in accordance with the terms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event of any inconsistency between the accounts maintained by the Administrative Agent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and any Lender’s records, the accounts of such Administrative Agent shall govern.</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5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request that Loans made by it be evidenced by a Promissory Note. In such event, the Borrower shall prepare, execute and deliver to such Lender a Promissory Note payable to such Lender and its registered permitted assigns; it being understood and agreed that such Lender (and/or its applicable permitted assign) shall be required to return such Promissory Note to the Borrower in accordance with </w:t>
      </w:r>
      <w:r>
        <w:rPr>
          <w:rFonts w:ascii="Times New Roman" w:cs="Times New Roman" w:eastAsia="Times New Roman" w:hAnsi="Times New Roman"/>
          <w:sz w:val="18"/>
          <w:szCs w:val="18"/>
          <w:u w:val="single" w:color="auto"/>
          <w:color w:val="auto"/>
        </w:rPr>
        <w:t>Section 10.05(b)(iii)</w:t>
      </w:r>
      <w:r>
        <w:rPr>
          <w:rFonts w:ascii="Times New Roman" w:cs="Times New Roman" w:eastAsia="Times New Roman" w:hAnsi="Times New Roman"/>
          <w:sz w:val="18"/>
          <w:szCs w:val="18"/>
          <w:color w:val="auto"/>
        </w:rPr>
        <w:t xml:space="preserve"> and upon the occurrence of the Termination Date (or as promptly thereafter as practicable). If any Lender loses the original copy of its Promissory Note, it shall execute an affidavit of loss containing a customary indemnification provision that is reasonably satisfactory to the Borrower. The obligation of each Lender to execute an affidavit of loss containing a customary indemnification provision that is reasonably satisfactory to the Borrower shall survive the Termination Date.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433" w:name="page434"/>
    <w:bookmarkEnd w:id="433"/>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Prepayment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44" w:hanging="244"/>
        <w:spacing w:after="0"/>
        <w:tabs>
          <w:tab w:leader="none" w:pos="244" w:val="left"/>
        </w:tabs>
        <w:numPr>
          <w:ilvl w:val="0"/>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Prepayments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81" w:lineRule="auto"/>
        <w:tabs>
          <w:tab w:leader="none" w:pos="641" w:val="left"/>
        </w:tabs>
        <w:numPr>
          <w:ilvl w:val="1"/>
          <w:numId w:val="5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Upon prior notice in accordance with </w:t>
      </w:r>
      <w:r>
        <w:rPr>
          <w:rFonts w:ascii="Times New Roman" w:cs="Times New Roman" w:eastAsia="Times New Roman" w:hAnsi="Times New Roman"/>
          <w:sz w:val="17"/>
          <w:szCs w:val="17"/>
          <w:u w:val="single" w:color="auto"/>
          <w:color w:val="auto"/>
        </w:rPr>
        <w:t>paragraph (a)(iii)</w:t>
      </w:r>
      <w:r>
        <w:rPr>
          <w:rFonts w:ascii="Times New Roman" w:cs="Times New Roman" w:eastAsia="Times New Roman" w:hAnsi="Times New Roman"/>
          <w:sz w:val="17"/>
          <w:szCs w:val="17"/>
          <w:color w:val="auto"/>
        </w:rPr>
        <w:t xml:space="preserve"> of this Section, the Borrower shall have the right at any time and from time to time to prepay any Borrowing of Term Loans of one or more Classes (such Class or Classes to be selected by the Borrower in its sole discretion) in whole or in part without premium or penalty (but subject to, (A) in the case of the Initial Term Loans only, </w:t>
      </w:r>
      <w:r>
        <w:rPr>
          <w:rFonts w:ascii="Times New Roman" w:cs="Times New Roman" w:eastAsia="Times New Roman" w:hAnsi="Times New Roman"/>
          <w:sz w:val="17"/>
          <w:szCs w:val="17"/>
          <w:u w:val="single" w:color="auto"/>
          <w:color w:val="auto"/>
        </w:rPr>
        <w:t>Section 2.12(f)</w:t>
      </w:r>
      <w:r>
        <w:rPr>
          <w:rFonts w:ascii="Times New Roman" w:cs="Times New Roman" w:eastAsia="Times New Roman" w:hAnsi="Times New Roman"/>
          <w:sz w:val="17"/>
          <w:szCs w:val="17"/>
          <w:color w:val="auto"/>
        </w:rPr>
        <w:t xml:space="preserve"> and (B) if applicable,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Each such prepayment shall be paid to the Lenders in accordance with their respective Applicable Percentages of the relevant Class.</w:t>
      </w:r>
    </w:p>
    <w:p>
      <w:pPr>
        <w:spacing w:after="0" w:line="56" w:lineRule="exact"/>
        <w:rPr>
          <w:rFonts w:ascii="Times New Roman" w:cs="Times New Roman" w:eastAsia="Times New Roman" w:hAnsi="Times New Roman"/>
          <w:sz w:val="17"/>
          <w:szCs w:val="17"/>
          <w:color w:val="auto"/>
        </w:rPr>
      </w:pPr>
    </w:p>
    <w:p>
      <w:pPr>
        <w:ind w:left="4" w:firstLine="419"/>
        <w:spacing w:after="0" w:line="258" w:lineRule="auto"/>
        <w:tabs>
          <w:tab w:leader="none" w:pos="691"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prior notice in accordance with </w:t>
      </w:r>
      <w:r>
        <w:rPr>
          <w:rFonts w:ascii="Times New Roman" w:cs="Times New Roman" w:eastAsia="Times New Roman" w:hAnsi="Times New Roman"/>
          <w:sz w:val="18"/>
          <w:szCs w:val="18"/>
          <w:u w:val="single" w:color="auto"/>
          <w:color w:val="auto"/>
        </w:rPr>
        <w:t>paragraph (a)(iii)</w:t>
      </w:r>
      <w:r>
        <w:rPr>
          <w:rFonts w:ascii="Times New Roman" w:cs="Times New Roman" w:eastAsia="Times New Roman" w:hAnsi="Times New Roman"/>
          <w:sz w:val="18"/>
          <w:szCs w:val="18"/>
          <w:color w:val="auto"/>
        </w:rPr>
        <w:t xml:space="preserve"> of this Section, the Borrower shall have the right at any time and from time to time to prepay any Borrowing of Revolving Loans of any Class or any Borrowing of Swingline Loans, including any Additional Revolving Loans, in whole or in part without premium or penalty (but subject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Prepayments made pursuant to this </w:t>
      </w:r>
      <w:r>
        <w:rPr>
          <w:rFonts w:ascii="Times New Roman" w:cs="Times New Roman" w:eastAsia="Times New Roman" w:hAnsi="Times New Roman"/>
          <w:sz w:val="18"/>
          <w:szCs w:val="18"/>
          <w:u w:val="single" w:color="auto"/>
          <w:color w:val="auto"/>
        </w:rPr>
        <w:t>Section 2.11(a)(ii)</w:t>
      </w:r>
      <w:r>
        <w:rPr>
          <w:rFonts w:ascii="Times New Roman" w:cs="Times New Roman" w:eastAsia="Times New Roman" w:hAnsi="Times New Roman"/>
          <w:sz w:val="18"/>
          <w:szCs w:val="18"/>
          <w:color w:val="auto"/>
        </w:rPr>
        <w:t>, first, shall be applied ratably to the Swingline Loans and to outstanding LC Disbursements and second, shall be applied ratably to the outstanding Revolving Loans, including any Additional Revolving Loans of the relevant Class.</w:t>
      </w:r>
    </w:p>
    <w:p>
      <w:pPr>
        <w:spacing w:after="0" w:line="75" w:lineRule="exact"/>
        <w:rPr>
          <w:rFonts w:ascii="Times New Roman" w:cs="Times New Roman" w:eastAsia="Times New Roman" w:hAnsi="Times New Roman"/>
          <w:sz w:val="18"/>
          <w:szCs w:val="18"/>
          <w:color w:val="auto"/>
        </w:rPr>
      </w:pPr>
    </w:p>
    <w:p>
      <w:pPr>
        <w:ind w:left="4" w:right="40" w:firstLine="419"/>
        <w:spacing w:after="0" w:line="252" w:lineRule="auto"/>
        <w:tabs>
          <w:tab w:leader="none" w:pos="741" w:val="left"/>
        </w:tabs>
        <w:numPr>
          <w:ilvl w:val="1"/>
          <w:numId w:val="5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notify the Administrative Agent (and, in the case of a prepayment of a Swingline Loan, the Swingline Lender) in writing of any prepayment under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 in the case of a prepayment of a Eurocurrency Rate Borrowing or a Term CORRA Borrowing, not later than 1:00 p.m. three Business Days before the date of prepayment, (B) in the case of an Alternative Currency Daily Rate Borrowing, not later than 1:00 p.m. five Business Days before the date of prepayment, (C) in the case of a prepayment of an ABR Borrowing or a Canadian Prime Rate Borrowing, not later than 1:00 p.m. on the date of prepayment or (D) in the case of a prepayment of a Swingline Loan, not later than 1:00 p.m. on the date of prepayment (or, in each case, such later date or time to which the Administrative Agent may reasonably agree). Each such notice shall be irrevocable (except as set forth in the proviso to this sentence) and shall specify the prepayment date and the principal amount of each Borrowing or portion thereof to be prepaid;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prepayment delivered by the Borrower may state that such notice is conditioned upon the effectiveness of other transactions or other conditional events, in which case such notice may be revoked or its effectiveness deferred by the Borrower (by notice to the Administrative Agent on or prior to the specified effective date) if such condition is not satisfied and/or the Borrower may delay or rescind such notice until such condition is satisfied. Promptly following receipt of any such notice relating to any Borrowing, the Administrative Agent shall advise the relevant Lenders of the contents thereof. Each partial prepayment of any Borrowing shall be in an amount at least equal to the amount that would be permitted in the case of a Borrowing of the same Type and Class as provided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 xml:space="preserve"> or such lesser amount that is then outstanding with respect to such Borrowing being repaid. Each prepayment of Term Loans shall be applied to the Class or Classes of Term Loans specified by the Borrower in the applicable prepayment notice, and each prepayment of Term Loans of such Class or Classes made pursuant to this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shall be applied against the remaining scheduled installments of principal due in respect of the Term Loans of such Class or Classes in the manner specified by the Borrower or, if not so specified on or prior to the date of such optional prepayment, in direct order of maturity.</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64"/>
          </w:cols>
          <w:pgMar w:left="876" w:top="270" w:right="459" w:bottom="1440" w:gutter="0" w:footer="0" w:header="0"/>
        </w:sectPr>
      </w:pPr>
    </w:p>
    <w:bookmarkStart w:id="434" w:name="page435"/>
    <w:bookmarkEnd w:id="434"/>
    <w:p>
      <w:pPr>
        <w:ind w:left="264" w:hanging="264"/>
        <w:spacing w:after="0"/>
        <w:tabs>
          <w:tab w:leader="none" w:pos="264" w:val="left"/>
        </w:tabs>
        <w:numPr>
          <w:ilvl w:val="0"/>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Mandatory Prepayments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641" w:val="left"/>
        </w:tabs>
        <w:numPr>
          <w:ilvl w:val="1"/>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the fifth Business Day after the date on which the financial statements with respect to each Fiscal Year of the Borrower is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commencing with the Fiscal Year ending December 31, 2026, the Borrower shall prepay Subject Loans in accordance with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in an aggregate principal amount (the “</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xml:space="preserve">”) equal to (A) the Required Excess Cash Flow Percentage of Excess Cash Flow of the Borrower and its Restricted Subsidiaries for the Excess Cash Flow Period then most recently ended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at the option of the Borrower, to the extent occurring during such Excess Cash Flow Period (or occurring after such Excess Cash Flow Period and prior to the date of the applicable Excess Cash Flow payment), and without duplication (including duplication of any amounts deducted in any prior Excess Cash Flow Period), the following (collectively, the “</w:t>
      </w:r>
      <w:r>
        <w:rPr>
          <w:rFonts w:ascii="Times New Roman" w:cs="Times New Roman" w:eastAsia="Times New Roman" w:hAnsi="Times New Roman"/>
          <w:sz w:val="18"/>
          <w:szCs w:val="18"/>
          <w:b w:val="1"/>
          <w:bCs w:val="1"/>
          <w:color w:val="auto"/>
        </w:rPr>
        <w:t>ECF Deductions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Term Loans and Revolving Loans prepaid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140" w:firstLine="408"/>
        <w:spacing w:after="0" w:line="258" w:lineRule="auto"/>
        <w:tabs>
          <w:tab w:leader="none" w:pos="1199"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Incremental Equivalent Debt, Replacement Debt, Pro Rata Facilities, Other Secured Debt and/or any other Indebtedness permitted to be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to the extent secured by Liens on the Collateral that are pari passu with the Liens on the Collateral securing the Credit Facilities (without regard to the control of remedies), voluntarily prepaid, repurchased, redeemed or otherwise retired (or contractually committed to be voluntarily prepaid, repurchased, redeemed or otherwise retired);</w:t>
      </w:r>
    </w:p>
    <w:p>
      <w:pPr>
        <w:spacing w:after="0" w:line="75" w:lineRule="exact"/>
        <w:rPr>
          <w:rFonts w:ascii="Times New Roman" w:cs="Times New Roman" w:eastAsia="Times New Roman" w:hAnsi="Times New Roman"/>
          <w:sz w:val="18"/>
          <w:szCs w:val="18"/>
          <w:color w:val="auto"/>
        </w:rPr>
      </w:pPr>
    </w:p>
    <w:p>
      <w:pPr>
        <w:ind w:left="544" w:right="80" w:firstLine="408"/>
        <w:spacing w:after="0" w:line="256" w:lineRule="auto"/>
        <w:tabs>
          <w:tab w:leader="none" w:pos="1199"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reduction in the outstanding amount of any Term Loans, Incremental Equivalent Debt, Replacement Debt, Pro Rata Facilities, Other Secured Debt and/or any other Indebtedness permitted to be incurred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each case to the extent secured by Liens on the Collateral that are pari passu with the Liens on the Collateral securing the Credit Facilities (without regard to the control of remedies), resulting from any purchase or assignment made in accordance with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of this Agreement (including in connection with any Dutch Auction) (with respect to Term Loans) and any equivalent provisions with respect to any such Incremental Equivalent Debt, Replacement Debt, Pro Rata Facilities, Other Secured Debt and/or such other Indebtedness;</w:t>
      </w:r>
    </w:p>
    <w:p>
      <w:pPr>
        <w:spacing w:after="0" w:line="79" w:lineRule="exact"/>
        <w:rPr>
          <w:rFonts w:ascii="Times New Roman" w:cs="Times New Roman" w:eastAsia="Times New Roman" w:hAnsi="Times New Roman"/>
          <w:sz w:val="18"/>
          <w:szCs w:val="18"/>
          <w:color w:val="auto"/>
        </w:rPr>
      </w:pPr>
    </w:p>
    <w:p>
      <w:pPr>
        <w:ind w:left="544" w:right="220" w:firstLine="408"/>
        <w:spacing w:after="0" w:line="282" w:lineRule="auto"/>
        <w:tabs>
          <w:tab w:leader="none" w:pos="1199"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payments in respect of Capital Expenditures, all Cash payments in respect of capitalized software expenditures and all Cash payments made to acquire IP Rights;</w:t>
      </w:r>
    </w:p>
    <w:p>
      <w:pPr>
        <w:spacing w:after="0" w:line="53" w:lineRule="exact"/>
        <w:rPr>
          <w:rFonts w:ascii="Times New Roman" w:cs="Times New Roman" w:eastAsia="Times New Roman" w:hAnsi="Times New Roman"/>
          <w:sz w:val="18"/>
          <w:szCs w:val="18"/>
          <w:color w:val="auto"/>
        </w:rPr>
      </w:pPr>
    </w:p>
    <w:p>
      <w:pPr>
        <w:ind w:left="1204" w:hanging="252"/>
        <w:spacing w:after="0"/>
        <w:tabs>
          <w:tab w:leader="none" w:pos="1204"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payments by the Borrower and its Restricted Subsidiaries made (or committed or budgeted) in respect of long-term</w:t>
      </w:r>
    </w:p>
    <w:p>
      <w:pPr>
        <w:spacing w:after="0" w:line="27" w:lineRule="exact"/>
        <w:rPr>
          <w:rFonts w:ascii="Times New Roman" w:cs="Times New Roman" w:eastAsia="Times New Roman" w:hAnsi="Times New Roman"/>
          <w:sz w:val="18"/>
          <w:szCs w:val="18"/>
          <w:color w:val="auto"/>
        </w:rPr>
      </w:pPr>
    </w:p>
    <w:p>
      <w:pPr>
        <w:ind w:left="544"/>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(including for purposes of clarity, the current portion of such long-term liabilities) of the Borrower and its Restricted Subsidiaries other than Indebtedness, except to the extent such Cash payments were deducted in the calculation of Consolidated Net Income for such period;</w:t>
      </w:r>
    </w:p>
    <w:p>
      <w:pPr>
        <w:spacing w:after="0" w:line="77" w:lineRule="exact"/>
        <w:rPr>
          <w:rFonts w:ascii="Times New Roman" w:cs="Times New Roman" w:eastAsia="Times New Roman" w:hAnsi="Times New Roman"/>
          <w:sz w:val="18"/>
          <w:szCs w:val="18"/>
          <w:color w:val="auto"/>
        </w:rPr>
      </w:pPr>
    </w:p>
    <w:p>
      <w:pPr>
        <w:ind w:left="544" w:right="140" w:firstLine="408"/>
        <w:spacing w:after="0" w:line="282" w:lineRule="auto"/>
        <w:tabs>
          <w:tab w:leader="none" w:pos="1199" w:val="left"/>
        </w:tabs>
        <w:numPr>
          <w:ilvl w:val="2"/>
          <w:numId w:val="5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in respect of any Investment (including acquisitions)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otherwise consented to by the Required Lenders (other than Investments (x) in Cash or Cash Equivalents or (y) in the Borrower or any Loan Party); and</w:t>
      </w:r>
    </w:p>
    <w:p>
      <w:pPr>
        <w:spacing w:after="0" w:line="9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64"/>
          </w:cols>
          <w:pgMar w:left="876" w:top="270" w:right="459" w:bottom="1440" w:gutter="0" w:footer="0" w:header="0"/>
        </w:sectPr>
      </w:pPr>
    </w:p>
    <w:bookmarkStart w:id="435" w:name="page436"/>
    <w:bookmarkEnd w:id="435"/>
    <w:p>
      <w:pPr>
        <w:ind w:left="544" w:right="120" w:firstLine="408"/>
        <w:spacing w:after="0" w:line="257" w:lineRule="auto"/>
        <w:tabs>
          <w:tab w:leader="none" w:pos="1199" w:val="left"/>
        </w:tabs>
        <w:numPr>
          <w:ilvl w:val="1"/>
          <w:numId w:val="5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aggregate consideration (i) required to be paid in Cash by the Borrower or its Restricted Subsidiaries pursuant to binding contracts entered into prior to or during such period relating to Capital Expenditures, capitalized software expenditures, the acquisition of IP Rights, acquisitions or other Investments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otherwise consented to by the Required Lenders and/or</w:t>
      </w:r>
    </w:p>
    <w:p>
      <w:pPr>
        <w:spacing w:after="0" w:line="1" w:lineRule="exact"/>
        <w:rPr>
          <w:rFonts w:ascii="Times New Roman" w:cs="Times New Roman" w:eastAsia="Times New Roman" w:hAnsi="Times New Roman"/>
          <w:sz w:val="18"/>
          <w:szCs w:val="18"/>
          <w:color w:val="auto"/>
        </w:rPr>
      </w:pPr>
    </w:p>
    <w:p>
      <w:pPr>
        <w:ind w:left="544" w:firstLine="7"/>
        <w:spacing w:after="0" w:line="251" w:lineRule="auto"/>
        <w:tabs>
          <w:tab w:leader="none" w:pos="808" w:val="left"/>
        </w:tabs>
        <w:numPr>
          <w:ilvl w:val="0"/>
          <w:numId w:val="5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planned, committed or budgeted to be made in connection with Capital Expenditures, capitalized software expenditures, the acquisition of IP Rights, acquisitions or other Investments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otherwise consented to by the Required Lenders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(7)</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Scheduled Consideration</w:t>
      </w:r>
      <w:r>
        <w:rPr>
          <w:rFonts w:ascii="Times New Roman" w:cs="Times New Roman" w:eastAsia="Times New Roman" w:hAnsi="Times New Roman"/>
          <w:sz w:val="18"/>
          <w:szCs w:val="18"/>
          <w:color w:val="auto"/>
        </w:rPr>
        <w:t xml:space="preserve">”) (other than Investments in (x) Cash and Cash Equivalents or (y) the Borrower or any Loan Party) to be consummated or made during the period of four consecutive Fiscal Quarters of the Borrower following the end of such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Capital Expenditures, capitalized software expenditures, the acquisition of IP Rights, acquisitions or Investments during such subsequent period of four consecutive Fiscal Quarters is less than the Scheduled Consideration, the amount of the resulting shortfall shall be added to the calculation of Excess Cash Flow at the end of such subsequent period of four consecutive Fiscal Quarters;</w:t>
      </w:r>
    </w:p>
    <w:p>
      <w:pPr>
        <w:spacing w:after="0" w:line="8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7"/>
          <w:szCs w:val="17"/>
          <w:color w:val="auto"/>
        </w:rPr>
        <w:t xml:space="preserve">in the case of each of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(I) excluding any such payments, prepayments and expenditures made during such Fiscal Year that reduced the amount required to be prepaid pursuant to this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in the prior Fiscal Year, (II) in the case of any prepayment of revolving Indebtedness, to the extent accompanied by a permanent reduction in the relevant commitment, (III) to the extent that such payments, prepayments and expenditures were not financed with the proceeds of other long-term funded Indebtedness (other than revolving Indebtedness) of the Borrower or its Restricted Subsidiaries and (IV) in each case under </w:t>
      </w:r>
      <w:r>
        <w:rPr>
          <w:rFonts w:ascii="Times New Roman" w:cs="Times New Roman" w:eastAsia="Times New Roman" w:hAnsi="Times New Roman"/>
          <w:sz w:val="17"/>
          <w:szCs w:val="17"/>
          <w:u w:val="single" w:color="auto"/>
          <w:color w:val="auto"/>
        </w:rPr>
        <w:t>clause (3)</w:t>
      </w:r>
      <w:r>
        <w:rPr>
          <w:rFonts w:ascii="Times New Roman" w:cs="Times New Roman" w:eastAsia="Times New Roman" w:hAnsi="Times New Roman"/>
          <w:sz w:val="17"/>
          <w:szCs w:val="17"/>
          <w:color w:val="auto"/>
        </w:rPr>
        <w:t xml:space="preserve"> above, based upon the actual amount of cash paid in connection with any relevant purchase or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the time that any such prepayment would be required, the Borrower (or any Restricted Subsidiary) is also required to prepay, repurchase or offer to prepay or repurchase any Indebtedness permitted pursuant to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that is secured on a pari passu basis (without regard to the control of remedies) with any Obligation pursuant to the terms of the documentation governing such Indebtedness (such Indebtedness required to be so prepaid or repurchased or offered to be so prepaid or repurchased, “</w:t>
      </w:r>
      <w:r>
        <w:rPr>
          <w:rFonts w:ascii="Times New Roman" w:cs="Times New Roman" w:eastAsia="Times New Roman" w:hAnsi="Times New Roman"/>
          <w:sz w:val="17"/>
          <w:szCs w:val="17"/>
          <w:b w:val="1"/>
          <w:bCs w:val="1"/>
          <w:color w:val="auto"/>
        </w:rPr>
        <w:t>Other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Applicable Indebtedness</w:t>
      </w:r>
      <w:r>
        <w:rPr>
          <w:rFonts w:ascii="Times New Roman" w:cs="Times New Roman" w:eastAsia="Times New Roman" w:hAnsi="Times New Roman"/>
          <w:sz w:val="17"/>
          <w:szCs w:val="17"/>
          <w:color w:val="auto"/>
        </w:rPr>
        <w:t>”) with any portion of the ECF Prepayment Amount, then the Borrower may apply such portion of the ECF Prepayment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Amount on a pro rata basis (determined on the basis of the aggregate outstanding principal amount of the Subject Loans and the relevant Other Applicable Indebtedness (or accreted amount if such Other Applicable Indebtedness is issued with original issue discount) at such time) to the prepayment of the Subject Loans and to the prepayment of the relevant Other Applicable Indebtedness, and the amount of prepayment of the Subject Loans that would have otherwise been required pursuant to this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shall be reduced accordingly; it being understood that</w:t>
      </w:r>
    </w:p>
    <w:p>
      <w:pPr>
        <w:spacing w:after="0" w:line="9" w:lineRule="exact"/>
        <w:rPr>
          <w:sz w:val="20"/>
          <w:szCs w:val="20"/>
          <w:color w:val="auto"/>
        </w:rPr>
      </w:pPr>
    </w:p>
    <w:p>
      <w:pPr>
        <w:ind w:left="4" w:hanging="4"/>
        <w:spacing w:after="0" w:line="253" w:lineRule="auto"/>
        <w:tabs>
          <w:tab w:leader="none" w:pos="258" w:val="left"/>
        </w:tabs>
        <w:numPr>
          <w:ilvl w:val="0"/>
          <w:numId w:val="5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such ECF Prepayment Amount allocated to the Other Applicable Indebtedness shall not exceed the portion of such ECF Prepayment Amount required to be allocated to the Other Applicable Indebtedness pursuant to the terms thereof, and the remaining amount, if any, of such ECF Prepayment Amount shall be allocated to the Subject Loans in accordance with the terms hereof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11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564"/>
          </w:cols>
          <w:pgMar w:left="876" w:top="270" w:right="459" w:bottom="1440" w:gutter="0" w:footer="0" w:header="0"/>
        </w:sectPr>
      </w:pPr>
    </w:p>
    <w:bookmarkStart w:id="436" w:name="page437"/>
    <w:bookmarkEnd w:id="436"/>
    <w:p>
      <w:pPr>
        <w:ind w:left="4" w:right="20" w:firstLine="419"/>
        <w:spacing w:after="0" w:line="272" w:lineRule="auto"/>
        <w:tabs>
          <w:tab w:leader="none" w:pos="691" w:val="left"/>
        </w:tabs>
        <w:numPr>
          <w:ilvl w:val="1"/>
          <w:numId w:val="5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later than the tenth Business Day following the receipt of Net Proceeds in respect of any Prepayment Asset Sale or Net Insurance/Condemnation Proceeds that are Material Insurance/Condemnation Proceeds, in each case, in excess of (x) the greater of $112,500,000 and 5% of Consolidated Adjusted EBITDA as of the most recently ended Test Period in any single transaction or series of related transactions and</w:t>
      </w:r>
    </w:p>
    <w:p>
      <w:pPr>
        <w:spacing w:after="0" w:line="1" w:lineRule="exact"/>
        <w:rPr>
          <w:rFonts w:ascii="Times New Roman" w:cs="Times New Roman" w:eastAsia="Times New Roman" w:hAnsi="Times New Roman"/>
          <w:sz w:val="17"/>
          <w:szCs w:val="17"/>
          <w:color w:val="auto"/>
        </w:rPr>
      </w:pPr>
    </w:p>
    <w:p>
      <w:pPr>
        <w:ind w:left="4" w:hanging="4"/>
        <w:spacing w:after="0" w:line="250" w:lineRule="auto"/>
        <w:tabs>
          <w:tab w:leader="none" w:pos="258" w:val="left"/>
        </w:tabs>
        <w:numPr>
          <w:ilvl w:val="0"/>
          <w:numId w:val="5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all such Net Proceeds not excluded from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by the preceding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the greater of $337,500,000 and 15% of Consolidated Adjusted EBITDA as of the most recently ended Test Period in any Fiscal Year, the Borrower shall apply an amount equal to the Required Net Proceeds Percentage of such Net Proceeds or Net Insurance/Condemnation Proceeds received with respect thereto in excess of such thresholds (collectively, the “</w:t>
      </w:r>
      <w:r>
        <w:rPr>
          <w:rFonts w:ascii="Times New Roman" w:cs="Times New Roman" w:eastAsia="Times New Roman" w:hAnsi="Times New Roman"/>
          <w:sz w:val="18"/>
          <w:szCs w:val="18"/>
          <w:b w:val="1"/>
          <w:bCs w:val="1"/>
          <w:color w:val="auto"/>
        </w:rPr>
        <w:t>Subject Proceeds</w:t>
      </w:r>
      <w:r>
        <w:rPr>
          <w:rFonts w:ascii="Times New Roman" w:cs="Times New Roman" w:eastAsia="Times New Roman" w:hAnsi="Times New Roman"/>
          <w:sz w:val="18"/>
          <w:szCs w:val="18"/>
          <w:color w:val="auto"/>
        </w:rPr>
        <w:t>”; and any Net Proceeds in respect of any Prepayment Asset Sale or Net Insurance/Condemnation Proceeds that do not constitute Subject Proceeds, the “</w:t>
      </w:r>
      <w:r>
        <w:rPr>
          <w:rFonts w:ascii="Times New Roman" w:cs="Times New Roman" w:eastAsia="Times New Roman" w:hAnsi="Times New Roman"/>
          <w:sz w:val="18"/>
          <w:szCs w:val="18"/>
          <w:b w:val="1"/>
          <w:bCs w:val="1"/>
          <w:color w:val="auto"/>
        </w:rPr>
        <w:t>Excluded Proceeds</w:t>
      </w:r>
      <w:r>
        <w:rPr>
          <w:rFonts w:ascii="Times New Roman" w:cs="Times New Roman" w:eastAsia="Times New Roman" w:hAnsi="Times New Roman"/>
          <w:sz w:val="18"/>
          <w:szCs w:val="18"/>
          <w:color w:val="auto"/>
        </w:rPr>
        <w:t xml:space="preserve">”) to prepay the outstanding principal amount of Subject Loans in accordance with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application of such thresholds shall be at the option of the Borrower;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 the Borrower shall not be required to make a mandatory prepayment under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respect of the Subject Proceeds to the extent (x) the Subject Proceeds are reinvested in the business of the Borrower or any of its subsidiaries (including pursuant to any Permitted Acquisition, other permitted investments, Capital Expenditures, capitalized software expenditures and/or acquisition of IP Rights) within 18 months following receipt thereof (the “</w:t>
      </w:r>
      <w:r>
        <w:rPr>
          <w:rFonts w:ascii="Times New Roman" w:cs="Times New Roman" w:eastAsia="Times New Roman" w:hAnsi="Times New Roman"/>
          <w:sz w:val="18"/>
          <w:szCs w:val="18"/>
          <w:b w:val="1"/>
          <w:bCs w:val="1"/>
          <w:color w:val="auto"/>
        </w:rPr>
        <w:t>Reinvestment Period</w:t>
      </w:r>
      <w:r>
        <w:rPr>
          <w:rFonts w:ascii="Times New Roman" w:cs="Times New Roman" w:eastAsia="Times New Roman" w:hAnsi="Times New Roman"/>
          <w:sz w:val="18"/>
          <w:szCs w:val="18"/>
          <w:color w:val="auto"/>
        </w:rPr>
        <w:t xml:space="preserve">”), (y) the Borrower or any of its subsidiaries has contractually committed to so reinvest the Subject Proceeds during such Reinvestment Period and the Subject Proceeds are so reinvested within six months after the expiration of such Reinvestment Period or (z) to the extent the commitment in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above is cancelled or terminated for any reason before the Subject Proceeds are applied in connection therewith, contractually committed and so utilized within six months of such cancellation or termination;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Subject Proceeds have not been so reinvested prior to the expiration of the applicable period, the Borrower shall promptly prepay the outstanding principal amount of Subject Loans with the Subject Proceeds not so reinvested as set forth above (without regard to the immediately preceding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elect to deem certain expenditures (including Investments) that would otherwise be permissible reinvestments but that occurred prior to the receipt of the applicable Net Proceeds or Net Insurance/Condemnation Proceeds (as applicable) as having been reinvested in accordance with the provisions of this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but only to the extent such deemed expenditure (or Investment) shall have been made no earlier than (x) in the case of Net Proceeds, the earliest of the execution of a definitive agreement with respect to such Prepayment Asset Sale, the provision of notice with respect to such Prepayment Asset Sale or the consummation of the applicable Disposition and (y) in the case of Net Insurance/Condemnation Proceeds, the occurrence of the event in respect of which such Net Insurance/Condemnation Proceeds were received) and (B) if, at the time that any such prepayment would be required hereunder, the Borrower or any of its Restricted Subsidiaries is required to prepay, repay or repurchase (or offer to prepay, repay or repurchase) any Other Applicable Indebtedness, then the relevant Person may apply the Subject Proceeds on a pro rata basis to the prepayment of the Subject Loans and to the prepayment, repurchase or repayment of the Other Applicable Indebtedness (determined on the basis of the aggregate outstanding principal amount of the Subject Loans and the Other Applicable Indebtedness (or accreted amount if such Other Applicable Indebtedness is issued with original issue discount) at such time); it being understood that (1) the portion of the Subject Proceeds allocated to the Other Applicable Indebtedness shall not exceed the amount of the Subject Proceeds required to be allocated to the Other Applicable Indebtedness pursuant to the terms thereof (and the remaining amount, if any, of the Subject Proceeds shall be allocated to the Subject Loans in accordance with the terms hereof), and the amount of the prepayment of the Subject Loans that would have otherwise been required pursuant to this</w:t>
      </w:r>
    </w:p>
    <w:p>
      <w:pPr>
        <w:spacing w:after="0" w:line="11" w:lineRule="exact"/>
        <w:rPr>
          <w:rFonts w:ascii="Times New Roman" w:cs="Times New Roman" w:eastAsia="Times New Roman" w:hAnsi="Times New Roman"/>
          <w:sz w:val="18"/>
          <w:szCs w:val="18"/>
          <w:color w:val="auto"/>
        </w:rPr>
      </w:pPr>
    </w:p>
    <w:p>
      <w:pPr>
        <w:jc w:val="both"/>
        <w:ind w:left="4" w:right="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shall be reduced accordingly and (2) to the extent the holders of the Other Applicable Indebtedness decline to have such Indebtedness prepaid or repurchased, the declined amount shall promptly (and in any event within ten Business Days after the date of such rejection) be applied to prepay the Subject Loans in accordance with the terms hereof.</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44"/>
          </w:cols>
          <w:pgMar w:left="876" w:top="270" w:right="479" w:bottom="1440" w:gutter="0" w:footer="0" w:header="0"/>
        </w:sectPr>
      </w:pPr>
    </w:p>
    <w:bookmarkStart w:id="437" w:name="page438"/>
    <w:bookmarkEnd w:id="437"/>
    <w:p>
      <w:pPr>
        <w:ind w:left="744" w:hanging="321"/>
        <w:spacing w:after="0"/>
        <w:tabs>
          <w:tab w:leader="none" w:pos="744" w:val="left"/>
        </w:tabs>
        <w:numPr>
          <w:ilvl w:val="1"/>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4" w:firstLine="419"/>
        <w:spacing w:after="0" w:line="267" w:lineRule="auto"/>
        <w:tabs>
          <w:tab w:leader="none" w:pos="731" w:val="left"/>
        </w:tabs>
        <w:numPr>
          <w:ilvl w:val="1"/>
          <w:numId w:val="5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event that the Borrower or any of its Restricted Subsidiaries receives Net Proceeds from the issuance or incurrence of Indebtedness by the Borrower or any of its Restricted Subsidiaries (other than with respect to Indebtedness permitted under </w:t>
      </w:r>
      <w:r>
        <w:rPr>
          <w:rFonts w:ascii="Times New Roman" w:cs="Times New Roman" w:eastAsia="Times New Roman" w:hAnsi="Times New Roman"/>
          <w:sz w:val="17"/>
          <w:szCs w:val="17"/>
          <w:u w:val="single" w:color="auto"/>
          <w:color w:val="auto"/>
        </w:rPr>
        <w:t>Section 6.01</w:t>
      </w:r>
      <w:r>
        <w:rPr>
          <w:rFonts w:ascii="Times New Roman" w:cs="Times New Roman" w:eastAsia="Times New Roman" w:hAnsi="Times New Roman"/>
          <w:sz w:val="17"/>
          <w:szCs w:val="17"/>
          <w:color w:val="auto"/>
        </w:rPr>
        <w:t xml:space="preserve">, except to the extent the relevant Indebtedness constitutes Refinancing Indebtedness incurred to refinance all or a portion of the Initial Term Loans pursuant to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 xml:space="preserve"> or Replacement Term Loans incurred to refinance Initial Term Loans in accordance with the requirements of </w:t>
      </w:r>
      <w:r>
        <w:rPr>
          <w:rFonts w:ascii="Times New Roman" w:cs="Times New Roman" w:eastAsia="Times New Roman" w:hAnsi="Times New Roman"/>
          <w:sz w:val="17"/>
          <w:szCs w:val="17"/>
          <w:u w:val="single" w:color="auto"/>
          <w:color w:val="auto"/>
        </w:rPr>
        <w:t>Section 10.02(c)</w:t>
      </w:r>
      <w:r>
        <w:rPr>
          <w:rFonts w:ascii="Times New Roman" w:cs="Times New Roman" w:eastAsia="Times New Roman" w:hAnsi="Times New Roman"/>
          <w:sz w:val="17"/>
          <w:szCs w:val="17"/>
          <w:color w:val="auto"/>
        </w:rPr>
        <w:t xml:space="preserve">), the Borrower shall, substantially simultaneously with (and in any event not later than five Business Days thereafter) the receipt of such Net Proceeds by the Borrower or its applicable Restricted Subsidiary, apply an amount equal to 100% of such Net Proceeds to prepay the outstanding principal amount of the relevant Subject Loans in accordance with </w:t>
      </w:r>
      <w:r>
        <w:rPr>
          <w:rFonts w:ascii="Times New Roman" w:cs="Times New Roman" w:eastAsia="Times New Roman" w:hAnsi="Times New Roman"/>
          <w:sz w:val="17"/>
          <w:szCs w:val="17"/>
          <w:u w:val="single" w:color="auto"/>
          <w:color w:val="auto"/>
        </w:rPr>
        <w:t>clause (vii)</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at the time that any such prepayment would be required, the Borrower or a Restricted Subsidiary is required to offer to repurchase any Other Applicable Indebtedness with the Net Proceeds of such Indebtedness, then the Borrower or such Restricted Subsidiary may apply such Net Proceeds on a pro rata basis (determined on the basis of the aggregate outstanding principal amount of the relevant Subject Loans and Other Applicable Indebtedness at such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w:t>
      </w:r>
    </w:p>
    <w:p>
      <w:pPr>
        <w:spacing w:after="0" w:line="3" w:lineRule="exact"/>
        <w:rPr>
          <w:rFonts w:ascii="Times New Roman" w:cs="Times New Roman" w:eastAsia="Times New Roman" w:hAnsi="Times New Roman"/>
          <w:sz w:val="17"/>
          <w:szCs w:val="17"/>
          <w:color w:val="auto"/>
        </w:rPr>
      </w:pPr>
    </w:p>
    <w:p>
      <w:pPr>
        <w:ind w:left="4" w:hanging="4"/>
        <w:spacing w:after="0" w:line="252" w:lineRule="auto"/>
        <w:tabs>
          <w:tab w:leader="none" w:pos="298"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relevant Subject Loans in accordance with the terms hereof to the prepayment of the relevant Subject Loans and to the repurchase or prepayment of Other Applicable Indebtedness, and the amount of prepayment of the relevant Subject Loans that would have otherwise been required pursuant to this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shall be reduced accordingly and (B) to the extent the holders of Other Applicable Indebtedness decline to have such indebtedness repurchased or prepaid, the declined amount shall promptly (and in any event within ten Business Days after the date of such rejection) be applied to prepay the relevant Subject Loans in accordance with the terms hereof.</w:t>
      </w:r>
    </w:p>
    <w:p>
      <w:pPr>
        <w:spacing w:after="0" w:line="80" w:lineRule="exact"/>
        <w:rPr>
          <w:rFonts w:ascii="Times New Roman" w:cs="Times New Roman" w:eastAsia="Times New Roman" w:hAnsi="Times New Roman"/>
          <w:sz w:val="18"/>
          <w:szCs w:val="18"/>
          <w:color w:val="auto"/>
        </w:rPr>
      </w:pPr>
    </w:p>
    <w:p>
      <w:pPr>
        <w:ind w:left="4" w:firstLine="419"/>
        <w:spacing w:after="0" w:line="269" w:lineRule="auto"/>
        <w:tabs>
          <w:tab w:leader="none" w:pos="681" w:val="left"/>
        </w:tabs>
        <w:numPr>
          <w:ilvl w:val="1"/>
          <w:numId w:val="5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to the contrary, (A) the Borrower shall not be required to prepay any amount that would otherwise be required to be paid pursuant to </w:t>
      </w:r>
      <w:r>
        <w:rPr>
          <w:rFonts w:ascii="Times New Roman" w:cs="Times New Roman" w:eastAsia="Times New Roman" w:hAnsi="Times New Roman"/>
          <w:sz w:val="17"/>
          <w:szCs w:val="17"/>
          <w:u w:val="single" w:color="auto"/>
          <w:color w:val="auto"/>
        </w:rPr>
        <w:t>Sections 2.11(b)(i)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above to the extent that the relevant Excess Cash Flow is generated by any Foreign Subsidiary, the relevant Prepayment Asset Sale is consummated by any Foreign Subsidiary or the relevant Net Insurance/Condemnation Proceeds are received by any Foreign Subsidiary or the relevant Indebtedness is incurred by any Foreign Subsidiary (except to the extent the relevant Indebtedness constitutes Refinancing Indebtedness incurred by any Foreign Subsidiary to refinance all or a portion of the Initial Term Loans or Additional Term Loans pursuant to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 xml:space="preserve"> or Replacement Term Loans incurred to refinance Initial Term Loans or Additional Term Loans in accordance with the requirements of </w:t>
      </w:r>
      <w:r>
        <w:rPr>
          <w:rFonts w:ascii="Times New Roman" w:cs="Times New Roman" w:eastAsia="Times New Roman" w:hAnsi="Times New Roman"/>
          <w:sz w:val="17"/>
          <w:szCs w:val="17"/>
          <w:u w:val="single" w:color="auto"/>
          <w:color w:val="auto"/>
        </w:rPr>
        <w:t>Section 10.02(c)</w:t>
      </w:r>
      <w:r>
        <w:rPr>
          <w:rFonts w:ascii="Times New Roman" w:cs="Times New Roman" w:eastAsia="Times New Roman" w:hAnsi="Times New Roman"/>
          <w:sz w:val="17"/>
          <w:szCs w:val="17"/>
          <w:color w:val="auto"/>
        </w:rPr>
        <w:t xml:space="preserve">), as the case may be, for so long as the Borrower determines in good faith that the repatriation to the Borrower of any such amount would be prohibited or delayed (beyond the time period during which such prepayment is otherwise required to be made pursuant to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above) under any Requirement of Law or conflict with the fiduciary duties of such Foreign Subsidiary’s directors, or result in, or could reasonably be expected to result in, a risk of personal or criminal liability for any officer, director, employee, manager, member of management or consultant of such Foreign Subsidiary (including on account of financial assistance, corporate benefit, thin capitalization, capital maintenance or similar considerations); it being understood</w:t>
      </w:r>
    </w:p>
    <w:p>
      <w:pPr>
        <w:spacing w:after="0" w:line="11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564"/>
          </w:cols>
          <w:pgMar w:left="876" w:top="270" w:right="459" w:bottom="1440" w:gutter="0" w:footer="0" w:header="0"/>
        </w:sectPr>
      </w:pPr>
    </w:p>
    <w:bookmarkStart w:id="438" w:name="page439"/>
    <w:bookmarkEnd w:id="438"/>
    <w:p>
      <w:pPr>
        <w:ind w:left="4"/>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agreed that (i) solely within 365 days following the end of the applicable Excess Cash Flow Period, the event giving rise to the relevant Subject Proceeds or the receipt of proceeds from the respective incurrence of Indebtedness, the Borrower shall take all commercially reasonable actions required by applicable Requirements of Law to permit such repatriation and (ii) if the repatriation of the relevant affected Excess Cash Flow, Subject Proceeds or Indebtedness proceeds, as the case may be, is permitted under the applicable Requirement of Law and, to the extent applicable, would no longer conflict with the fiduciary duties of such director, or result in, or be reasonably expected to result in, a risk of personal or criminal liability for the Persons described above, in either case, within 365 days following the end of the applicable Excess Cash Flow Period, the event giving rise to the relevant Subject Proceeds or the receipt of Net Proceeds in respect of any such Indebtedness, the relevant Foreign Subsidiary will promptly repatriate the relevant Excess Cash Flow, Subject Proceeds or Net Proceeds in respect of Indebtedness, as the case may be, and the repatriated Excess Cash Flow, Subject Proceeds or Net Proceeds in respect of Indebtedness, as the case may be, will be promptly (and in any event not later than five Business Days after such repatriation) applied (net of additional Taxes payable or reserved against such Excess Cash Flow, Subject Proceeds or such Net Proceeds in respect of Indebtedness, as a result thereof, in each case by any Loan Party, such Loan Party’s subsidiaries, and any Affiliates or indirect or direct equity owners of the foregoing) to the repayment of Subject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herein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 the Borrower shall not be required to prepay any amount that would otherwise be required to be paid pursuant to </w:t>
      </w:r>
      <w:r>
        <w:rPr>
          <w:rFonts w:ascii="Times New Roman" w:cs="Times New Roman" w:eastAsia="Times New Roman" w:hAnsi="Times New Roman"/>
          <w:sz w:val="18"/>
          <w:szCs w:val="18"/>
          <w:u w:val="single" w:color="auto"/>
          <w:color w:val="auto"/>
        </w:rPr>
        <w:t>Sections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to the extent that the relevant Excess Cash Flow is generated by any Joint Venture (including any Subsidiary that is not a Wholly Owned Subsidiary), the relevant Subject Proceeds are received by any Joint Venture (including any Subsidiary that is not a Wholly-Owned Subsidiary) or the relevant Indebtedness is incurred by any Joint Venture (including any Subsidiary that is not a Wholly-Owned Subsidiary) for so long as the Borrower determines in good faith that the distribution to the Borrower of such Excess Cash Flow, Subject Proceeds or Net Proceeds in respect of Indebtedness would be prohibited under any applicable</w:t>
      </w:r>
    </w:p>
    <w:p>
      <w:pPr>
        <w:spacing w:after="0" w:line="10" w:lineRule="exact"/>
        <w:rPr>
          <w:sz w:val="20"/>
          <w:szCs w:val="20"/>
          <w:color w:val="auto"/>
        </w:rPr>
      </w:pPr>
    </w:p>
    <w:p>
      <w:pPr>
        <w:ind w:left="4" w:right="60" w:hanging="4"/>
        <w:spacing w:after="0" w:line="251" w:lineRule="auto"/>
        <w:tabs>
          <w:tab w:leader="none" w:pos="228" w:val="left"/>
        </w:tabs>
        <w:numPr>
          <w:ilvl w:val="0"/>
          <w:numId w:val="5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Organizational Documents (or any relevant shareholders’ or similar agreement) governing such Joint Venture, (II) agreement or instrument (including a financing arrangement) entered into with a Person other than the Borrower or a Restricted Subsidiary not prohibited by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or (III) judgment, decree, order, statute or governmental rule or regulation; it being understood that if the relevant prohibition ceases to exist within the 365-day period following the end of the applicable Excess Cash Flow Period, the event giving rise to the relevant Subject Proceeds or the receipt of Net Proceeds in respect of any such Indebtedness, the relevant Joint Venture will promptly distribute the relevant Excess Cash Flow, the relevant Subject Proceeds or the relevant Net Proceeds in respect of Indebtedness, as the case may be, and the distributed Excess Cash Flow, Subject Proceeds or Net Proceeds in respect of Indebtedness, as the case may be, will be promptly (and in any event not later than ten Business Days after such distribution) applied (net of additional Taxes payable or reserved against as a result thereof) to the repayment of Subject Loans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to the extent required herein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and (C) if the Borrower determines in good faith that the repatriation (or other intercompany distribution) to the Borrower of any amounts required to mandatorily prepay the Subject Loans pursuant to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(iv) above would result in material and adverse tax consequences for any Loan Party or any of such Loan Party’s subsidiaries, Affiliates or indirect or direct equity owners, taking into account any foreign tax credit or benefit actually realized in connection with such repatriation (such amount, a “</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as determined by the Borrower in good faith, the amount the Borrower shall be required to mandatorily prepay pursuant to </w:t>
      </w:r>
      <w:r>
        <w:rPr>
          <w:rFonts w:ascii="Times New Roman" w:cs="Times New Roman" w:eastAsia="Times New Roman" w:hAnsi="Times New Roman"/>
          <w:sz w:val="18"/>
          <w:szCs w:val="18"/>
          <w:u w:val="single" w:color="auto"/>
          <w:color w:val="auto"/>
        </w:rPr>
        <w:t>Section 2.11(b)(i)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as applicable, shall be reduced by the Restricted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the repatriation (or other intercompany distribution) of any Excess Cash Flow, Subject Proceeds or the Net Proceeds in respect of any such Indebtedness from the relevant Foreign Subsidiary would</w:t>
      </w:r>
    </w:p>
    <w:p>
      <w:pPr>
        <w:spacing w:after="0" w:line="123"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584"/>
          </w:cols>
          <w:pgMar w:left="876" w:top="270" w:right="439" w:bottom="1440" w:gutter="0" w:footer="0" w:header="0"/>
        </w:sectPr>
      </w:pPr>
    </w:p>
    <w:bookmarkStart w:id="439" w:name="page440"/>
    <w:bookmarkEnd w:id="439"/>
    <w:p>
      <w:pPr>
        <w:ind w:left="4"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longer have a material and adverse tax consequence within the 365-day period following the end of the applicable Excess Cash Flow Period, the event giving rise to the relevant Subject Proceeds or the receipt of Net Proceeds in respect of any such Indebtedness, as the case may be, an amount equal to the Excess Cash Flow, the Subject Proceeds or the Net Proceeds in respect of any such Indebtedness, as applicable, to the extent available and not previously applied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be promptly applied to the repayment of Subject Loans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as otherwise required above (without regard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left="4" w:firstLine="419"/>
        <w:spacing w:after="0" w:line="253" w:lineRule="auto"/>
        <w:tabs>
          <w:tab w:leader="none" w:pos="731" w:val="left"/>
        </w:tabs>
        <w:numPr>
          <w:ilvl w:val="1"/>
          <w:numId w:val="5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determines to give the applicable Lenders such an election, each Lender may elect, by notice to the Administrative Agent at or prior to the time and in the manner specified by the Administrative Agent, prior to any prepayment of Term Loans required to be made by the Borrower pursuant to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to decline all (but not a portion) of its Applicable Percentage of such prepayment (such declined amounts, the “</w:t>
      </w:r>
      <w:r>
        <w:rPr>
          <w:rFonts w:ascii="Times New Roman" w:cs="Times New Roman" w:eastAsia="Times New Roman" w:hAnsi="Times New Roman"/>
          <w:sz w:val="18"/>
          <w:szCs w:val="18"/>
          <w:b w:val="1"/>
          <w:bCs w:val="1"/>
          <w:color w:val="auto"/>
        </w:rPr>
        <w:t>Declined Proceeds</w:t>
      </w:r>
      <w:r>
        <w:rPr>
          <w:rFonts w:ascii="Times New Roman" w:cs="Times New Roman" w:eastAsia="Times New Roman" w:hAnsi="Times New Roman"/>
          <w:sz w:val="18"/>
          <w:szCs w:val="18"/>
          <w:color w:val="auto"/>
        </w:rPr>
        <w:t xml:space="preserve">”), which Declined Proceeds may be retained by the Borrower and used for any legal purpose permitted (or not prohibited) hereunder, including to increase the Available Amount;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for the avoidance of doubt, no Lender may reject any prepayment made under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above or to the extent that such prepayment is made with the Net Proceeds of (w) Refinancing Indebtedness (including Replacement Debt) incurred to refinance all or a portion of the Term Loans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(x) Incremental Term Loans incurred to refinance all or a portion of the Term Loans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10.02(c)</w:t>
      </w:r>
      <w:r>
        <w:rPr>
          <w:rFonts w:ascii="Times New Roman" w:cs="Times New Roman" w:eastAsia="Times New Roman" w:hAnsi="Times New Roman"/>
          <w:sz w:val="18"/>
          <w:szCs w:val="18"/>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z). If any Lender fails to deliver a notice to the Administrative Agent of its election to decline receipt of its Applicable Percentage of any mandatory prepayment within the time frame specified by the Administrative Agent such failure will be deemed to constitute an acceptance of such Lender’s Applicable Percentage of the total amount of such mandatory prepayment of Term Loans.</w:t>
      </w:r>
    </w:p>
    <w:p>
      <w:pPr>
        <w:spacing w:after="0" w:line="79" w:lineRule="exact"/>
        <w:rPr>
          <w:rFonts w:ascii="Times New Roman" w:cs="Times New Roman" w:eastAsia="Times New Roman" w:hAnsi="Times New Roman"/>
          <w:sz w:val="18"/>
          <w:szCs w:val="18"/>
          <w:color w:val="auto"/>
        </w:rPr>
      </w:pPr>
    </w:p>
    <w:p>
      <w:pPr>
        <w:ind w:left="4" w:right="80" w:firstLine="419"/>
        <w:spacing w:after="0" w:line="268" w:lineRule="auto"/>
        <w:tabs>
          <w:tab w:leader="none" w:pos="781" w:val="left"/>
        </w:tabs>
        <w:numPr>
          <w:ilvl w:val="1"/>
          <w:numId w:val="5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may otherwise be set forth in any amendment to this Agreement in connection with any Additional Term Loan, (A) each prepayment of Term Loans pursuant to this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shall be applied ratably to each Class of Term Loans (based upon the then outstanding principal amounts of the respective Classes of Term Loans)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prepayment constituting (w) Refinancing Indebtedness (including Replacement Debt) incurred to refinance all or a portion of the Term Loans pursuant to </w:t>
      </w:r>
      <w:r>
        <w:rPr>
          <w:rFonts w:ascii="Times New Roman" w:cs="Times New Roman" w:eastAsia="Times New Roman" w:hAnsi="Times New Roman"/>
          <w:sz w:val="17"/>
          <w:szCs w:val="17"/>
          <w:u w:val="single" w:color="auto"/>
          <w:color w:val="auto"/>
        </w:rPr>
        <w:t>Section 6.01(p)</w:t>
      </w:r>
      <w:r>
        <w:rPr>
          <w:rFonts w:ascii="Times New Roman" w:cs="Times New Roman" w:eastAsia="Times New Roman" w:hAnsi="Times New Roman"/>
          <w:sz w:val="17"/>
          <w:szCs w:val="17"/>
          <w:color w:val="auto"/>
        </w:rPr>
        <w:t xml:space="preserve">, (x) Incremental Loans incurred to refinance all or a portion of the Term Loans pursuant to </w:t>
      </w:r>
      <w:r>
        <w:rPr>
          <w:rFonts w:ascii="Times New Roman" w:cs="Times New Roman" w:eastAsia="Times New Roman" w:hAnsi="Times New Roman"/>
          <w:sz w:val="17"/>
          <w:szCs w:val="17"/>
          <w:u w:val="single" w:color="auto"/>
          <w:color w:val="auto"/>
        </w:rPr>
        <w:t>Section 2.22</w:t>
      </w:r>
      <w:r>
        <w:rPr>
          <w:rFonts w:ascii="Times New Roman" w:cs="Times New Roman" w:eastAsia="Times New Roman" w:hAnsi="Times New Roman"/>
          <w:sz w:val="17"/>
          <w:szCs w:val="17"/>
          <w:color w:val="auto"/>
        </w:rPr>
        <w:t xml:space="preserve">, (y) Replacement Term Loans incurred to refinance all or a portion of the Term Loans in accordance with the requirements of </w:t>
      </w:r>
      <w:r>
        <w:rPr>
          <w:rFonts w:ascii="Times New Roman" w:cs="Times New Roman" w:eastAsia="Times New Roman" w:hAnsi="Times New Roman"/>
          <w:sz w:val="17"/>
          <w:szCs w:val="17"/>
          <w:u w:val="single" w:color="auto"/>
          <w:color w:val="auto"/>
        </w:rPr>
        <w:t>Section 10.02(c)</w:t>
      </w:r>
      <w:r>
        <w:rPr>
          <w:rFonts w:ascii="Times New Roman" w:cs="Times New Roman" w:eastAsia="Times New Roman" w:hAnsi="Times New Roman"/>
          <w:sz w:val="17"/>
          <w:szCs w:val="17"/>
          <w:color w:val="auto"/>
        </w:rPr>
        <w:t xml:space="preserve"> and/or (z) Incremental Equivalent Debt incurred to refinance all or a portion of the Term Loans in accordance with the requirements of </w:t>
      </w:r>
      <w:r>
        <w:rPr>
          <w:rFonts w:ascii="Times New Roman" w:cs="Times New Roman" w:eastAsia="Times New Roman" w:hAnsi="Times New Roman"/>
          <w:sz w:val="17"/>
          <w:szCs w:val="17"/>
          <w:u w:val="single" w:color="auto"/>
          <w:color w:val="auto"/>
        </w:rPr>
        <w:t>Section 6.01(z)</w:t>
      </w:r>
      <w:r>
        <w:rPr>
          <w:rFonts w:ascii="Times New Roman" w:cs="Times New Roman" w:eastAsia="Times New Roman" w:hAnsi="Times New Roman"/>
          <w:sz w:val="17"/>
          <w:szCs w:val="17"/>
          <w:color w:val="auto"/>
        </w:rPr>
        <w:t xml:space="preserve"> shall, in each case be applied solely to each applicable Class of refinanced or replaced Term Loans), (B) with respect to each Class of Term Loans, all accepted prepayments under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w:t>
      </w:r>
    </w:p>
    <w:p>
      <w:pPr>
        <w:ind w:left="4" w:right="80" w:hanging="4"/>
        <w:spacing w:after="0" w:line="268" w:lineRule="auto"/>
        <w:tabs>
          <w:tab w:leader="none" w:pos="308" w:val="left"/>
        </w:tabs>
        <w:numPr>
          <w:ilvl w:val="0"/>
          <w:numId w:val="563"/>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shall be applied against (i) with respect to the Initial Term Loans only, the final scheduled installment of principal due in respect of the Initial Term Loans on the Initial Term Loan Maturity Date and (ii) with respect to any other Class of Term Loans, the remaining scheduled installments of principal due in respect of such Term Loans as directed by the Borrower (or, in the absence of direction from the Borrower, to the remaining scheduled amortization payments in respect of such Term Loans in direct order of maturity) and (C) each such prepayment shall be paid to the Term Lenders in accordance with their respective Applicable Percentages. The amount of such mandatory prepayments shall be applied on a pro rata basis to the then outstanding Term Loans being prepaid (as applicable) irrespective of whether such outstanding Loans are ABR Loans, Eurocurrency Rate Loans, Alternative Currency Daily Rate Loans or Loans of any other Type. Any prepayment of Initial Term Loans pursuant to </w:t>
      </w:r>
      <w:r>
        <w:rPr>
          <w:rFonts w:ascii="Times New Roman" w:cs="Times New Roman" w:eastAsia="Times New Roman" w:hAnsi="Times New Roman"/>
          <w:sz w:val="17"/>
          <w:szCs w:val="17"/>
          <w:u w:val="single" w:color="auto"/>
          <w:color w:val="auto"/>
        </w:rPr>
        <w:t>Section 2.11(b)(iv)</w:t>
      </w:r>
      <w:r>
        <w:rPr>
          <w:rFonts w:ascii="Times New Roman" w:cs="Times New Roman" w:eastAsia="Times New Roman" w:hAnsi="Times New Roman"/>
          <w:sz w:val="17"/>
          <w:szCs w:val="17"/>
          <w:color w:val="auto"/>
        </w:rPr>
        <w:t xml:space="preserve"> prior to the second anniversary of the Closing Date shall be accompanied by the fee set forth in </w:t>
      </w:r>
      <w:r>
        <w:rPr>
          <w:rFonts w:ascii="Times New Roman" w:cs="Times New Roman" w:eastAsia="Times New Roman" w:hAnsi="Times New Roman"/>
          <w:sz w:val="17"/>
          <w:szCs w:val="17"/>
          <w:u w:val="single" w:color="auto"/>
          <w:color w:val="auto"/>
        </w:rPr>
        <w:t>Section 2.12(f)</w:t>
      </w:r>
      <w:r>
        <w:rPr>
          <w:rFonts w:ascii="Times New Roman" w:cs="Times New Roman" w:eastAsia="Times New Roman" w:hAnsi="Times New Roman"/>
          <w:sz w:val="17"/>
          <w:szCs w:val="17"/>
          <w:color w:val="auto"/>
        </w:rPr>
        <w:t xml:space="preserve"> (if applicable).</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564"/>
          </w:cols>
          <w:pgMar w:left="876" w:top="270" w:right="459" w:bottom="1440" w:gutter="0" w:footer="0" w:header="0"/>
        </w:sectPr>
      </w:pPr>
    </w:p>
    <w:bookmarkStart w:id="440" w:name="page441"/>
    <w:bookmarkEnd w:id="440"/>
    <w:p>
      <w:pPr>
        <w:ind w:left="420" w:firstLine="419"/>
        <w:spacing w:after="0" w:line="254" w:lineRule="auto"/>
        <w:tabs>
          <w:tab w:leader="none" w:pos="1248"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on any Revaluation Date (after giving effect to the determination of the Outstanding Amount of each Revolving Loan, Letter of Credit and LC Disbursement) the Revolving Credit Exposure of any Class exceeds the amount of the Revolving Credit Commitment of such Class then in effect, the Borrower shall, within five Business Days of receipt of notice from the Administrative Agent, prepay the Revolving Loans or Swingline Loans and/or reduce LC Exposure in an aggregate amount sufficient to reduce such Revolving Credit Exposure as of the date of such payment to an amount not to exceed the Revolving Credit Commitment of such Class then in effect by taking any of the following actions as it shall determine at its sole discretion: (A) prepaying Revolving Loans or Swingline Loans or (B) with respect to any excess LC Exposure, depositing Cash in the LC Collateral Account or “backstopping” or replacing the relevant Letters of Credit, in each case, in an amount equal to 100% of such excess LC Exposure (minus any amount then on deposit in the LC Collateral Account).</w:t>
      </w:r>
    </w:p>
    <w:p>
      <w:pPr>
        <w:spacing w:after="0" w:line="83" w:lineRule="exact"/>
        <w:rPr>
          <w:rFonts w:ascii="Times New Roman" w:cs="Times New Roman" w:eastAsia="Times New Roman" w:hAnsi="Times New Roman"/>
          <w:sz w:val="18"/>
          <w:szCs w:val="18"/>
          <w:color w:val="auto"/>
        </w:rPr>
      </w:pPr>
    </w:p>
    <w:p>
      <w:pPr>
        <w:ind w:left="420" w:right="160" w:firstLine="419"/>
        <w:spacing w:after="0" w:line="277" w:lineRule="auto"/>
        <w:tabs>
          <w:tab w:leader="none" w:pos="1148" w:val="left"/>
        </w:tabs>
        <w:numPr>
          <w:ilvl w:val="0"/>
          <w:numId w:val="5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At the time of each prepayment required under </w:t>
      </w:r>
      <w:r>
        <w:rPr>
          <w:rFonts w:ascii="Times New Roman" w:cs="Times New Roman" w:eastAsia="Times New Roman" w:hAnsi="Times New Roman"/>
          <w:sz w:val="17"/>
          <w:szCs w:val="17"/>
          <w:u w:val="single" w:color="auto"/>
          <w:color w:val="auto"/>
        </w:rPr>
        <w:t>Section 2.11(b)(i)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xml:space="preserve">, the Borrower shall deliver to the Administrative Agent a certificate signed by a Responsible Officer of the Borrower setting forth in reasonable detail the calculation of the amount of such prepayment. Each such certificate shall specify the Borrowings being prepaid and the principal amount of each Borrowing (or portion thereof) to be prepaid. Prepayments shall be accompanied by accrued interest as required by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All prepayments of Borrowings under this </w:t>
      </w:r>
      <w:r>
        <w:rPr>
          <w:rFonts w:ascii="Times New Roman" w:cs="Times New Roman" w:eastAsia="Times New Roman" w:hAnsi="Times New Roman"/>
          <w:sz w:val="17"/>
          <w:szCs w:val="17"/>
          <w:u w:val="single" w:color="auto"/>
          <w:color w:val="auto"/>
        </w:rPr>
        <w:t>Section 2.11(b)</w:t>
      </w:r>
      <w:r>
        <w:rPr>
          <w:rFonts w:ascii="Times New Roman" w:cs="Times New Roman" w:eastAsia="Times New Roman" w:hAnsi="Times New Roman"/>
          <w:sz w:val="17"/>
          <w:szCs w:val="17"/>
          <w:color w:val="auto"/>
        </w:rPr>
        <w:t xml:space="preserve"> shall be subject to </w:t>
      </w:r>
      <w:r>
        <w:rPr>
          <w:rFonts w:ascii="Times New Roman" w:cs="Times New Roman" w:eastAsia="Times New Roman" w:hAnsi="Times New Roman"/>
          <w:sz w:val="17"/>
          <w:szCs w:val="17"/>
          <w:u w:val="single" w:color="auto"/>
          <w:color w:val="auto"/>
        </w:rPr>
        <w:t>Section 2.16</w:t>
      </w:r>
      <w:r>
        <w:rPr>
          <w:rFonts w:ascii="Times New Roman" w:cs="Times New Roman" w:eastAsia="Times New Roman" w:hAnsi="Times New Roman"/>
          <w:sz w:val="17"/>
          <w:szCs w:val="17"/>
          <w:color w:val="auto"/>
        </w:rPr>
        <w:t xml:space="preserve"> and, except as set forth in the last sentence of </w:t>
      </w:r>
      <w:r>
        <w:rPr>
          <w:rFonts w:ascii="Times New Roman" w:cs="Times New Roman" w:eastAsia="Times New Roman" w:hAnsi="Times New Roman"/>
          <w:sz w:val="17"/>
          <w:szCs w:val="17"/>
          <w:u w:val="single" w:color="auto"/>
          <w:color w:val="auto"/>
        </w:rPr>
        <w:t>clause (vii)</w:t>
      </w:r>
      <w:r>
        <w:rPr>
          <w:rFonts w:ascii="Times New Roman" w:cs="Times New Roman" w:eastAsia="Times New Roman" w:hAnsi="Times New Roman"/>
          <w:sz w:val="17"/>
          <w:szCs w:val="17"/>
          <w:color w:val="auto"/>
        </w:rPr>
        <w:t xml:space="preserve"> above, shall otherwise be without premium or penalty.</w:t>
      </w:r>
    </w:p>
    <w:p>
      <w:pPr>
        <w:spacing w:after="0" w:line="59" w:lineRule="exact"/>
        <w:rPr>
          <w:rFonts w:ascii="Times New Roman" w:cs="Times New Roman" w:eastAsia="Times New Roman" w:hAnsi="Times New Roman"/>
          <w:sz w:val="17"/>
          <w:szCs w:val="17"/>
          <w:color w:val="auto"/>
        </w:rPr>
      </w:pPr>
    </w:p>
    <w:p>
      <w:pPr>
        <w:ind w:left="420" w:firstLine="419"/>
        <w:spacing w:after="0" w:line="254" w:lineRule="auto"/>
        <w:tabs>
          <w:tab w:leader="none" w:pos="1098"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of the other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so long as no Event of Default shall have occurred and be continuing, if any prepayment of Eurocurrency Rate Loans is required to be made under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prior to the last day of the Interest Period therefor, the Borrower may, in its sole discretion, deposit the amount of any such prepayment otherwise required to be made hereunder with the Administrative Agent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40" w:firstLine="436"/>
        <w:spacing w:after="0" w:line="253" w:lineRule="auto"/>
        <w:tabs>
          <w:tab w:leader="none" w:pos="665" w:val="left"/>
        </w:tabs>
        <w:numPr>
          <w:ilvl w:val="0"/>
          <w:numId w:val="5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the account of each Revolving Lender of any Class (other than any Defaulting Lender) a commitment fee (the “</w:t>
      </w:r>
      <w:r>
        <w:rPr>
          <w:rFonts w:ascii="Times New Roman" w:cs="Times New Roman" w:eastAsia="Times New Roman" w:hAnsi="Times New Roman"/>
          <w:sz w:val="18"/>
          <w:szCs w:val="18"/>
          <w:u w:val="single" w:color="auto"/>
          <w:color w:val="auto"/>
        </w:rPr>
        <w:t>Commitment Fee</w:t>
      </w:r>
      <w:r>
        <w:rPr>
          <w:rFonts w:ascii="Times New Roman" w:cs="Times New Roman" w:eastAsia="Times New Roman" w:hAnsi="Times New Roman"/>
          <w:sz w:val="18"/>
          <w:szCs w:val="18"/>
          <w:color w:val="auto"/>
        </w:rPr>
        <w:t>”), which shall accrue at a rate equal to the Commitment Fee Rate per annum applicable to the Revolving Credit Commitment of such Class on the average daily amount of the Unused Revolving Credit Commitment of such Class of such Revolving Lender during the period from and including the Closing Date to but excluding the date on which such Lender’s Revolving Credit Commitment of such Class terminates. Accrued Commitment Fees shall be payable in arrears fifteen days after the last day of each March, June, September and December for the quarterly period then ended (commencing with the quarterly period ending on the last day of the first full Fiscal Quarter ending after the Closing Date, but in the case of the payment made immediately following such first full Fiscal Quarter ending after the Closing Date, for the period from the Closing Date to such date) and on the date on which the Revolving Credit Commitments of the applicable Class terminate. For purposes of calculating the Commitment Fees only, no portion of the Revolving Credit Commitments shall be deemed utilized as a result of outstanding Swingline Loans.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0960"/>
          </w:cols>
          <w:pgMar w:left="460" w:top="270" w:right="479" w:bottom="1440" w:gutter="0" w:footer="0" w:header="0"/>
        </w:sectPr>
      </w:pPr>
    </w:p>
    <w:bookmarkStart w:id="441" w:name="page442"/>
    <w:bookmarkEnd w:id="441"/>
    <w:p>
      <w:pPr>
        <w:ind w:firstLine="436"/>
        <w:spacing w:after="0" w:line="252" w:lineRule="auto"/>
        <w:tabs>
          <w:tab w:leader="none" w:pos="69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agrees to pay (i) to the Administrative Agent for the account of each Revolving Lender of any Class (other than any Defaulting Lender) a participation fee with respect to its participation in each Letter of Credit, which shall accrue at the Applicable Rate used to determine the interest rate applicable to Eurocurrency Rate Revolving Loans on the daily face amount of such Lender’s LC Exposure attributable to its Revolving Credit Commitment of such Class in respect of such Letter of Credit (excluding any portion thereof attributable to unreimbursed LC Disbursements), during the period from and including the Closing Date to the later of the date on which such Revolving Lender’s Revolving Credit Commitment of such Class terminates and the date on which such Revolving Lender ceases to have any LC Exposure related to its Revolving Credit Commitment of such Class in respect of such Letter of Credit (including any such LC Exposure that may exist following the termination of such Revolving Credit Commitments) and (ii) to each Issuing Bank, for its own account, a fronting fee, in respect of each Letter of Credit issued by such Issuing Bank for the period from the date of issuance of such Letter of Credit to the expiration date of such Letter of Credit (or if terminated on an earlier date, to the termination date of such Letter of Credit), computed at a rate equal to the rate agreed by such Issuing Bank and the Borrower (but in any event not to exceed 0.125% per annum) of the daily face amount of such Letter of Credit, as well as such Issuing Bank’s reasonable and customary fees with respect to the issuance, amendment, renewal or extension of any Letter of Credit or processing of drawings thereunder. Participation fees and fronting fees accrued to but excluding the last Business Day of each March, June, September and December shall be payable in arrears fifteen days after the last day of each March, June, September and December for the quarterly period then ended (commencing with the quarterly period ending on the last day of the first full Fiscal Quarter ending after the Closing Date, but in the case of the payment made immediately following such first full Fiscal Quarter ending after the Closing Date, for the period from the Closing Date to such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on the date on which the Revolving Credit Commitments of the applicable Class terminate, and any such fees accruing after the date on which the Revolving Credit Commitments of the applicable Class terminate shall be payable on demand. Any other fees payable to any Issuing Bank pursuant to this paragraph shall be payable within 30 days after receipt of a written demand (accompanied by reasonable back-up documentation) therefor.</w:t>
      </w:r>
    </w:p>
    <w:p>
      <w:pPr>
        <w:spacing w:after="0" w:line="190"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and the Collateral Agent, for its own account, the fees in the amounts and at the times separately agreed upon by the Borrower and such Administrative Agent or the Collateral Agent, as applicable, in writing.</w:t>
      </w:r>
    </w:p>
    <w:p>
      <w:pPr>
        <w:spacing w:after="0" w:line="161" w:lineRule="exact"/>
        <w:rPr>
          <w:rFonts w:ascii="Times New Roman" w:cs="Times New Roman" w:eastAsia="Times New Roman" w:hAnsi="Times New Roman"/>
          <w:sz w:val="18"/>
          <w:szCs w:val="18"/>
          <w:color w:val="auto"/>
        </w:rPr>
      </w:pPr>
    </w:p>
    <w:p>
      <w:pPr>
        <w:jc w:val="both"/>
        <w:ind w:right="40" w:firstLine="436"/>
        <w:spacing w:after="0" w:line="261" w:lineRule="auto"/>
        <w:tabs>
          <w:tab w:leader="none" w:pos="68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hereunder shall be paid on the dates due, in Dollars and in immediately available funds, to the Administrative Agent (or to the applicable Issuing Bank, in the case of fees payable to it) for distribution to the appropriate Lenders as their interests shall appear. Fees paid shall not be refundable under any circumstances except as otherwise provided in any Fee Letter. Fees payable hereunder shall accrue through and including the last day of the month immediately preceding the applicable fee payment date.</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65" w:val="left"/>
        </w:tabs>
        <w:numPr>
          <w:ilvl w:val="0"/>
          <w:numId w:val="5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prior to the second anniversary of the Closing Date, (a) the Borrower makes an optional prepayment of the Initial Term Loans pursuant to </w:t>
      </w:r>
      <w:r>
        <w:rPr>
          <w:rFonts w:ascii="Times New Roman" w:cs="Times New Roman" w:eastAsia="Times New Roman" w:hAnsi="Times New Roman"/>
          <w:sz w:val="18"/>
          <w:szCs w:val="18"/>
          <w:u w:val="single" w:color="auto"/>
          <w:color w:val="auto"/>
        </w:rPr>
        <w:t>Section 2.11(a)(i)</w:t>
      </w:r>
      <w:r>
        <w:rPr>
          <w:rFonts w:ascii="Times New Roman" w:cs="Times New Roman" w:eastAsia="Times New Roman" w:hAnsi="Times New Roman"/>
          <w:sz w:val="18"/>
          <w:szCs w:val="18"/>
          <w:color w:val="auto"/>
        </w:rPr>
        <w:t xml:space="preserve"> or mandatory prepayment of the Initial Term Loans pursuant to </w:t>
      </w:r>
      <w:r>
        <w:rPr>
          <w:rFonts w:ascii="Times New Roman" w:cs="Times New Roman" w:eastAsia="Times New Roman" w:hAnsi="Times New Roman"/>
          <w:sz w:val="18"/>
          <w:szCs w:val="18"/>
          <w:u w:val="single" w:color="auto"/>
          <w:color w:val="auto"/>
        </w:rPr>
        <w:t>Section 2.11(b)(iv)</w:t>
      </w:r>
      <w:r>
        <w:rPr>
          <w:rFonts w:ascii="Times New Roman" w:cs="Times New Roman" w:eastAsia="Times New Roman" w:hAnsi="Times New Roman"/>
          <w:sz w:val="18"/>
          <w:szCs w:val="18"/>
          <w:color w:val="auto"/>
        </w:rPr>
        <w:t xml:space="preserve"> or (b) there occurs any repayment or assignment of the Initial Term Loans pursuant to </w:t>
      </w:r>
      <w:r>
        <w:rPr>
          <w:rFonts w:ascii="Times New Roman" w:cs="Times New Roman" w:eastAsia="Times New Roman" w:hAnsi="Times New Roman"/>
          <w:sz w:val="18"/>
          <w:szCs w:val="18"/>
          <w:u w:val="single" w:color="auto"/>
          <w:color w:val="auto"/>
        </w:rPr>
        <w:t>Section 2.19(b)(iv)</w:t>
      </w:r>
      <w:r>
        <w:rPr>
          <w:rFonts w:ascii="Times New Roman" w:cs="Times New Roman" w:eastAsia="Times New Roman" w:hAnsi="Times New Roman"/>
          <w:sz w:val="18"/>
          <w:szCs w:val="18"/>
          <w:color w:val="auto"/>
        </w:rPr>
        <w:t xml:space="preserve"> in connection with a Repricing Transaction (any such prepayment, repayment or assignment set forth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442" w:name="page443"/>
    <w:bookmarkEnd w:id="442"/>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Prepayment Premium Event</w:t>
      </w:r>
      <w:r>
        <w:rPr>
          <w:rFonts w:ascii="Times New Roman" w:cs="Times New Roman" w:eastAsia="Times New Roman" w:hAnsi="Times New Roman"/>
          <w:sz w:val="18"/>
          <w:szCs w:val="18"/>
          <w:color w:val="auto"/>
        </w:rPr>
        <w:t xml:space="preserve">”), the Borrower shall pay,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to the Administrative Agent, for the ratable account of each of the applicable Initial Term Lenders, a premium equal to (x) if such Prepayment Premium Event occurs prior to the first anniversary of the Closing Date, the Applicable Make-Whole Premium and (y) if such Prepayment Premium Event occurs on or after the first anniversary of the Closing Date, but prior to the second anniversary of the Closing date, 1.00% of the aggregate principal amount of the Initial Term Loans actually prepaid, repaid or assigned subject to such Prepayment Premium Event. All such amounts shall be due and payable on the date of effectiveness of the applicable Prepayment Premium Event. For the avoidance of doubt, no premium will be applicable if any such prepayment, repayment or assignment as set forth above is made on or after the second anniversary of the Closing Date.</w:t>
      </w:r>
    </w:p>
    <w:p>
      <w:pPr>
        <w:spacing w:after="0" w:line="187" w:lineRule="exact"/>
        <w:rPr>
          <w:sz w:val="20"/>
          <w:szCs w:val="20"/>
          <w:color w:val="auto"/>
        </w:rPr>
      </w:pPr>
    </w:p>
    <w:p>
      <w:pPr>
        <w:jc w:val="both"/>
        <w:ind w:left="4" w:right="260" w:firstLine="436"/>
        <w:spacing w:after="0" w:line="266" w:lineRule="auto"/>
        <w:tabs>
          <w:tab w:leader="none" w:pos="699"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herein, all computations of fees shall be made on the basis of a 360-day year and shall be payable for the actual days elapsed (including the first day but excluding the last day). Each determination by the Administrative Agent of the amount of any fee hereunder shall be conclusive and binding for all purposes, absent manifest error.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The Loans comprising each ABR Borrowing (including Swingline Loans) shall bear interest at the Alternate Base Rate plus the Applicable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left="4" w:right="40" w:firstLine="436"/>
        <w:spacing w:after="0" w:line="282" w:lineRule="auto"/>
        <w:tabs>
          <w:tab w:leader="none" w:pos="699"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Eurocurrency Rate Borrowing shall bear interest at the Eurocurrency Rate for the Interest Period in effect for such Borrowing plus the Applicable Rate.</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(i) each Canadian Prime Rate Borrowing shall bear interest at the Canadian Prime Rate plus the Applicable Rate,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Term CORRA Borrowing shall bear interest at Term CORRA for the Interest Period in effect for such Borrowing plus the Applicable Rate and</w:t>
      </w:r>
    </w:p>
    <w:p>
      <w:pPr>
        <w:spacing w:after="0" w:line="9"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Daily Simple CORRA Borrowing shall bear interest at Daily Simple CORRA plus the Applicable Rate.</w:t>
      </w:r>
    </w:p>
    <w:p>
      <w:pPr>
        <w:spacing w:after="0" w:line="206"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Loans comprising each Alternative Currency Daily Rate Borrowing shall bear interest at the Alternative Currency Daily Rate for such Borrowing plus the Applicable Rate.</w:t>
      </w:r>
    </w:p>
    <w:p>
      <w:pPr>
        <w:spacing w:after="0" w:line="161"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at the request of the Administrative Agent, during the existence and continuance of any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if any principal of or interest on any Loan or any LC Disbursement or any fee payable by the Borrower hereunder is not, in each case, paid or reimbursed when due, whether at stated maturity, upon acceleration or otherwise, the relevant overdue amount shall bear interest, to the fullest extent permitted by applicable Requirements of Law, after as well as before judgment, at a rate per annum equal to (i) in the case of overdue principal or interest of any Loan or unreimbursed LC Disbursement, 2.00% plus the rate otherwise applicable to such Loan or LC Disbursement as provided in the preceding paragraphs of this Section or </w:t>
      </w:r>
      <w:r>
        <w:rPr>
          <w:rFonts w:ascii="Times New Roman" w:cs="Times New Roman" w:eastAsia="Times New Roman" w:hAnsi="Times New Roman"/>
          <w:sz w:val="18"/>
          <w:szCs w:val="18"/>
          <w:u w:val="single" w:color="auto"/>
          <w:color w:val="auto"/>
        </w:rPr>
        <w:t>Section 2.05(h)</w:t>
      </w:r>
      <w:r>
        <w:rPr>
          <w:rFonts w:ascii="Times New Roman" w:cs="Times New Roman" w:eastAsia="Times New Roman" w:hAnsi="Times New Roman"/>
          <w:sz w:val="18"/>
          <w:szCs w:val="18"/>
          <w:color w:val="auto"/>
        </w:rPr>
        <w:t xml:space="preserve"> or (ii) in the case of any other amount, 2.00% plus the rate applicable to Revolving Loans that are ABR Loans as provided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amount shall be payable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to any Defaulting Lender so long as such Lender is a Defaulting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amounts shall accrue pursuant to this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on any overdue amount, reimbursement obligation in respect of any LC Disbursement or other amount payable to a Defaulting Lender so long as such Lender is a Defaulting Lender.</w:t>
      </w:r>
    </w:p>
    <w:p>
      <w:pPr>
        <w:spacing w:after="0" w:line="194" w:lineRule="exact"/>
        <w:rPr>
          <w:rFonts w:ascii="Times New Roman" w:cs="Times New Roman" w:eastAsia="Times New Roman" w:hAnsi="Times New Roman"/>
          <w:sz w:val="18"/>
          <w:szCs w:val="18"/>
          <w:color w:val="auto"/>
        </w:rPr>
      </w:pPr>
    </w:p>
    <w:p>
      <w:pPr>
        <w:ind w:left="4" w:right="80" w:firstLine="436"/>
        <w:spacing w:after="0" w:line="266" w:lineRule="auto"/>
        <w:tabs>
          <w:tab w:leader="none" w:pos="669" w:val="left"/>
        </w:tabs>
        <w:numPr>
          <w:ilvl w:val="1"/>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Accrued interest on each Loan shall be payable in arrears on each Interest Payment Date for such Loan and on the Maturity Date applicable to such Loan or, in the case of any Revolving Loan, upon the termination of the Revolving Credit Commitments of the applicable Class,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interest accrued pursuant to </w:t>
      </w:r>
      <w:r>
        <w:rPr>
          <w:rFonts w:ascii="Times New Roman" w:cs="Times New Roman" w:eastAsia="Times New Roman" w:hAnsi="Times New Roman"/>
          <w:sz w:val="18"/>
          <w:szCs w:val="18"/>
          <w:u w:val="single" w:color="auto"/>
          <w:color w:val="auto"/>
        </w:rPr>
        <w:t>paragraph (e)</w:t>
      </w:r>
      <w:r>
        <w:rPr>
          <w:rFonts w:ascii="Times New Roman" w:cs="Times New Roman" w:eastAsia="Times New Roman" w:hAnsi="Times New Roman"/>
          <w:sz w:val="18"/>
          <w:szCs w:val="18"/>
          <w:color w:val="auto"/>
        </w:rPr>
        <w:t xml:space="preserve"> of this Section shall be payable on demand, (ii)</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984"/>
          </w:cols>
          <w:pgMar w:left="436" w:top="266" w:right="479" w:bottom="1440" w:gutter="0" w:footer="0" w:header="0"/>
        </w:sectPr>
      </w:pPr>
    </w:p>
    <w:bookmarkStart w:id="443" w:name="page444"/>
    <w:bookmarkEnd w:id="443"/>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any repayment or prepayment of any Loan (other than a prepayment of an ABR Revolving Loan, Alternative Currency Daily Rate Loan that is a Revolving Loan or Canadian Prime Rate Revolving Loan prior to the termination of the relevant revolving Commitments), accrued interest on the principal amount repaid or prepaid shall be payable on the date of such repayment or prepayment and (iii) in the event of any conversion of any Eurocurrency Rate Loan or Term CORRA Loan prior to the end of the current Interest Period therefor, accrued interest on such Loan shall be payable on the effective date of such conversion. Accrued interest for any Class of Additional Loans shall be payable as set forth in the applicable Refinancing Amendment, Incremental Facility Amendment, Extension Amendment or other applicable amendment to this Agreement.</w:t>
      </w:r>
    </w:p>
    <w:p>
      <w:pPr>
        <w:spacing w:after="0" w:line="187" w:lineRule="exact"/>
        <w:rPr>
          <w:sz w:val="20"/>
          <w:szCs w:val="20"/>
          <w:color w:val="auto"/>
        </w:rPr>
      </w:pPr>
    </w:p>
    <w:p>
      <w:pPr>
        <w:ind w:right="20" w:firstLine="436"/>
        <w:spacing w:after="0" w:line="253" w:lineRule="auto"/>
        <w:tabs>
          <w:tab w:leader="none" w:pos="695"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interest hereunder shall be computed on the basis of a year of 360 days, except that interest (i) computed for ABR Loans based on the Prime Rate shall be computed on the basis of a year of 365 days (or 366 days in a leap year), and in each case shall be payable for the actual number of days elapsed (including the first day but excluding the last day), (ii) interest computed for Canadian Prime Rate Revolving Loans and CORRA Revolving Loans shall be computed on the basis of a year of 365 days, and in each case shall be payable for the actual number of days elapsed (including the first day but excluding the last day), (iii) for Borrowings denominated in Sterling shall be computed on the basis of a year of 365 days, and in each case, shall be payable for the actual number of days elapsed (including the first day but excluding the last day) and (iv) in the case of interest in respect of Loans denominated in Alternate Currencies (other than Canadian Dollars or Sterling) as to which market practice differs from the foregoing, shall be computed in accordance with such market practice. The applicable Alternate Base Rate, Eurocurrency Rate, Alternative Currency Daily Rate, Canadian Prime Rate, Term CORRA or Daily Simple CORRA shall be determined by the Administrative Agent, and such determination shall be conclusive absent manifest error. Interest shall accrue on each Loan from the day on which the Loan is made, and shall not accrue on a Loan, or any portion thereof, for the day on which the Loan or such portion is paid;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 that is repaid on the same day on which it is made shall bear interest for one day.</w:t>
      </w:r>
    </w:p>
    <w:p>
      <w:pPr>
        <w:spacing w:after="0" w:line="189" w:lineRule="exact"/>
        <w:rPr>
          <w:rFonts w:ascii="Times New Roman" w:cs="Times New Roman" w:eastAsia="Times New Roman" w:hAnsi="Times New Roman"/>
          <w:sz w:val="18"/>
          <w:szCs w:val="18"/>
          <w:color w:val="auto"/>
        </w:rPr>
      </w:pPr>
    </w:p>
    <w:p>
      <w:pPr>
        <w:ind w:right="40" w:firstLine="436"/>
        <w:spacing w:after="0" w:line="255" w:lineRule="auto"/>
        <w:tabs>
          <w:tab w:leader="none" w:pos="695"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Interest Act (Canada), whenever any interest or fee under this Agreement or any other Loan Document is calculated using a rate based on a number of days less than a full year, such rate determined pursuant to such calculation, when expressed as an annual rate, is equivalent to (x) the applicable rate based on a year of 360, 365 or 366 days, as the case may be, (y) multiplied by the actual number of days in the calendar year in which the period for which such interest or fee is payable (or compounded) ends, and (z) divided by the number of days based on which such rate is calculated. The principle of deemed reinvestment of interest does not apply to any interest calculation under this Agreement or any other Loan Document. The rates of interest stipulated in this Agreement and the other Loan Documents are intended to be nominal rates and not effective rates or yields.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Alternate Rate of Interest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if:</w:t>
      </w:r>
    </w:p>
    <w:p>
      <w:pPr>
        <w:spacing w:after="0" w:line="225" w:lineRule="exact"/>
        <w:rPr>
          <w:sz w:val="20"/>
          <w:szCs w:val="20"/>
          <w:color w:val="auto"/>
        </w:rPr>
      </w:pPr>
    </w:p>
    <w:p>
      <w:pPr>
        <w:jc w:val="both"/>
        <w:ind w:right="140" w:firstLine="436"/>
        <w:spacing w:after="0" w:line="261" w:lineRule="auto"/>
        <w:tabs>
          <w:tab w:leader="none" w:pos="685"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absent manifest error) that adequate and reasonable means do not exist for ascertaining the Eurocurrency Rate, the Alternative Currency Daily Rate, Term CORRA, Daily Simple CORRA or Daily Simple SOFR or that the Eurocurrency Rate, the Alternative Currency Daily Rate, Term CORRA or Daily Simple CORRA cannot be determined pursuant to the definition thereof, as applicable, for any applicable Interest Period;</w:t>
      </w:r>
    </w:p>
    <w:p>
      <w:pPr>
        <w:spacing w:after="0" w:line="179"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is advised by the Required Lenders that the Eurocurrency Rate or Term CORRA, as applicable, for such Interest Period will not adequately and fairly reflect the cost to such Lenders of making or maintaining their Loans included in such Borrowing for such Interest Period; or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444" w:name="page445"/>
    <w:bookmarkEnd w:id="44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 a Benchmark Unavailability Period occurs;</w:t>
      </w:r>
    </w:p>
    <w:p>
      <w:pPr>
        <w:spacing w:after="0" w:line="225" w:lineRule="exact"/>
        <w:rPr>
          <w:sz w:val="20"/>
          <w:szCs w:val="20"/>
          <w:color w:val="auto"/>
        </w:rPr>
      </w:pPr>
    </w:p>
    <w:p>
      <w:pPr>
        <w:ind w:left="4" w:right="20"/>
        <w:spacing w:after="0" w:line="267" w:lineRule="auto"/>
        <w:rPr>
          <w:sz w:val="20"/>
          <w:szCs w:val="20"/>
          <w:color w:val="auto"/>
        </w:rPr>
      </w:pPr>
      <w:r>
        <w:rPr>
          <w:rFonts w:ascii="Times New Roman" w:cs="Times New Roman" w:eastAsia="Times New Roman" w:hAnsi="Times New Roman"/>
          <w:sz w:val="17"/>
          <w:szCs w:val="17"/>
          <w:color w:val="auto"/>
        </w:rPr>
        <w:t xml:space="preserve">then the Administrative Agent shall promptly give notice thereof to the Borrower and the Lenders by telephone or facsimile as promptly as practicable thereafter and, until the Administrative Agent notifies the Borrower and the Lenders that the circumstances giving rise to such notice no longer exist, which the Administrative Agent agrees promptly to do, (i) any Borrowing Request or Interest Election Request that requests the conversion of any Borrowing to, or continuation of any Borrowing as (x) a Eurocurrency Rate Borrowing or Daily Simple SOFR Borrowing denominated in Dollars, shall be ineffective and any such existing Borrowing shall be converted to an ABR Borrowing on the last day of the Interest Period applicable thereto, (y) a Borrowing denominated in an Alternate Currency, shall be ineffective and on the last day of the Interest Period (or with respect to Alternative Currency Daily Rate Borrowings or Daily Simple CORRA Borrowings, immediately) applicable to such Loan bear interest at the Central Bank Rate plus the CBR Spread (or with respect to Loans denominated in Canadian Dollars, the Canadian Prime Rate);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the Administrative Agent determines (which determination shall be conclusive and binding absent manifest error) that the Central Bank Rate (or Canadian Prime Rate) for the applicable Alternate Currency cannot be determined, any outstanding affected Loans denominated in any Alternate Currency shall, at the Borrower’s election,</w:t>
      </w:r>
    </w:p>
    <w:p>
      <w:pPr>
        <w:spacing w:after="0" w:line="4" w:lineRule="exact"/>
        <w:rPr>
          <w:sz w:val="20"/>
          <w:szCs w:val="20"/>
          <w:color w:val="auto"/>
        </w:rPr>
      </w:pPr>
    </w:p>
    <w:p>
      <w:pPr>
        <w:ind w:left="304" w:hanging="304"/>
        <w:spacing w:after="0"/>
        <w:tabs>
          <w:tab w:leader="none" w:pos="304"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prepaid by the Borrower on such day or (B) solely for the purpose of calculating the interest rate applicable to such Loan, such Loan</w:t>
      </w:r>
    </w:p>
    <w:p>
      <w:pPr>
        <w:spacing w:after="0" w:line="9" w:lineRule="exact"/>
        <w:rPr>
          <w:rFonts w:ascii="Times New Roman" w:cs="Times New Roman" w:eastAsia="Times New Roman" w:hAnsi="Times New Roman"/>
          <w:sz w:val="18"/>
          <w:szCs w:val="18"/>
          <w:color w:val="auto"/>
        </w:rPr>
      </w:pPr>
    </w:p>
    <w:p>
      <w:pPr>
        <w:ind w:left="4" w:right="6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any Alternate Currency shall be deemed to be an ABR Loan denominated in Dollars and shall accrue interest at the interest rate applicable to ABR Loans denominated in Dollars at such time.</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Increased Costs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84" w:hanging="244"/>
        <w:spacing w:after="0"/>
        <w:tabs>
          <w:tab w:leader="none" w:pos="684"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Change in Law:</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66" w:lineRule="auto"/>
        <w:tabs>
          <w:tab w:leader="none" w:pos="108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modifies or deems applicable any reserve, special deposit, compulsory loan, insurance charge or similar requirement against assets of, deposits with or for the account of, or credit extended by, any Lender or Issuing Bank (except any such reserve requirement reflected in the Eurocurrency Rate, Alternative Currency Daily Rate, Term CORRA or Daily Simple CORRA);</w:t>
      </w:r>
    </w:p>
    <w:p>
      <w:pPr>
        <w:spacing w:after="0" w:line="67"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3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subjects any Lender or Issuing Bank or the Administrative Agent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the definition of Excluded Taxes and (C) Connection Income Taxes) in respect of its loans, letters of credit, commitments or other obligations, or its deposits, reserves, other liabilities or capital attributable thereto; or</w:t>
      </w:r>
    </w:p>
    <w:p>
      <w:pPr>
        <w:spacing w:after="0" w:line="67" w:lineRule="exact"/>
        <w:rPr>
          <w:rFonts w:ascii="Times New Roman" w:cs="Times New Roman" w:eastAsia="Times New Roman" w:hAnsi="Times New Roman"/>
          <w:sz w:val="18"/>
          <w:szCs w:val="18"/>
          <w:color w:val="auto"/>
        </w:rPr>
      </w:pPr>
    </w:p>
    <w:p>
      <w:pPr>
        <w:ind w:left="444" w:right="420" w:firstLine="419"/>
        <w:spacing w:after="0" w:line="266" w:lineRule="auto"/>
        <w:tabs>
          <w:tab w:leader="none" w:pos="1182" w:val="left"/>
        </w:tabs>
        <w:numPr>
          <w:ilvl w:val="1"/>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imposes on any Lender or Issuing Bank or the London interbank market any other condition, cost or expense (other than Taxes) affecting this Agreement or Eurocurrency Rate Loans, Alternative Currency Daily Rate Loans or CORRA Loans made by any Lender or any Letter of Credit or participation therein;</w:t>
      </w:r>
    </w:p>
    <w:p>
      <w:pPr>
        <w:spacing w:after="0" w:line="176"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auto"/>
        </w:rPr>
        <w:t xml:space="preserve">and the result of any of the foregoing is to increase the cost to the relevant Lender of making, maintaining, converting to or continuing any Eurocurrency Rate Loan, Alternative Currency Daily Rate Loan or CORRA Loan (or of maintaining its obligation to make any such Loan) or to increase the cost to such Lender or Issuing Bank of participating in, issuing or maintaining any Letter of Credit or to reduce the amount of any sum received or receivable by such Lender or Issuing Bank hereunder (whether of principal, interest or otherwise) in respect of any Eurocurrency Rate Loan, Alternative Currency Daily Rate Loan, CORRA Loan or Letter of Credit in an amount deemed by such Lender or Issuing Bank to be material, then, within 30 days after the Borrower’s receipt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Borrower will pay to such Lender or Issuing Bank, as applicable, such additional</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4"/>
          </w:cols>
          <w:pgMar w:left="436" w:top="270" w:right="459" w:bottom="1440" w:gutter="0" w:footer="0" w:header="0"/>
        </w:sectPr>
      </w:pPr>
    </w:p>
    <w:bookmarkStart w:id="445" w:name="page446"/>
    <w:bookmarkEnd w:id="445"/>
    <w:p>
      <w:pPr>
        <w:ind w:left="4"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or amounts as will compensate such Lender or Issuing Bank, as applicable, for such additional costs incurred or reduction suffered;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liable for such compensation if (x) the relevant Change in Law is publicly announced or occurs on a date prior to the date such Lender becomes a party hereto, (y) such Lender invokes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(z) in the case of requests for reimbursement under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resulting from a market disruption, (A) the relevant circumstances do not generally affect the banking market or (B) the applicable request has not been made by Lenders constituting Required Lenders.</w:t>
      </w:r>
    </w:p>
    <w:p>
      <w:pPr>
        <w:spacing w:after="0" w:line="183" w:lineRule="exact"/>
        <w:rPr>
          <w:sz w:val="20"/>
          <w:szCs w:val="20"/>
          <w:color w:val="auto"/>
        </w:rPr>
      </w:pPr>
    </w:p>
    <w:p>
      <w:pPr>
        <w:ind w:left="4" w:right="60" w:firstLine="436"/>
        <w:spacing w:after="0" w:line="254" w:lineRule="auto"/>
        <w:tabs>
          <w:tab w:leader="none" w:pos="699"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or Issuing Bank determines that any Change in Law regarding liquidity or capital requirements has or would have the effect of reducing the rate of return on such Lender’s or Issuing Bank’s capital or on the capital of such Lender’s or Issuing Bank’s holding company, if any, as a consequence of this Agreement or the Loans made by, or participations in Letters of Credit held by, such Lender, or the Letters of Credit issued by such Issuing Bank, to a level materially below that which such Lender or such Issuing Bank or such Lender’s or such Issuing Bank’s holding company could have achieved but for such Change in Law other than due to Taxes (taking into consideration such Lender’s or Issuing Bank’s policies and the policies of such Lender’s or such Issuing Bank’s holding company with respect to capital adequacy), then within 30 days of receipt by the Borrower of the certificate contemplated by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the Borrower will pay to such Lender or such Issuing Bank, as applicable, such additional amount or amounts as will compensate such Lender or such Issuing Bank or such Lender’s or such Issuing Bank’s holding company for any such reduction suffered.</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or Issuing Bank requesting compensation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be required to deliver a certificate to the Borrower that</w:t>
      </w:r>
    </w:p>
    <w:p>
      <w:pPr>
        <w:spacing w:after="0" w:line="27" w:lineRule="exact"/>
        <w:rPr>
          <w:rFonts w:ascii="Times New Roman" w:cs="Times New Roman" w:eastAsia="Times New Roman" w:hAnsi="Times New Roman"/>
          <w:sz w:val="18"/>
          <w:szCs w:val="18"/>
          <w:color w:val="auto"/>
        </w:rPr>
      </w:pPr>
    </w:p>
    <w:p>
      <w:pPr>
        <w:ind w:left="4" w:right="200" w:hanging="4"/>
        <w:spacing w:after="0" w:line="253" w:lineRule="auto"/>
        <w:tabs>
          <w:tab w:leader="none" w:pos="219" w:val="left"/>
        </w:tabs>
        <w:numPr>
          <w:ilvl w:val="0"/>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sets forth the amount or amounts necessary to compensate such Lender or Issuing Bank or its holding company, as applicable, as specified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Section, (ii) sets forth in reasonable detail the manner in which such amount or amounts were determined and (iii) certifies that such Lender or Issuing Bank is generally charging such amounts to similarly situated borrowers, which certificate shall be conclusive absent manifest error.</w:t>
      </w:r>
    </w:p>
    <w:p>
      <w:pPr>
        <w:spacing w:after="0" w:line="188" w:lineRule="exact"/>
        <w:rPr>
          <w:rFonts w:ascii="Times New Roman" w:cs="Times New Roman" w:eastAsia="Times New Roman" w:hAnsi="Times New Roman"/>
          <w:sz w:val="18"/>
          <w:szCs w:val="18"/>
          <w:color w:val="auto"/>
        </w:rPr>
      </w:pPr>
    </w:p>
    <w:p>
      <w:pPr>
        <w:ind w:left="4" w:right="200" w:firstLine="436"/>
        <w:spacing w:after="0" w:line="256" w:lineRule="auto"/>
        <w:tabs>
          <w:tab w:leader="none" w:pos="699"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or delay on the part of any Lender or Issuing Bank to demand compensation pursuant to this Section shall not constitute a waiver of such Lender’s or Issuing Bank’s right to demand such compensation;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this Section for any increased costs or reductions incurred more than 180 days prior to the date that such Lender or Issuing Bank notifies the Borrower of the Change in Law giving rise to such increased costs or reductions and of such Lender’s or Issuing Bank’s intention to claim compensation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if the Change in Law giving rise to such increased costs or reductions is retroactive, then the 180-day period referred to above shall be extended to include the period of retroactive effect thereof.</w:t>
      </w:r>
    </w:p>
    <w:p>
      <w:pPr>
        <w:spacing w:after="0" w:line="187" w:lineRule="exact"/>
        <w:rPr>
          <w:rFonts w:ascii="Times New Roman" w:cs="Times New Roman" w:eastAsia="Times New Roman" w:hAnsi="Times New Roman"/>
          <w:sz w:val="18"/>
          <w:szCs w:val="18"/>
          <w:color w:val="auto"/>
        </w:rPr>
      </w:pPr>
    </w:p>
    <w:p>
      <w:pPr>
        <w:jc w:val="both"/>
        <w:ind w:left="4" w:firstLine="436"/>
        <w:spacing w:after="0" w:line="261" w:lineRule="auto"/>
        <w:tabs>
          <w:tab w:leader="none" w:pos="689" w:val="left"/>
        </w:tabs>
        <w:numPr>
          <w:ilvl w:val="1"/>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no Lender or Issuing Bank shall demand compensation for any increased cost or reduction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if (i) it shall not at the time be the general policy or practice of such Lender or Issuing Bank to demand such compensation in similar circumstances under comparable provisions of other credit agreements and (ii) such increased cost or reduction is due to market disruption, unless such circumstances generally affect the banking market and when the Required Lenders have made such a request.</w:t>
      </w:r>
    </w:p>
    <w:p>
      <w:pPr>
        <w:spacing w:after="0" w:line="180" w:lineRule="exact"/>
        <w:rPr>
          <w:sz w:val="20"/>
          <w:szCs w:val="20"/>
          <w:color w:val="auto"/>
        </w:rPr>
      </w:pPr>
    </w:p>
    <w:p>
      <w:pPr>
        <w:jc w:val="both"/>
        <w:ind w:left="4" w:firstLine="440"/>
        <w:spacing w:after="0" w:line="281" w:lineRule="auto"/>
        <w:rPr>
          <w:sz w:val="20"/>
          <w:szCs w:val="20"/>
          <w:color w:val="auto"/>
        </w:rPr>
      </w:pPr>
      <w:r>
        <w:rPr>
          <w:rFonts w:ascii="Times New Roman" w:cs="Times New Roman" w:eastAsia="Times New Roman" w:hAnsi="Times New Roman"/>
          <w:sz w:val="17"/>
          <w:szCs w:val="17"/>
          <w:color w:val="auto"/>
        </w:rPr>
        <w:t xml:space="preserve">Section 2.16. </w:t>
      </w:r>
      <w:r>
        <w:rPr>
          <w:rFonts w:ascii="Times New Roman" w:cs="Times New Roman" w:eastAsia="Times New Roman" w:hAnsi="Times New Roman"/>
          <w:sz w:val="17"/>
          <w:szCs w:val="17"/>
          <w:u w:val="single" w:color="auto"/>
          <w:color w:val="auto"/>
        </w:rPr>
        <w:t>Break Funding Payments</w:t>
      </w:r>
      <w:r>
        <w:rPr>
          <w:rFonts w:ascii="Times New Roman" w:cs="Times New Roman" w:eastAsia="Times New Roman" w:hAnsi="Times New Roman"/>
          <w:sz w:val="17"/>
          <w:szCs w:val="17"/>
          <w:color w:val="auto"/>
        </w:rPr>
        <w:t>. Solely with respect to Initial Term Loans and Revolving Facility Loans, in the event of (a) the conversion or prepayment of any principal of any Eurocurrency Rate Loan (other than any Eurocurrency Rate Loan denominated in Dollars) or Term CORRA Loan other than on the last day of an Interest Period applicable thereto (whether voluntary, mandatory, automatic, by reason of acceleration or otherwise), (b) the failure to borrow, convert, continue or prepay any Eurocurrency Rate Loan (other than any Eurocurrency Rate Loan denominated in Dollars)</w:t>
      </w:r>
    </w:p>
    <w:p>
      <w:pPr>
        <w:spacing w:after="0" w:line="9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984"/>
          </w:cols>
          <w:pgMar w:left="436" w:top="270" w:right="479" w:bottom="1440" w:gutter="0" w:footer="0" w:header="0"/>
        </w:sectPr>
      </w:pPr>
    </w:p>
    <w:bookmarkStart w:id="446" w:name="page447"/>
    <w:bookmarkEnd w:id="446"/>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Term CORRA Loan on the date or in the amount specified in any notice delivered pursuant hereto or (c) the assignment of any Eurocurrency Rate Loan (other than any Eurocurrency Rate Loan denominated in Dollars) or Term CORRA Loan of any Lender other than on the last day of the Interest Period applicable thereto as a result of a request by the Borrower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then, in any such event, the Borrower shall compensate each Lender for the loss, cost and expense incurred by such Lender that is attributable to such event (other than loss of profit). In the case of a Eurocurrency Rate Loan (other than any Eurocurrency Rate Loan denominated in Dollars) or Term CORRA Loan, the loss, cost or expense of any Lender shall be the amount reasonably determined by such Lender to be the excess, if any, of (i) the amount of interest which would have accrued on the principal amount of such Loan had such event not occurred, at the Eurocurrency Rate or Term CORRA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deposits in the applicable currency of a comparable amount and period from other banks in the Eurodollar or applicable interbank market; it being understood that such loss, cost or expense shall in any case exclude any interest rate floor and all administrative, processing or similar fees. Any Lender requesting compensation under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be required to deliver a certificate to the Borrower (i) setting forth any amount or amounts that such Lender is entitled to receive pursuant to this Section, the basis therefor and, in reasonable detail, the manner in which such amount or amounts were determined and (ii) certifying that such Lender is generally charging the relevant amounts to similarly situated borrowers, which certificate shall be conclusive absent manifest error. The Borrower shall pay such Lender the amount shown as due on any such certificate within 30 days after receipt thereof. For the avoidance of doubt,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not apply with respect to any Incremental Term Loan.</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4" w:lineRule="auto"/>
        <w:tabs>
          <w:tab w:leader="none" w:pos="685"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payments by or on account of any obligation of any Loan Party hereunder or under any other Loan Document shall be made free and clear of and without deduction or withholding for any Taxes, except as required by applicable Requirements of Law. If any applicable Requirement of Law requires the deduction or withholding of any Tax from any such payment by any applicable withholding agent, then (i) if such Tax is an Indemnified Tax, the amount payable by the applicable Loan Party shall be increased as necessary so that after required deductions (including deductions applicable to additional sums payable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having been made by the applicable withholding agent, each Lender and each Issuing Bank (as applicable) (or, where the Administrative Agent receives a payment for its own account, such Administrative Agent), receives an amount equal to the sum it would have received had no such deductions been made, (ii) the applicable withholding agent shall make such deductions and (iii) such withholding agent shall timely pay the full amount deducted to the relevant Governmental Authority in accordance with applicable Requirements of Law.</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5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addition, the Loan Parties shall pay any Other Taxes to the relevant Governmental Authority in accordance with applicable Requirements of</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Law.</w:t>
      </w:r>
    </w:p>
    <w:p>
      <w:pPr>
        <w:spacing w:after="0" w:line="206" w:lineRule="exact"/>
        <w:rPr>
          <w:rFonts w:ascii="Times New Roman" w:cs="Times New Roman" w:eastAsia="Times New Roman" w:hAnsi="Times New Roman"/>
          <w:sz w:val="17"/>
          <w:szCs w:val="17"/>
          <w:color w:val="auto"/>
        </w:rPr>
      </w:pPr>
    </w:p>
    <w:p>
      <w:pPr>
        <w:ind w:firstLine="436"/>
        <w:spacing w:after="0" w:line="256" w:lineRule="auto"/>
        <w:tabs>
          <w:tab w:leader="none" w:pos="685" w:val="left"/>
        </w:tabs>
        <w:numPr>
          <w:ilvl w:val="0"/>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Loan Party shall indemnify the Administrative Agent, each Lender and each Issuing Bank within 30 days after receipt of the certificate described in the succeeding sentence, for the full amount of any Indemnified Taxes payable or paid by such Administrative Agent, such Lender or Issuing Bank (including Indemnified Taxes imposed or asserted on or attributable to amounts payable under this Section), as applicable, and any reasonable expenses arising therefrom or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Loan Party reasonably believes that such Taxes were not correctly or legally asserted, such Administrative Agent or such Lender or Issuing Bank, as applicable, will use reasonable efforts to cooperate with such Loan Party to obtain a refund of such Taxes (which shall be repaid to such Loan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447" w:name="page448"/>
    <w:bookmarkEnd w:id="447"/>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Party in accordance with </w:t>
      </w:r>
      <w:r>
        <w:rPr>
          <w:rFonts w:ascii="Times New Roman" w:cs="Times New Roman" w:eastAsia="Times New Roman" w:hAnsi="Times New Roman"/>
          <w:sz w:val="18"/>
          <w:szCs w:val="18"/>
          <w:u w:val="single" w:color="auto"/>
          <w:color w:val="auto"/>
        </w:rPr>
        <w:t>Section 2.17(g)</w:t>
      </w:r>
      <w:r>
        <w:rPr>
          <w:rFonts w:ascii="Times New Roman" w:cs="Times New Roman" w:eastAsia="Times New Roman" w:hAnsi="Times New Roman"/>
          <w:sz w:val="18"/>
          <w:szCs w:val="18"/>
          <w:color w:val="auto"/>
        </w:rPr>
        <w:t xml:space="preserve">) so long as such efforts would not, in the sole determination of such Administrative Agent or such Lender or Issuing Bank, result in any additional out-of-pocket costs or expenses not reimbursed by such Loan Party or be otherwise materially disadvantageous to such Administrative Agent or such Lender or Issuing Bank, as applicable. In connection with any request for reimbursement under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the relevant Lender, Issuing Bank or Administrative Agent, as applicable, shall deliver a certificate to the Borrower setting forth, in reasonable detail, the basis and calculation of the amount of the relevant payment or liability. Notwithstanding anything to the contrary contained in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the Borrower shall not be required to indemnify the Administrative Agent, any Lender or any Issuing Bank pursuant to this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for any incremental interest or penalties resulting from a failure of such Administrative Agent, such Lender or Issuing Bank, as applicable, to notify the Borrower of the relevant possible indemnification claim within 180 days after such Administrative Agent or such Lender or Issuing Bank receives written notice from the applicable taxing authority of the specific tax assessment giving rise to such indemnification claim.</w:t>
      </w:r>
    </w:p>
    <w:p>
      <w:pPr>
        <w:spacing w:after="0" w:line="188" w:lineRule="exact"/>
        <w:rPr>
          <w:sz w:val="20"/>
          <w:szCs w:val="20"/>
          <w:color w:val="auto"/>
        </w:rPr>
      </w:pPr>
    </w:p>
    <w:p>
      <w:pPr>
        <w:ind w:left="700" w:hanging="264"/>
        <w:spacing w:after="0"/>
        <w:tabs>
          <w:tab w:leader="none" w:pos="70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100" w:firstLine="436"/>
        <w:spacing w:after="0" w:line="266" w:lineRule="auto"/>
        <w:tabs>
          <w:tab w:leader="none" w:pos="685"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any payment of Indemnified Taxes by any Loan Party to a Governmental Authority, such Loan Party shall deliver to the Administrative Agent the original or a certified copy of a receipt issued by such Governmental Authority evidencing such payment, a copy of the return reporting such payment or other evidence of such payment that is reasonably satisfactory to the Administrative Agent.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Status of Lenders and Issuing Banks.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4" w:lineRule="auto"/>
        <w:tabs>
          <w:tab w:leader="none" w:pos="1078" w:val="left"/>
        </w:tabs>
        <w:numPr>
          <w:ilvl w:val="1"/>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and any Issuing Bank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as the Borrower or the Administrative Agent may reasonably request to permit such payments to be made without withholding or at a reduced rate of withholding. In addition, any Lender and any Issuing Bank, if reasonably requested by the Borrower or the Administrative Agent, shall deliver such other documentation prescribed by applicable Requirements of Law or reasonably requested by the Borrower or the Administrative Agent as will enable the Borrower or the Administrative Agent to determine whether or not such Lender or Issuing Bank is subject to backup withholding or information reporting requirements. Each Lender and each Issuing Bank hereby authorizes the Administrative Agent to deliver to the Borrower and to any successor Administrative Agent any documentation provided to such Administrative Agent pursuant to this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40" w:firstLine="419"/>
        <w:spacing w:after="0" w:line="266" w:lineRule="auto"/>
        <w:tabs>
          <w:tab w:leader="none" w:pos="1128" w:val="left"/>
        </w:tabs>
        <w:numPr>
          <w:ilvl w:val="1"/>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agrees that if any documentation it previously delivered expires or becomes obsolete or inaccurate in any respect, it shall update such documentation or promptly notify the Borrower and the Administrative Agent in writing of its legal ineligibility to do so.</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3" w:lineRule="exact"/>
        <w:rPr>
          <w:rFonts w:ascii="Times New Roman" w:cs="Times New Roman" w:eastAsia="Times New Roman" w:hAnsi="Times New Roman"/>
          <w:sz w:val="18"/>
          <w:szCs w:val="18"/>
          <w:color w:val="auto"/>
        </w:rPr>
      </w:pPr>
    </w:p>
    <w:p>
      <w:pPr>
        <w:ind w:left="980" w:right="20" w:firstLine="408"/>
        <w:spacing w:after="0" w:line="262" w:lineRule="auto"/>
        <w:tabs>
          <w:tab w:leader="none" w:pos="1676" w:val="left"/>
        </w:tabs>
        <w:numPr>
          <w:ilvl w:val="2"/>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or Issuing Bank that is a U.S. Person (a “</w:t>
      </w:r>
      <w:r>
        <w:rPr>
          <w:rFonts w:ascii="Times New Roman" w:cs="Times New Roman" w:eastAsia="Times New Roman" w:hAnsi="Times New Roman"/>
          <w:sz w:val="18"/>
          <w:szCs w:val="18"/>
          <w:b w:val="1"/>
          <w:bCs w:val="1"/>
          <w:color w:val="auto"/>
        </w:rPr>
        <w:t>U.S. Lender/Issuing Bank</w:t>
      </w:r>
      <w:r>
        <w:rPr>
          <w:rFonts w:ascii="Times New Roman" w:cs="Times New Roman" w:eastAsia="Times New Roman" w:hAnsi="Times New Roman"/>
          <w:sz w:val="18"/>
          <w:szCs w:val="18"/>
          <w:color w:val="auto"/>
        </w:rPr>
        <w:t>”) shall deliver to the Borrower and the Administrative Agent on or about the date on which such U.S. Lender/Issuing Bank becomes a Lender or the Issuing Bank under this Agreement (and from time to time thereafter upon the reasonable request of the Borrower or the Administrative Agent), executed copies of IRS Form W-9 certifying that such Lender is exempt from U.S. federal backup withholding tax;</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448" w:name="page449"/>
    <w:bookmarkEnd w:id="448"/>
    <w:p>
      <w:pPr>
        <w:ind w:left="-20" w:right="100" w:firstLine="408"/>
        <w:spacing w:after="0" w:line="282" w:lineRule="auto"/>
        <w:tabs>
          <w:tab w:leader="none" w:pos="666" w:val="left"/>
        </w:tabs>
        <w:numPr>
          <w:ilvl w:val="0"/>
          <w:numId w:val="5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that is not a U.S. Lender/Issuing Bank (a “</w:t>
      </w:r>
      <w:r>
        <w:rPr>
          <w:rFonts w:ascii="Times New Roman" w:cs="Times New Roman" w:eastAsia="Times New Roman" w:hAnsi="Times New Roman"/>
          <w:sz w:val="17"/>
          <w:szCs w:val="17"/>
          <w:b w:val="1"/>
          <w:bCs w:val="1"/>
          <w:color w:val="auto"/>
        </w:rPr>
        <w:t>Non-U.S. Lender/Issuing Bank</w:t>
      </w:r>
      <w:r>
        <w:rPr>
          <w:rFonts w:ascii="Times New Roman" w:cs="Times New Roman" w:eastAsia="Times New Roman" w:hAnsi="Times New Roman"/>
          <w:sz w:val="17"/>
          <w:szCs w:val="17"/>
          <w:color w:val="auto"/>
        </w:rPr>
        <w:t>”) shall, to the extent it is legally eligible to do so, deliver to the Borrower and the Administrative Agent (in such number of copies as shall be requested by the recipient) on or about the date on which such Non-U.S. Lender/Issuing Bank becomes a Lender or Issuing Bank under this Agreement (and from time to time thereafter upon the reasonable request of the Borrower or the Administrative Agent), whichever of the following is applicable:</w:t>
      </w:r>
    </w:p>
    <w:p>
      <w:pPr>
        <w:spacing w:after="0" w:line="57" w:lineRule="exact"/>
        <w:rPr>
          <w:rFonts w:ascii="Times New Roman" w:cs="Times New Roman" w:eastAsia="Times New Roman" w:hAnsi="Times New Roman"/>
          <w:sz w:val="17"/>
          <w:szCs w:val="17"/>
          <w:color w:val="auto"/>
        </w:rPr>
      </w:pPr>
    </w:p>
    <w:p>
      <w:pPr>
        <w:ind w:left="1420" w:firstLine="343"/>
        <w:spacing w:after="0" w:line="254" w:lineRule="auto"/>
        <w:tabs>
          <w:tab w:leader="none" w:pos="2018"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Lender/Issuing Bank claiming the benefits of an income tax treaty to which the United States is a party (x) with respect to payments of interest under any Loan Document, executed copies of IRS Form W-8BEN or IRS Form W-8BEN-E establishing an exemption from, or reduction of, U.S. federal withholding Tax pursuant to the “interest” article of such tax treaty and (y) with respect to any other applicable payments under any Loan Document, IRS Form W-8BEN or IRS Form W-8BEN-E establishing an exemption from, or reduction of,</w:t>
      </w:r>
    </w:p>
    <w:p>
      <w:pPr>
        <w:spacing w:after="0" w:line="3"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withholding Tax pursuant to the “business profits” or “other income” article of such tax treaty;</w:t>
      </w:r>
    </w:p>
    <w:p>
      <w:pPr>
        <w:spacing w:after="0" w:line="98" w:lineRule="exact"/>
        <w:rPr>
          <w:rFonts w:ascii="Times New Roman" w:cs="Times New Roman" w:eastAsia="Times New Roman" w:hAnsi="Times New Roman"/>
          <w:sz w:val="18"/>
          <w:szCs w:val="18"/>
          <w:color w:val="auto"/>
        </w:rPr>
      </w:pPr>
    </w:p>
    <w:p>
      <w:pPr>
        <w:ind w:left="2020" w:hanging="257"/>
        <w:spacing w:after="0"/>
        <w:tabs>
          <w:tab w:leader="none" w:pos="202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executed copies of IRS Form W-8ECI;</w:t>
      </w:r>
    </w:p>
    <w:p>
      <w:pPr>
        <w:spacing w:after="0" w:line="117" w:lineRule="exact"/>
        <w:rPr>
          <w:rFonts w:ascii="Times New Roman" w:cs="Times New Roman" w:eastAsia="Times New Roman" w:hAnsi="Times New Roman"/>
          <w:sz w:val="18"/>
          <w:szCs w:val="18"/>
          <w:color w:val="auto"/>
        </w:rPr>
      </w:pPr>
    </w:p>
    <w:p>
      <w:pPr>
        <w:ind w:left="1420" w:right="40" w:firstLine="343"/>
        <w:spacing w:after="0" w:line="255" w:lineRule="auto"/>
        <w:tabs>
          <w:tab w:leader="none" w:pos="2018"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Non-U.S. Lender/Issuing Bank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L-1</w:t>
      </w:r>
      <w:r>
        <w:rPr>
          <w:rFonts w:ascii="Times New Roman" w:cs="Times New Roman" w:eastAsia="Times New Roman" w:hAnsi="Times New Roman"/>
          <w:sz w:val="18"/>
          <w:szCs w:val="18"/>
          <w:color w:val="auto"/>
        </w:rPr>
        <w:t xml:space="preserve"> to the effect that such Foreign Lender is not a “bank” within the meaning of Section 881(c)(3)(A) of the Code, a “10 percent shareholder” of the Borrower within the meaning of Section 871(h)(3)(B) of the Code, or a “controlled foreign corporation” related to the Borrower as described in Section 881(c)(3)(C) of the Code and no payments in connection with the Agreement are effectively connected with such Non-U.S. Lender/Issuing Bank’s conduct of a U.S. trade or business (a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and (y) executed copies of IRS Form W-8BEN or IRS Form W-8BEN-E; or</w:t>
      </w:r>
    </w:p>
    <w:p>
      <w:pPr>
        <w:spacing w:after="0" w:line="80" w:lineRule="exact"/>
        <w:rPr>
          <w:rFonts w:ascii="Times New Roman" w:cs="Times New Roman" w:eastAsia="Times New Roman" w:hAnsi="Times New Roman"/>
          <w:sz w:val="18"/>
          <w:szCs w:val="18"/>
          <w:color w:val="auto"/>
        </w:rPr>
      </w:pPr>
    </w:p>
    <w:p>
      <w:pPr>
        <w:ind w:left="2020" w:hanging="257"/>
        <w:spacing w:after="0"/>
        <w:tabs>
          <w:tab w:leader="none" w:pos="2020" w:val="left"/>
        </w:tabs>
        <w:numPr>
          <w:ilvl w:val="1"/>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Non-U.S. Lender/Issuing Bank is not the beneficial owner, executed copies of IRS</w:t>
      </w:r>
    </w:p>
    <w:p>
      <w:pPr>
        <w:spacing w:after="0" w:line="27" w:lineRule="exact"/>
        <w:rPr>
          <w:sz w:val="20"/>
          <w:szCs w:val="20"/>
          <w:color w:val="auto"/>
        </w:rPr>
      </w:pPr>
    </w:p>
    <w:p>
      <w:pPr>
        <w:ind w:left="1420" w:right="20"/>
        <w:spacing w:after="0" w:line="252" w:lineRule="auto"/>
        <w:rPr>
          <w:sz w:val="20"/>
          <w:szCs w:val="20"/>
          <w:color w:val="auto"/>
        </w:rPr>
      </w:pPr>
      <w:r>
        <w:rPr>
          <w:rFonts w:ascii="Times New Roman" w:cs="Times New Roman" w:eastAsia="Times New Roman" w:hAnsi="Times New Roman"/>
          <w:sz w:val="18"/>
          <w:szCs w:val="18"/>
          <w:color w:val="auto"/>
        </w:rPr>
        <w:t xml:space="preserve">Form W-8IMY, accompanied by IRS Form W-8ECI, IRS Form W-8BEN, IRS Form W-8BEN-E, a U.S. Tax Compliance Certificate substantially in the form of </w:t>
      </w:r>
      <w:r>
        <w:rPr>
          <w:rFonts w:ascii="Times New Roman" w:cs="Times New Roman" w:eastAsia="Times New Roman" w:hAnsi="Times New Roman"/>
          <w:sz w:val="18"/>
          <w:szCs w:val="18"/>
          <w:u w:val="single" w:color="auto"/>
          <w:color w:val="auto"/>
        </w:rPr>
        <w:t>Exhibit L-2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L-3</w:t>
      </w:r>
      <w:r>
        <w:rPr>
          <w:rFonts w:ascii="Times New Roman" w:cs="Times New Roman" w:eastAsia="Times New Roman" w:hAnsi="Times New Roman"/>
          <w:sz w:val="18"/>
          <w:szCs w:val="18"/>
          <w:color w:val="auto"/>
        </w:rPr>
        <w:t xml:space="preserve">, IRS Form W-9, and/or other certification documents from each beneficial owner,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Non-U.S. Lender/Issuing Bank is a partnership (and not a participating Lender) and one or more direct or indirect partners of such Non-U.S. Lender/Issuing Bank are claiming the portfolio interest exemption, such Non-U.S. Lender/Issuing Bank may provide a U.S. Tax Compliance Certificate substantially in the form of </w:t>
      </w:r>
      <w:r>
        <w:rPr>
          <w:rFonts w:ascii="Times New Roman" w:cs="Times New Roman" w:eastAsia="Times New Roman" w:hAnsi="Times New Roman"/>
          <w:sz w:val="18"/>
          <w:szCs w:val="18"/>
          <w:u w:val="single" w:color="auto"/>
          <w:color w:val="auto"/>
        </w:rPr>
        <w:t>Exhibit L-4</w:t>
      </w:r>
      <w:r>
        <w:rPr>
          <w:rFonts w:ascii="Times New Roman" w:cs="Times New Roman" w:eastAsia="Times New Roman" w:hAnsi="Times New Roman"/>
          <w:sz w:val="18"/>
          <w:szCs w:val="18"/>
          <w:color w:val="auto"/>
        </w:rPr>
        <w:t xml:space="preserve"> on behalf of each such direct and indirect partner;</w:t>
      </w:r>
    </w:p>
    <w:p>
      <w:pPr>
        <w:spacing w:after="0" w:line="1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9980"/>
          </w:cols>
          <w:pgMar w:left="1440" w:top="266" w:right="479" w:bottom="1440" w:gutter="0" w:footer="0" w:header="0"/>
        </w:sectPr>
      </w:pPr>
    </w:p>
    <w:bookmarkStart w:id="449" w:name="page450"/>
    <w:bookmarkEnd w:id="449"/>
    <w:p>
      <w:pPr>
        <w:ind w:left="1420" w:right="20" w:firstLine="391"/>
        <w:spacing w:after="0" w:line="255" w:lineRule="auto"/>
        <w:tabs>
          <w:tab w:leader="none" w:pos="2088"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or Issuing Bank shall, to the extent it is legally eligible to do so, deliver to the Borrower and the Administrative Agent (in such number of copies as shall be requested by the recipient) on or about the date on which such Lender or Issuing Bank becomes a Lender or Issuing Bank under this Agreement (and from time to time thereafter upon the reasonable request of the Borrower or the Administrative Agent), executed copies of any other form prescribed by applicable Requirements of Law as a basis for claiming exemption from or a reduction in U.S. federal withholding Tax, duly completed, together with such supplementary documentation as may be prescribed by applicable Requirements of Law to permit the Borrower or the Administrative Agent to determine the withholding or deduction required to be made; and</w:t>
      </w:r>
    </w:p>
    <w:p>
      <w:pPr>
        <w:spacing w:after="0" w:line="80" w:lineRule="exact"/>
        <w:rPr>
          <w:rFonts w:ascii="Times New Roman" w:cs="Times New Roman" w:eastAsia="Times New Roman" w:hAnsi="Times New Roman"/>
          <w:sz w:val="18"/>
          <w:szCs w:val="18"/>
          <w:color w:val="auto"/>
        </w:rPr>
      </w:pPr>
    </w:p>
    <w:p>
      <w:pPr>
        <w:ind w:left="1420" w:firstLine="391"/>
        <w:spacing w:after="0" w:line="253" w:lineRule="auto"/>
        <w:tabs>
          <w:tab w:leader="none" w:pos="2098" w:val="left"/>
        </w:tabs>
        <w:numPr>
          <w:ilvl w:val="2"/>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or Issuing Bank under any Loan Document would be subject to U.S. federal withholding Tax imposed by FATCA if such Lender or Issuing Bank were to fail to comply with the applicable reporting requirements of FATCA (including those contained in Section 1471(b) or 1472(b) of the Code, as applicable), such Lender or Issuing Bank shall deliver to the Borrower and the Administrative Agent at the time or times prescribed by law and at such time or times reasonably requested by the Borrower or the Administrative Agent such documentation prescribed by applicable Requirements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Lender or Issuing Bank has complied with such Lender’s or Issuing Bank’s obligations under FATCA or to determine the amount, if any, to deduct and withhold from such payment. Solely for purposes of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“FATCA” shall include any amendments made to FATCA after the date of this Agreement.</w:t>
      </w:r>
    </w:p>
    <w:p>
      <w:pPr>
        <w:spacing w:after="0" w:line="86"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68" w:val="left"/>
        </w:tabs>
        <w:numPr>
          <w:ilvl w:val="1"/>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a Lender or Issuing Bank shall not be required to deliver any documentation under this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to the extent it is legally ineligible to deliver.</w:t>
      </w:r>
    </w:p>
    <w:p>
      <w:pPr>
        <w:spacing w:after="0" w:line="161"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5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party determines, in its sole discretion exercised in good faith, that it has received a refund of any Indemnified Taxes (whether received in cash or applied by the taxing authority granting the refund to offset other Taxes otherwise owed) as to which it has been indemnified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it shall pay the indemnifying party an amount equal to such refund (but only to the extent of indemnity payments made, or additional amounts paid, by such indemnifying party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with respect to the Indemnified Taxes giving rise to such refund), net of all out-of-pocket expenses (including any Taxes imposed with respect to such refund) of such indemnified party,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indemnifying party, upon the request of the indemnified party, agrees to repay to such indemnified party the amount paid over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the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in no event will the indemnified party be required to pay any amount to any indemnifying party pursuant to this </w:t>
      </w:r>
      <w:r>
        <w:rPr>
          <w:rFonts w:ascii="Times New Roman" w:cs="Times New Roman" w:eastAsia="Times New Roman" w:hAnsi="Times New Roman"/>
          <w:sz w:val="18"/>
          <w:szCs w:val="18"/>
          <w:u w:val="single" w:color="auto"/>
          <w:color w:val="auto"/>
        </w:rPr>
        <w:t>paragraph (g)</w:t>
      </w:r>
      <w:r>
        <w:rPr>
          <w:rFonts w:ascii="Times New Roman" w:cs="Times New Roman" w:eastAsia="Times New Roman" w:hAnsi="Times New Roman"/>
          <w:sz w:val="18"/>
          <w:szCs w:val="18"/>
          <w:color w:val="auto"/>
        </w:rPr>
        <w:t xml:space="preserve"> to the extent that the payment thereof would place the indemnified party in a less favorable net after-Tax position than the position that the indemnified party would have been in if the Tax subject to indemnification had not been deducted, withheld or otherwise imposed and the indemnification payments or additional amounts giving rise to such refund had never been paid. This paragraph shall not be construed to require the indemnified party to make available its Tax returns (or any other information relating to its Taxes which it deems confidential) to the indemnifying party or any other Person.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0"/>
          </w:cols>
          <w:pgMar w:left="440" w:top="270" w:right="459" w:bottom="1440" w:gutter="0" w:footer="0" w:header="0"/>
        </w:sectPr>
      </w:pPr>
    </w:p>
    <w:bookmarkStart w:id="450" w:name="page451"/>
    <w:bookmarkEnd w:id="450"/>
    <w:p>
      <w:pPr>
        <w:ind w:right="60" w:firstLine="436"/>
        <w:spacing w:after="0" w:line="266" w:lineRule="auto"/>
        <w:tabs>
          <w:tab w:leader="none" w:pos="695"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party’s obligations under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any Lender or Issuing Bank, the termination of the Commitments and the repayment, satisfaction or discharge of all obligations under any Loan Document.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term “Requirements of Law” includes FATCA.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Payments Generally; Allocation of Proceeds; Sharing of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otherwise specified, the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otherwise) prior to the time expressed hereunder or under such Loan Document (or, if no time is expressly required, by 2:00 p.m.) on the date when due, in immediately available funds, without set-off (except as otherwise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designated to the Borrower by the Administrative Agent, except payments to be made directly to the applicable Issuing Bank or the Swingline Lender as expressly provided herein and except that payments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Each Lender agrees that in computing such Lender’s portion of any Borrowing to be made hereunder, the Administrative Agent may, in its discretion, round such Lender’s percentage of such Borrowing to the next higher or lower whole dollar amount. Except as set forth in any amendment entered into pursuant to </w:t>
      </w:r>
      <w:r>
        <w:rPr>
          <w:rFonts w:ascii="Times New Roman" w:cs="Times New Roman" w:eastAsia="Times New Roman" w:hAnsi="Times New Roman"/>
          <w:sz w:val="18"/>
          <w:szCs w:val="18"/>
          <w:u w:val="single" w:color="auto"/>
          <w:color w:val="auto"/>
        </w:rPr>
        <w:t>Section 10.02(b)(ii)(E)</w:t>
      </w:r>
      <w:r>
        <w:rPr>
          <w:rFonts w:ascii="Times New Roman" w:cs="Times New Roman" w:eastAsia="Times New Roman" w:hAnsi="Times New Roman"/>
          <w:sz w:val="18"/>
          <w:szCs w:val="18"/>
          <w:color w:val="auto"/>
        </w:rPr>
        <w:t xml:space="preserve"> with respect to the making of Revolving Loans or Letters of Credit denominated in a newly established Alternate Currency, all payments of any Loan or LC Disbursement (including accrued interest) hereunder shall be made in the currency in which such Loan or LC Disbursement is denominated or the Dollar Equivalent thereof, and all other payments under each Loan Document shall be made in Dollars, in each case, except as the relevant recipient may otherwise agree. If for any reason an applicable Borrower is prohibited by Requirements of Law from making any required payment hereunder in any Alternate Currency, such Borrower shall make such payment in Dollars in an amount equal to the Dollar Equivalent of such Alternate Currency amount.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90"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in all respects to the provisions of any applicable Acceptable Intercreditor Agreement, all proceeds of Collateral received by the Collateral Agent at any time when an Event of Default exists and all or any portion of the Loans have been accelerated hereunder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upon election by the Collateral Agent or at the direction of the Required Lenders,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on a pro rata basis, to pay any fees, indemnities or expense reimbursements then due to the Collateral Agent, the Administrative Agent or any Issuing Bank from the Borrower constituting Loan Document Obligations,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on a pro rata basis, to pay any fees or expense reimbursements then due to the Lenders from the Borrower constituting Loan Document Obligations,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to pay interest due and payable in respect of any Loans, on a pro rata basis,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prepay principal on the Loans and unreimbursed LC Disbursements, all Banking Services Obligations and all Secured Hedging Obligations on a pro rata basis among the Secured Parties,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pay an amount to the Administrative Agent equal to 100% of the LC Exposure (minus the amount then on deposit in the LC Collateral Account) on such date, to be held in the LC Collateral Account as Cash collateral for such Loan Document Obligations, 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451" w:name="page452"/>
    <w:bookmarkEnd w:id="451"/>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pro rata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Letter of Credit expires undrawn, then any Cash collateral held to secure the related LC Exposure shall be applied in accordance with this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beginning with </w:t>
      </w:r>
      <w:r>
        <w:rPr>
          <w:rFonts w:ascii="Times New Roman" w:cs="Times New Roman" w:eastAsia="Times New Roman" w:hAnsi="Times New Roman"/>
          <w:sz w:val="18"/>
          <w:szCs w:val="18"/>
          <w:u w:val="single" w:color="auto"/>
          <w:color w:val="auto"/>
        </w:rPr>
        <w:t>clause first</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other Obligation due to the Administrative Agent, any Lender or any other Secured Party by the Borrower on a pro rata basis,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as provided for under any applicable Acceptable Intercreditor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to the Borrower or as the Borrower shall direct.</w:t>
      </w:r>
    </w:p>
    <w:p>
      <w:pPr>
        <w:spacing w:after="0" w:line="180" w:lineRule="exact"/>
        <w:rPr>
          <w:sz w:val="20"/>
          <w:szCs w:val="20"/>
          <w:color w:val="auto"/>
        </w:rPr>
      </w:pPr>
    </w:p>
    <w:p>
      <w:pPr>
        <w:ind w:firstLine="436"/>
        <w:spacing w:after="0" w:line="252" w:lineRule="auto"/>
        <w:tabs>
          <w:tab w:leader="none" w:pos="685"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obtains payment (whether voluntary, involuntary, through the exercise of any right of set-off or otherwise) in respect of any principal of or interest on any of its Loans of any Class or participations in LC Disbursements or Swingline Loans held by it resulting in such Lender receiving payment of a greater proportion of the aggregate amount of its Loans of such Class and participations in LC Disbursements or Swingline Loans and accrued interest thereon than the proportion received by any other Lender with Loans of such Class and participations in LC Disbursements or Swingline Loans, then the Lender receiving such greater proportion shall purchase (for Cash at face value) participations in the Loans and sub-participations in LC Disbursements or Swingline Loans of other Lenders of such Class at such time outstanding to the extent necessary so that the benefit of all such payments shall be shared by the Lenders of such Class ratably in accordance with the aggregate amount of principal of and accrued interest on their respective Loans of such Class and participations in LC Disbursements or Swingline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apply to (x) any payment made by the Borrower pursuant to and in accordance with the express terms of this Agreement or (y) any payment obtained by any Lender as consideration for the assignment of or sale of a participation in any of its Loans to any permitted assignee or participant and any payment made or deemed made in connection with </w:t>
      </w:r>
      <w:r>
        <w:rPr>
          <w:rFonts w:ascii="Times New Roman" w:cs="Times New Roman" w:eastAsia="Times New Roman" w:hAnsi="Times New Roman"/>
          <w:sz w:val="18"/>
          <w:szCs w:val="18"/>
          <w:u w:val="single" w:color="auto"/>
          <w:color w:val="auto"/>
        </w:rPr>
        <w:t>Sections 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The Borrower consents to the foregoing and agrees, to the extent it may effectively do so under applicable Requirements of Law, that any Lender acquiring a participation pursuant to the foregoing arrangements may exercise against the Borrower rights of set-off and counterclaim with respect to such participation as fully as if such Lender were a direct creditor of such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Loan Document Obligations purchased to the same extent as though the purchasing Lender were the original owner of the Loan Document Obligations purchased.</w:t>
      </w:r>
    </w:p>
    <w:p>
      <w:pPr>
        <w:spacing w:after="0" w:line="189"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has received notice from the Borrower prior to the date on which any payment is due to the Administrative Agent for the account of any Lender or any Issuing Bank hereunder that such Borrower will not make such payment, the Administrative Agent may assume that such Borrower has made such payment on such date in accordance herewith and may, in reliance upon such assumption, distribute to the applicable Lender or Issuing Bank the amount due. In such event, if such Borrower has not in fact made such payment, then each Lender or the applicable Issuing Bank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the Federal Funds Effective Rate (or, with respect to any such amounts denominated in an Alternate Currency, the Administrative Agent’s customary rate for interbank advances in such Alternate Currency) and a rate determined by the Administrative Agent in accordance with banking industry rules on interbank compensation.</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20"/>
          </w:cols>
          <w:pgMar w:left="440" w:top="270" w:right="539" w:bottom="1440" w:gutter="0" w:footer="0" w:header="0"/>
        </w:sectPr>
      </w:pPr>
    </w:p>
    <w:bookmarkStart w:id="452" w:name="page453"/>
    <w:bookmarkEnd w:id="452"/>
    <w:p>
      <w:pPr>
        <w:ind w:left="-20" w:right="60" w:firstLine="436"/>
        <w:spacing w:after="0" w:line="266" w:lineRule="auto"/>
        <w:tabs>
          <w:tab w:leader="none" w:pos="665"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any Lender fails to make any payment required to be made by it pursuant to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2.18(d)</w:t>
      </w:r>
      <w:r>
        <w:rPr>
          <w:rFonts w:ascii="Times New Roman" w:cs="Times New Roman" w:eastAsia="Times New Roman" w:hAnsi="Times New Roman"/>
          <w:sz w:val="18"/>
          <w:szCs w:val="18"/>
          <w:color w:val="auto"/>
        </w:rPr>
        <w:t>, then the Administrative Agent may, in its discretion (notwithstanding any contrary provision hereof), apply any amounts thereafter received by the Administrative Agent for the account of such Lender to satisfy such Lender’s obligations under such Sections until all such unsatisfied obligations are fully paid.</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20" w:right="20" w:firstLine="436"/>
        <w:spacing w:after="0" w:line="253" w:lineRule="auto"/>
        <w:tabs>
          <w:tab w:leader="none" w:pos="665"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such Lender determines it can no longer make or maintain Eurocurrency Rate Loans, Alternative Currency Daily Rate Loans, Term CORRA Loans or Daily Simple CORRA Loans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or any Loan Party is required to pay any additional amount to or indemnify any Lender, Issuing Bank or any Governmental Authority for the account of any Lender or Issuing Bank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then such Lender or Issuing Bank shall use reasonable efforts to designate a different lending office for funding or booking its Loans hereunder or its participation in any Letter of Credit affected by such event, or to assign its rights and obligations hereunder to another of its offices, branches or affiliates, if, in the reasonable judgment of such Lender or Issuing Bank, such designation or assignment (i) would eliminate or reduce amounts payable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as applicable, in the future or mitigate the impact of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as the case may be, and (ii) would not subject such Lender or Issuing Bank to any material unreimbursed out-of-pocket cost or expense and would not otherwise be disadvantageous to such Lender or Issuing Bank in any material respect. The Borrower hereby agrees to pay all reasonable out-of-pocket costs and expenses incurred by any Lender or Issuing Bank in connection with any such designation or assignment.</w:t>
      </w:r>
    </w:p>
    <w:p>
      <w:pPr>
        <w:spacing w:after="0" w:line="194" w:lineRule="exact"/>
        <w:rPr>
          <w:rFonts w:ascii="Times New Roman" w:cs="Times New Roman" w:eastAsia="Times New Roman" w:hAnsi="Times New Roman"/>
          <w:sz w:val="18"/>
          <w:szCs w:val="18"/>
          <w:color w:val="auto"/>
        </w:rPr>
      </w:pPr>
    </w:p>
    <w:p>
      <w:pPr>
        <w:ind w:left="-20" w:firstLine="436"/>
        <w:spacing w:after="0" w:line="252" w:lineRule="auto"/>
        <w:tabs>
          <w:tab w:leader="none" w:pos="675"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 any Lender requests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such Lender determines it can no longer make or maintain Eurocurrency Rate Loans, Alternative Currency Daily Rate Loan, Term CORRA Loans or Daily Simple CORRA Loans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(ii) any Loan Party is required to pay any additional amount to or indemnify any Lender or any Governmental Authority for the account of any Lender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(iii) any Lender is a Defaulting Lender or (iv) in connection with any proposed amendment, waiver or consent requiring the consent of “each Lender”, “each Revolving Lender” or “each Lender directly affected thereby” (or any other Class or group of Lenders other than the Required Lenders) with respect to which Required Lender or Required Revolving Lender consent (or the consent of Lenders holding loans or commitments of such Class or lesser group representing more than 50% of the sum of the total loans and unused commitments of such Class or lesser group at such time) has been obtained, as applicable, any Lender is a non-consenting Lender (each such Lender,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then the Borrower may, at its sole expense and effort, upon notice to such Lender and the Administrative Agent, (x) terminate the applicable Commitments and/or Additional Commitments of such Lender, and procure the repayment of all Loan Document Obligations of the Borrower owing to such Lender relating to the applicable Loans and participations held by such Lender as of such termination date under one or more Credit Facilities or Additional Credit Facilities as the Borrower may elect or (y) replace such Lender by requiring such Lender to assign and delegate (and such Lender shall be obligated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all of its interests, rights and obligations under this Agreement to an Eligible Assignee that shall assume such obligations (which Eligible Assignee may be another Lender, if any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 shall have received payment of an amount equal to the outstanding principal amount of its Loans and, if applicable, participations in LC Disbursements and Swingline Loans, in each case of such Class of Loans, Commitments and/or Additional Commitments, accrued interest thereon, accrued fees and all other amounts payable to it hereunder with respect to such Class of Loans, Commitments and/or Additional Commitments, (B) in the case of any assignment resulting from a claim for compensation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such assignment will result in a reduction in such compensation or</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960"/>
          </w:cols>
          <w:pgMar w:left="460" w:top="270" w:right="479" w:bottom="1440" w:gutter="0" w:footer="0" w:header="0"/>
        </w:sectPr>
      </w:pPr>
    </w:p>
    <w:bookmarkStart w:id="453" w:name="page454"/>
    <w:bookmarkEnd w:id="453"/>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payments, (C) such assignment does not conflict with applicable law and (D) in the case of any assignment of Loans held by a Non-Consenting Lender, such Eligible Assignee shall have agreed to the applicable amendment, waiver or consent. No action by or consent of a Defaulting Lender or a Non-Consenting Lender shall be necessary in connection with such assignment, which shall be immediately and automatically effective upon payment of the amounts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immediately preceding sentence. No Lender (other than a Defaulting Lender) shall be required to make any such assignment and delegation, and the Borrower may not repay the Loan Document Obligations of such Lender and the Borrower may not terminate its Commitments or Additional Commitments, if, prior thereto, as a result of a waiver by such Lender or otherwise, the circumstances entitling the Borrower to require such assignment and delegation cease to apply. Each Lender agrees that if it is replaced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it shall execute and deliver to the Administrative Agent an Assignment and Assumption to evidence such sale and purchase and shall deliver to the Administrative Agent any Promissory Note (if the assigning Lender’s Loans are evidenced by one or more Promissory Notes) subject to such Assignment and Assumption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replaced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to execute an Assignment and Assumption or deliver any such Promissory Note shall not render such sale and purchase (and the corresponding assignment) invalid), such assignment shall be recorded in the Register and any such Promissory Note shall be deemed cancelled. Each Lender hereby irrevocably appoints the Administrative Agent (such appointment being coupled with an interest) as such Lender’s attorney-in-fact, with full authority in the place and stead of such Lender and in the name of such Lender, from time to time in the Administrative Agent’s discretion, with prior written notice to such Lender, to take any action and to execute any such Assignment and Assumption or other instrument that the Administrative Agent may deem reasonably necessary to carry out the provisions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Change in Law has made it unlawful, or that any Governmental Authority has asserted after the Closing Date that it is unlawful, for such Lender or its applicable lending office to make, maintain or fund Loans whose interest is determined by reference to the Eurocurrency Rate, Alternative Currency Daily Rate, Term CORRA or Daily Simple CORRA (whether denominated in Dollars or an Alternate Currency), or to determine or charge interest rates based upon the Eurocurrency Rate, Alternative Currency Daily Rate, Term CORRA or Daily Simple CORRA, or any Governmental Authority has imposed material restrictions on the authority of such Lender to purchase or sell, or to take deposits of, Dollars or an Alternate Currency in the applicable interbank market, then, on notice thereof by such Lender to the Borrower through the Administrative Agent, (i) any obligation of such Lender to (A) make or continue Eurocurrency Rate Loans, Alternative Currency Daily Rate Loans, Term CORRA Loans or Daily Simple CORRA Loans in Dollars or such Alternate Currency, (B) in the case of Dollars, to convert ABR Loans to Eurocurrency Rate Loans or (C) in the case of Canadian Dollars, to convert Canadian Prime Rate Loans to Term CORRA Loans or Daily Simple CORRA Loans, shall be suspended and (ii) if such notice asserts the illegality of such Lender making or maintaining ABR Loans denominated in Dollars the interest rate on which is determined by reference to the Eurocurrency Rate component of the Alternate Base Rate, the interest rate on which ABR Loans of such Lender, shall, if necessary to avoid such illegality, be determined by the Administrative Agent without reference to the Eurocurrency Rate component of the Alternate Base Rate, in each case until such Lender notifies the Administrative Agent and the Borrower that the circumstances giving rise to such determination no longer exist (which notice such Lender agrees to give promptly). Upon receipt of such notice, (x) the Borrower shall, upon demand from such Lender (with a copy to the Administrative Agent), prepay or (A) if applicable and such Loans are denominated in Dollars, convert all of such Lender’s Eurocurrency Rate Loans to ABR Loans (the interest rate on which ABR Loans of such Lender shall, if necessary to avoid such illegality, be determined by the Administrative Agent without reference to the Eurocurrency Rate component of the Alternate Base Rate) or (B) if applicable and such Loans are denominated in Canadian Dollars, convert all of such Lender’s CORRA Loans to Canadian Prime Rate Loans, in each case, either (1) on the last day of the Interest Period therefor, if such Lender may lawfully continue to maintain such Eurocurrency Rate Loans, Term CORRA Loans or Daily Simple CORRA</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980"/>
          </w:cols>
          <w:pgMar w:left="440" w:top="270" w:right="479" w:bottom="1440" w:gutter="0" w:footer="0" w:header="0"/>
        </w:sectPr>
      </w:pPr>
    </w:p>
    <w:bookmarkStart w:id="454" w:name="page455"/>
    <w:bookmarkEnd w:id="45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Loans, as applicable, to such day, or (2) immediately, in the case of any Alternative Currency Daily Rate Loans or if such Lender may not lawfully continue to maintain such Eurocurrency Rate Loans, Term CORRA Loans or Daily Simple CORRA Loans, as applicable (in which case the Borrower shall not be required to make payments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connection with such payment), (y) if such notice asserts the illegality of such Lender determining or charging interest rates based upon the Eurocurrency Rate the Administrative Agent shall during the period of such suspension compute the Alternate Base Rate applicable to such Lender without reference to the Eurocurrency Rate component thereof until the Administrative Agent is advised in writing by such Lender that it is no longer illegal for such Lender to determine or charge interest rates based upon the Eurocurrency Rate and (z) if such notice asserts the illegality of such Lender determining or charging interest rates based upon CORRA, Term CORRA or Daily Simple CORRA, the Administrative Agent shall during the period of such suspension compute the Canadian Prime Rate applicable to such Lender without reference to the CORRA component thereof until the Administrative Agent is advised in writing by such Lender that it is no longer illegal for such Lender to determine or charge interest rates based upon CORRA, Term CORRA or Daily Simple CORRA, as applicable. Upon any such prepayment or conversion, the Borrower shall also pay accrued interest on the amount so prepaid or converted. Each Lender agrees to designate a different lending office if such designation will avoid the need for such notice and will not, in the determination of such Lender, otherwise be materially disadvantageous to such Lender.</w:t>
      </w:r>
    </w:p>
    <w:p>
      <w:pPr>
        <w:spacing w:after="0" w:line="18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54" w:lineRule="exact"/>
        <w:rPr>
          <w:sz w:val="20"/>
          <w:szCs w:val="20"/>
          <w:color w:val="auto"/>
        </w:rPr>
      </w:pPr>
    </w:p>
    <w:p>
      <w:pPr>
        <w:ind w:right="160" w:firstLine="436"/>
        <w:spacing w:after="0" w:line="266" w:lineRule="auto"/>
        <w:tabs>
          <w:tab w:leader="none" w:pos="685"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Fees shall cease to accrue on the otherwise applicable portion of any Commitment of such Defaulting Lender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clause (d)(iv)</w:t>
      </w:r>
      <w:r>
        <w:rPr>
          <w:rFonts w:ascii="Times New Roman" w:cs="Times New Roman" w:eastAsia="Times New Roman" w:hAnsi="Times New Roman"/>
          <w:sz w:val="18"/>
          <w:szCs w:val="18"/>
          <w:color w:val="auto"/>
        </w:rPr>
        <w:t xml:space="preserve"> below, on the participation of such Defaulting Lender in Letters of Credit pursuant to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and pursuant to any other provisions of this Agreement or other Loan Document.</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Commitments, Loans and LC Exposure of such Defaulting Lender shall not be included in determining whether all Lenders, each affected Lender, the Required Lenders, the Required Revolving Lenders or such other number of Lenders as may be required hereby or under any other Loan Document have taken or may take any action hereunder (including any consent to any waiver, amendment or modification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waiver, amendment or modification requiring the consent of all Lenders or each affected Lender which affects such Defaulting Lender disproportionately and adversely relative to other affected Lenders shall require the consent of such Defaulting Lender.</w:t>
      </w:r>
    </w:p>
    <w:p>
      <w:pPr>
        <w:spacing w:after="0" w:line="183" w:lineRule="exact"/>
        <w:rPr>
          <w:rFonts w:ascii="Times New Roman" w:cs="Times New Roman" w:eastAsia="Times New Roman" w:hAnsi="Times New Roman"/>
          <w:sz w:val="18"/>
          <w:szCs w:val="18"/>
          <w:color w:val="auto"/>
        </w:rPr>
      </w:pPr>
    </w:p>
    <w:p>
      <w:pPr>
        <w:ind w:right="120" w:firstLine="436"/>
        <w:spacing w:after="0" w:line="253" w:lineRule="auto"/>
        <w:tabs>
          <w:tab w:leader="none" w:pos="685"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any Defaulting Lender (whether voluntary or mandatory, at maturity,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shall be applied at such time or times as may be determined by the Administrative Agent and, where relevant, the Borrower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such Defaulting Lender to the Collateral Agent and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such Defaulting Lender to any applicable Issuing Bank and/or Swingline Lender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reasonably determined by the Administrative Agent or reasonably requested by the applicable Issuing Bank, to be held as Cash collateral for future funding obligations of such Defaulting Lender in respect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so long as no Default or Event of Default exists, as the Borrower may request, to the funding of any Loan in respect of which such Defaulting Lender has failed to fund its portion thereof as required by this Agreement;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if so determined by the Administrative Agent or the Borrower, to be</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980"/>
          </w:cols>
          <w:pgMar w:left="440" w:top="270" w:right="479" w:bottom="1440" w:gutter="0" w:footer="0" w:header="0"/>
        </w:sectPr>
      </w:pPr>
    </w:p>
    <w:bookmarkStart w:id="455" w:name="page456"/>
    <w:bookmarkEnd w:id="45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held in a deposit account and released in order to satisfy obligations of such Defaulting Lender to fund Loans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non-Defaulting Lenders, Issuing Banks or Swingline Lenders as a result of any judgment of a court of competent jurisdiction obtained by any non-Defaulting Lender, any Issuing Bank or the Swingline Lender against such Defaulting Lender as a result of such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(x) such payment is a payment of the principal amount of any Loan or LC Exposure in respect of which such Defaulting Lender has not fully funded its appropriate share and (y) such Loan or LC Exposure was made or created, as applicable, at a time when the conditions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were satisfied or waived, such payment shall be applied solely to pay the Loans of, and LC Exposure owed to, all non-Defaulting Lenders on a pro rata basis prior to being applied to the payment of any Loans of, or LC Exposure owed to, such Defaulting Lender. Any payments, prepayments or other amounts paid or payable to any Defaulting Lender that are applied (or held) to pay amounts owed by any Defaulting Lender or to post Cash collateral pursuant to this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190" w:lineRule="exact"/>
        <w:rPr>
          <w:sz w:val="20"/>
          <w:szCs w:val="20"/>
          <w:color w:val="auto"/>
        </w:rPr>
      </w:pPr>
    </w:p>
    <w:p>
      <w:pPr>
        <w:ind w:left="700" w:hanging="264"/>
        <w:spacing w:after="0"/>
        <w:tabs>
          <w:tab w:leader="none" w:pos="70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Swingline Loans or LC Exposure exists at the time any Revolving Lender becomes a Defaulting Lender then:</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56" w:lineRule="auto"/>
        <w:tabs>
          <w:tab w:leader="none" w:pos="1078"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part of such Swingline Loans and LC Exposure shall be reallocated among the non-Defaulting Lenders that are Revolving Lenders in accordance with their respective Applicable Percentages but only to the extent the sum of all non-Defaulting Lenders’ Revolving Credit Exposures does not exceed the total of all non-Defaulting Lenders’ that are Revolving Lenders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such Lender having become a Defaulting Lender, including any claim of a non-Defaulting Lender as a result of such non-Defaulting Lender’s increased exposure following such reallocation;</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3" w:lineRule="auto"/>
        <w:tabs>
          <w:tab w:leader="none" w:pos="1128"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reallocation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cannot, or can only partially, be effected, the Borrower shall, without prejudice to any other right or remedy available to it hereunder or under applicable Requirements of Law, within two Business Days following notice by the Administrative Agent, Cash collateralize 100% of such Defaulting Lender’s LC Exposure and any obligations of such Defaulting Lender to fund participations in any Swingline Loan (after giving effect to any partial reallocation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and any Cash collateral provided by such Defaulting Lender or pursuant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above) or make other arrangements reasonably satisfactory to the Administrative Agent and to the applicable Issuing Bank and/or Swingline Lender with respect to such LC Exposure and/or Swingline Loans and obligations to fund participations. Cash collateral (or the appropriate portion thereof) provided to reduce LC Exposure or other obligations shall be released promptly following (A) the elimination of the applicable LC Exposure or other obligations giving rise thereto (including by the termination of the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(B) the Administrative Agent’s good faith determination that there exists excess Cash collateral (including as a result of any subsequent reallocation of Swingline Loans and LC Exposure among non-Defaulting Lenders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00"/>
          </w:cols>
          <w:pgMar w:left="440" w:top="270" w:right="459" w:bottom="1440" w:gutter="0" w:footer="0" w:header="0"/>
        </w:sectPr>
      </w:pPr>
    </w:p>
    <w:bookmarkStart w:id="456" w:name="page457"/>
    <w:bookmarkEnd w:id="456"/>
    <w:p>
      <w:pPr>
        <w:ind w:left="440" w:right="20" w:firstLine="419"/>
        <w:spacing w:after="0" w:line="258" w:lineRule="auto"/>
        <w:tabs>
          <w:tab w:leader="none" w:pos="1178"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if the LC Exposure of the non-Defaulting Lenders is reallocated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the fees payable to the Revolving Lenders pursuant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the case may be, shall be adjusted to give effect to such reallocation and (B) if the LC Exposure of any Defaulting Lender is Cash collateralized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without prejudice to any rights or remedies of the applicable Issuing Bank, any Lender or the Borrower hereunder, no letter of credit fees shall be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and</w:t>
      </w:r>
    </w:p>
    <w:p>
      <w:pPr>
        <w:spacing w:after="0" w:line="75"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68" w:val="left"/>
        </w:tabs>
        <w:numPr>
          <w:ilvl w:val="1"/>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Defaulting Lender’s LC Exposure is not Cash collateralized, prepaid or reallocated pursuant to this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then, without prejudice to any rights or remedies of the applicable Issuing Bank or any Revolving Lender hereunder, all letter of credit fees payable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with respect to such Defaulting Lender’s LC Exposure shall be payable to the applicable Issuing Bank until such Defaulting Lender’s LC Exposure is Cash collateralized or reallocated.</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any Revolving Lender is a Defaulting Lender, the Swingline Lender shall not be required to fund any Swingline Loan, and no Issuing Bank shall be required to issue, extend, create, incur, amend or increase any Letter of Credit unless it is reasonably satisfied that the related exposure will be 100% covered by the Revolving Credit Commitments of the non-Defaulting Lenders, Cash collateral provided pursuant to </w:t>
      </w:r>
      <w:r>
        <w:rPr>
          <w:rFonts w:ascii="Times New Roman" w:cs="Times New Roman" w:eastAsia="Times New Roman" w:hAnsi="Times New Roman"/>
          <w:sz w:val="18"/>
          <w:szCs w:val="18"/>
          <w:u w:val="single" w:color="auto"/>
          <w:color w:val="auto"/>
        </w:rPr>
        <w:t>Section 2.21(c)</w:t>
      </w:r>
      <w:r>
        <w:rPr>
          <w:rFonts w:ascii="Times New Roman" w:cs="Times New Roman" w:eastAsia="Times New Roman" w:hAnsi="Times New Roman"/>
          <w:sz w:val="18"/>
          <w:szCs w:val="18"/>
          <w:color w:val="auto"/>
        </w:rPr>
        <w:t xml:space="preserve"> and/or Cash collateral provided by the Borrower in accordance with </w:t>
      </w:r>
      <w:r>
        <w:rPr>
          <w:rFonts w:ascii="Times New Roman" w:cs="Times New Roman" w:eastAsia="Times New Roman" w:hAnsi="Times New Roman"/>
          <w:sz w:val="18"/>
          <w:szCs w:val="18"/>
          <w:u w:val="single" w:color="auto"/>
          <w:color w:val="auto"/>
        </w:rPr>
        <w:t>Section 2.21(d)</w:t>
      </w:r>
      <w:r>
        <w:rPr>
          <w:rFonts w:ascii="Times New Roman" w:cs="Times New Roman" w:eastAsia="Times New Roman" w:hAnsi="Times New Roman"/>
          <w:sz w:val="18"/>
          <w:szCs w:val="18"/>
          <w:color w:val="auto"/>
        </w:rPr>
        <w:t xml:space="preserve">, and participating interests in any such or newly issued, extended or created Letter of Credit or newly made Swingline Loan shall be allocated among non-Defaulting Lenders that are Revolving Lenders in a manner consistent with </w:t>
      </w:r>
      <w:r>
        <w:rPr>
          <w:rFonts w:ascii="Times New Roman" w:cs="Times New Roman" w:eastAsia="Times New Roman" w:hAnsi="Times New Roman"/>
          <w:sz w:val="18"/>
          <w:szCs w:val="18"/>
          <w:u w:val="single" w:color="auto"/>
          <w:color w:val="auto"/>
        </w:rPr>
        <w:t>Section 2.21(d)(i)</w:t>
      </w:r>
      <w:r>
        <w:rPr>
          <w:rFonts w:ascii="Times New Roman" w:cs="Times New Roman" w:eastAsia="Times New Roman" w:hAnsi="Times New Roman"/>
          <w:sz w:val="18"/>
          <w:szCs w:val="18"/>
          <w:color w:val="auto"/>
        </w:rPr>
        <w:t xml:space="preserve"> (it being understood that Defaulting Lenders shall not participate therein).</w:t>
      </w:r>
    </w:p>
    <w:p>
      <w:pPr>
        <w:spacing w:after="0" w:line="187"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and the Borrower agree that any Defaulting Lender has adequately remedied all matters that caused such Lender to be a Defaulting Lender, then the Applicable Percentage of Swingline Loans and LC Exposure of the Revolving Lenders shall be readjusted to reflect the inclusion of such Lender’s Revolving Credit Commitment, and on such date such Revolving Lender shall purchase at par such of the Revolving Loans of the other Revolving Lenders (other than Swingline Loans) or participations in Revolving Loans as the Administrative Agent shall determine as are necessary in order for such Revolving Lender to hold such Revolving Loans or participations in accordance with its Applicable Percentage of the applicable Class. Notwithstanding the fact that any Defaulting Lender has adequately remedied all matters that caused such Lender to be a Defaulting Lender, (x) no adjustments will be made retroactively with respect to fees accrued or payments made by or on behalf of the Borrower while such Lender was a Defaulting Lender and (y) except to the extent otherwise expressly agreed by the affected parties, no change hereunder from Defaulting Lender to Lender will constitute a waiver or release of any claim of any party hereunder arising from such Lender’s having been a Defaulting Lender.</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2.22. </w:t>
      </w:r>
      <w:r>
        <w:rPr>
          <w:rFonts w:ascii="Times New Roman" w:cs="Times New Roman" w:eastAsia="Times New Roman" w:hAnsi="Times New Roman"/>
          <w:sz w:val="18"/>
          <w:szCs w:val="18"/>
          <w:u w:val="single" w:color="auto"/>
          <w:color w:val="auto"/>
        </w:rPr>
        <w:t>Incremental Credit Extensions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4" w:lineRule="auto"/>
        <w:tabs>
          <w:tab w:leader="none" w:pos="685"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(or Subsidiary Guarantor that will become a Borrower) may, at any time, on one or more occasions pursuant to an Incremental Facility Amendment (i) add one or more new Classes of term facilities and/or increase the principal amount of the Term Loans of any existing Class by requesting new term loan commitments to be added to such Loans (any such new Class or increase, an “</w:t>
      </w:r>
      <w:r>
        <w:rPr>
          <w:rFonts w:ascii="Times New Roman" w:cs="Times New Roman" w:eastAsia="Times New Roman" w:hAnsi="Times New Roman"/>
          <w:sz w:val="18"/>
          <w:szCs w:val="18"/>
          <w:b w:val="1"/>
          <w:bCs w:val="1"/>
          <w:color w:val="auto"/>
        </w:rPr>
        <w:t>Incremental Term Facility</w:t>
      </w:r>
      <w:r>
        <w:rPr>
          <w:rFonts w:ascii="Times New Roman" w:cs="Times New Roman" w:eastAsia="Times New Roman" w:hAnsi="Times New Roman"/>
          <w:sz w:val="18"/>
          <w:szCs w:val="18"/>
          <w:color w:val="auto"/>
        </w:rPr>
        <w:t>” and any loans made pursuant to an Incremental Term Facility, “</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and/or (ii) add one or more new Classes of revolving commitments and/or increase the aggregate amount of the Revolving Credit Commitments of any existing Class (any such new Class or increase, an “</w:t>
      </w:r>
      <w:r>
        <w:rPr>
          <w:rFonts w:ascii="Times New Roman" w:cs="Times New Roman" w:eastAsia="Times New Roman" w:hAnsi="Times New Roman"/>
          <w:sz w:val="18"/>
          <w:szCs w:val="18"/>
          <w:b w:val="1"/>
          <w:bCs w:val="1"/>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and, together with any Incremental Term Facility,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or either or any thereof, an “</w:t>
      </w:r>
      <w:r>
        <w:rPr>
          <w:rFonts w:ascii="Times New Roman" w:cs="Times New Roman" w:eastAsia="Times New Roman" w:hAnsi="Times New Roman"/>
          <w:sz w:val="18"/>
          <w:szCs w:val="18"/>
          <w:b w:val="1"/>
          <w:bCs w:val="1"/>
          <w:color w:val="auto"/>
        </w:rPr>
        <w:t>Incremental Facility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loans thereunder, “</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and, together with any Incremental Term Loans, “</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in an aggregate outstanding principal amount not to exceed the Incremental Cap;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8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Commitment in respect of any Incremental Term Facility may be in an amount that is less than $5,000,000 (or such lesser amount to which the Administrative Agent may reasonably agree),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457" w:name="page458"/>
    <w:bookmarkEnd w:id="457"/>
    <w:p>
      <w:pPr>
        <w:ind w:right="140" w:firstLine="419"/>
        <w:spacing w:after="0" w:line="266" w:lineRule="auto"/>
        <w:tabs>
          <w:tab w:leader="none" w:pos="688"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except as separately agreed from time to time between the Borrower and any Lender, no Lender shall be obligated to provide any Incremental Commitment, and the determination to provide such commitments shall be within the sole and absolute discretion of such Lender (it being agreed that the Borrower shall not be obligated to offer the opportunity to any Lender to participate in any Incremental Facility),</w:t>
      </w:r>
    </w:p>
    <w:p>
      <w:pPr>
        <w:spacing w:after="0" w:line="67" w:lineRule="exact"/>
        <w:rPr>
          <w:rFonts w:ascii="Times New Roman" w:cs="Times New Roman" w:eastAsia="Times New Roman" w:hAnsi="Times New Roman"/>
          <w:sz w:val="18"/>
          <w:szCs w:val="18"/>
          <w:color w:val="auto"/>
        </w:rPr>
      </w:pPr>
    </w:p>
    <w:p>
      <w:pPr>
        <w:ind w:right="260" w:firstLine="419"/>
        <w:spacing w:after="0" w:line="282" w:lineRule="auto"/>
        <w:tabs>
          <w:tab w:leader="none" w:pos="738"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Incremental Facility or Incremental Loan (nor the creation, provision or implementation thereof) shall require the approval of any existing Lender other than in its capacity, if any, as a lender providing all or part of such Incremental Facility or Incremental Loan,</w:t>
      </w:r>
    </w:p>
    <w:p>
      <w:pPr>
        <w:spacing w:after="0" w:line="53" w:lineRule="exact"/>
        <w:rPr>
          <w:rFonts w:ascii="Times New Roman" w:cs="Times New Roman" w:eastAsia="Times New Roman" w:hAnsi="Times New Roman"/>
          <w:sz w:val="18"/>
          <w:szCs w:val="18"/>
          <w:color w:val="auto"/>
        </w:rPr>
      </w:pPr>
    </w:p>
    <w:p>
      <w:pPr>
        <w:ind w:firstLine="419"/>
        <w:spacing w:after="0" w:line="253" w:lineRule="auto"/>
        <w:tabs>
          <w:tab w:leader="none" w:pos="728"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Incremental Revolving Facility shall either (A) be subject to the same terms and conditions as any then-existing Revolving Facility (and be deemed added to, and made a part of, such Revolving Facility) (it being understood that, if required to consummate an Incremental Revolving Facility, the Borrower may increase the pricing, interest rate margins, rate floors and undrawn fees on the applicable Revolving Facility being increased for all lenders under such Revolving Facility, but additional upfront or similar fees or closing payments may be payable to the lenders participating in such Incremental Revolving Facility without any requirement to pay such amounts to any existing Revolving Lenders) or (B) have material terms (other than pricing, maturity, upfront, arrangement, structuring, underwriting, ticking, consent, amendment and other fees, participation in mandatory prepayments or commitment reductions and immaterial terms, which shall be determined by the Borrower) that (x) reflect market terms and conditions (as determined by the Borrower in good faith) at the time of incurrence of such Incremental Revolving Facility or the obtaining of any commitment with respect thereto or (y) are reasonably satisfactory to the Administrative Agent (it being understood that if any financial maintenance covenant or other more favorable provision is added for the benefit of any Incremental Revolving Facility, no consent shall be required from the Administrative Agent or any Lender to the extent that such financial maintenance covenant or other provision is (1) also added for the benefit of any then-existing Revolving Facility or (2) only applicable after the applicable Latest Revolving Loan Maturity Date),</w:t>
      </w:r>
    </w:p>
    <w:p>
      <w:pPr>
        <w:spacing w:after="0" w:line="79" w:lineRule="exact"/>
        <w:rPr>
          <w:rFonts w:ascii="Times New Roman" w:cs="Times New Roman" w:eastAsia="Times New Roman" w:hAnsi="Times New Roman"/>
          <w:sz w:val="18"/>
          <w:szCs w:val="18"/>
          <w:color w:val="auto"/>
        </w:rPr>
      </w:pPr>
    </w:p>
    <w:p>
      <w:pPr>
        <w:ind w:firstLine="419"/>
        <w:spacing w:after="0" w:line="254" w:lineRule="auto"/>
        <w:tabs>
          <w:tab w:leader="none" w:pos="678"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 Yield (and the components thereof) applicable to any Incremental Facility may be determined by the Borrower and the lender or lenders providing such Incremental Facility;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floating rate broadly syndicated Dollar-denominated term “B” loan Incremental Term Facility that is secured on a pari passu basis with the Initial Term Loans, the Effective Yield applicable thereto may not be more than 0.50% per annum higher than the Effective Yield applicable to the Initial Term Loans unless the Applicable Rate (and/or, as provided in the proviso below, the Alternate Base Rate floor or Eurocurrency Rate floor) with respect to the Initial Term Loans is adjusted such that the Effective Yield on the Initial Term Loans is not more than 0.50% per annum less than the Effective Yield with respect to such Incremental Facility (this proviso, the “</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any increase in Effective Yield applicable to any Initial Term Loan due to the application or imposition of an Alternate Base Rate floor or Eurocurrency Rate floor on any Incremental Term Loan may, at the</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560"/>
          </w:cols>
          <w:pgMar w:left="880" w:top="270" w:right="459" w:bottom="1440" w:gutter="0" w:footer="0" w:header="0"/>
        </w:sectPr>
      </w:pPr>
    </w:p>
    <w:bookmarkStart w:id="458" w:name="page459"/>
    <w:bookmarkEnd w:id="458"/>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election of the Borrower, be effected through an increase in (or implementation of, as applicable) any Alternate Base Rate floor or Eurocurrency Rate floor applicable to such Initial Term Loans or an increase in the Applicable Rate with respect to the Initial Term Loans as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further that the MFN Provision shall not apply to (or in connection with) (1) any Incremental Term Facility having an aggregate initial principal amount not exceeding the greater of (x) $562,500,000 and (y) 25% of Consolidated Adjusted EBITDA as of the last day of the most recently ended Test Period, (2) any Incremental Term Facility scheduled to mature on or after the date that is two years after the Initial Term Loan Maturity Date, (3) [reserved], (4) [reserved], (5) Customary Term A Loans and (6) customary bridge loans with a maturity date of no longer than one year,</w:t>
      </w:r>
    </w:p>
    <w:p>
      <w:pPr>
        <w:spacing w:after="0" w:line="81" w:lineRule="exact"/>
        <w:rPr>
          <w:sz w:val="20"/>
          <w:szCs w:val="20"/>
          <w:color w:val="auto"/>
        </w:rPr>
      </w:pPr>
    </w:p>
    <w:p>
      <w:pPr>
        <w:ind w:right="160" w:firstLine="419"/>
        <w:spacing w:after="0" w:line="256" w:lineRule="auto"/>
        <w:tabs>
          <w:tab w:leader="none" w:pos="728"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the final maturity date with respect to any Incremental Term Loans shall be no earlier than the Initial Term Loan Maturity Date at the time of the incurrence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(A) customary bridge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(vi)</w:t>
      </w:r>
      <w:r>
        <w:rPr>
          <w:rFonts w:ascii="Times New Roman" w:cs="Times New Roman" w:eastAsia="Times New Roman" w:hAnsi="Times New Roman"/>
          <w:sz w:val="18"/>
          <w:szCs w:val="18"/>
          <w:color w:val="auto"/>
        </w:rPr>
        <w:t>, (B) escrowed debt subject to a customary special mandatory redemption, (C) 364-day bridge loans, (D) Five Year Notes, (E) convertible notes or other convertible debt securities or (F) Customary Term A Loans,</w:t>
      </w:r>
    </w:p>
    <w:p>
      <w:pPr>
        <w:spacing w:after="0" w:line="79" w:lineRule="exact"/>
        <w:rPr>
          <w:rFonts w:ascii="Times New Roman" w:cs="Times New Roman" w:eastAsia="Times New Roman" w:hAnsi="Times New Roman"/>
          <w:sz w:val="18"/>
          <w:szCs w:val="18"/>
          <w:color w:val="auto"/>
        </w:rPr>
      </w:pPr>
    </w:p>
    <w:p>
      <w:pPr>
        <w:ind w:firstLine="419"/>
        <w:spacing w:after="0" w:line="256" w:lineRule="auto"/>
        <w:tabs>
          <w:tab w:leader="none" w:pos="778"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Permitted Earlier Maturity Indebtedness Exception, the Weighted Average Life to Maturity of any Incremental Term Facility shall be no shorter than the remaining Weighted Average Life to Maturity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limitation shall not apply to (A) customary bridge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(vii)</w:t>
      </w:r>
      <w:r>
        <w:rPr>
          <w:rFonts w:ascii="Times New Roman" w:cs="Times New Roman" w:eastAsia="Times New Roman" w:hAnsi="Times New Roman"/>
          <w:sz w:val="18"/>
          <w:szCs w:val="18"/>
          <w:color w:val="auto"/>
        </w:rPr>
        <w:t>, (B) escrowed debt subject to a customary special mandatory redemption, (C) 364-day bridge loans, (D) Five Year Notes, (E) convertible notes or other convertible debt securities or (F) Customary Term A Loans,</w:t>
      </w:r>
    </w:p>
    <w:p>
      <w:pPr>
        <w:spacing w:after="0" w:line="79" w:lineRule="exact"/>
        <w:rPr>
          <w:rFonts w:ascii="Times New Roman" w:cs="Times New Roman" w:eastAsia="Times New Roman" w:hAnsi="Times New Roman"/>
          <w:sz w:val="18"/>
          <w:szCs w:val="18"/>
          <w:color w:val="auto"/>
        </w:rPr>
      </w:pPr>
    </w:p>
    <w:p>
      <w:pPr>
        <w:ind w:right="160" w:firstLine="419"/>
        <w:spacing w:after="0" w:line="282" w:lineRule="auto"/>
        <w:tabs>
          <w:tab w:leader="none" w:pos="828"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(vi)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above, any Incremental Term Facility may otherwise have an amortization schedule as determined by the Borrower and the lenders providing such Incremental Term Facility,</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728"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above, to the extent applicable, any fees payable in connection with any Incremental Facility shall be determined by the Borrower and the arrangers and/or lenders providing such Incremental Facility,</w:t>
      </w:r>
    </w:p>
    <w:p>
      <w:pPr>
        <w:spacing w:after="0" w:line="53" w:lineRule="exact"/>
        <w:rPr>
          <w:rFonts w:ascii="Times New Roman" w:cs="Times New Roman" w:eastAsia="Times New Roman" w:hAnsi="Times New Roman"/>
          <w:sz w:val="18"/>
          <w:szCs w:val="18"/>
          <w:color w:val="auto"/>
        </w:rPr>
      </w:pPr>
    </w:p>
    <w:p>
      <w:pPr>
        <w:jc w:val="both"/>
        <w:ind w:right="260" w:firstLine="419"/>
        <w:spacing w:after="0" w:line="261" w:lineRule="auto"/>
        <w:tabs>
          <w:tab w:leader="none" w:pos="678"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Incremental Facility shall rank pari passu with the Initial Term Loans (in the case of any Incremental Term Facility) and pari passu with any then-existing Revolving Facility (in the case of Incremental Revolving Loans), in each case in right of payment and, if secured, security and (B) no Incremental Facility may be (x) guaranteed by any Person which is not a Loan Party or (y) secured by Liens on any assets other than the Collateral,</w:t>
      </w:r>
    </w:p>
    <w:p>
      <w:pPr>
        <w:spacing w:after="0" w:line="71" w:lineRule="exact"/>
        <w:rPr>
          <w:rFonts w:ascii="Times New Roman" w:cs="Times New Roman" w:eastAsia="Times New Roman" w:hAnsi="Times New Roman"/>
          <w:sz w:val="18"/>
          <w:szCs w:val="18"/>
          <w:color w:val="auto"/>
        </w:rPr>
      </w:pPr>
    </w:p>
    <w:p>
      <w:pPr>
        <w:jc w:val="both"/>
        <w:ind w:right="300" w:firstLine="419"/>
        <w:spacing w:after="0" w:line="261" w:lineRule="auto"/>
        <w:tabs>
          <w:tab w:leader="none" w:pos="728"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Term Facility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on a pro rata or less than pro rata basis (but not on a greater than pro rata basis, other than in the case of prepayment with proceeds of Indebtedness refinancing such Incremental Term Loans)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0560"/>
          </w:cols>
          <w:pgMar w:left="880" w:top="270" w:right="459" w:bottom="1440" w:gutter="0" w:footer="0" w:header="0"/>
        </w:sectPr>
      </w:pPr>
    </w:p>
    <w:bookmarkStart w:id="459" w:name="page460"/>
    <w:bookmarkEnd w:id="459"/>
    <w:p>
      <w:pPr>
        <w:jc w:val="both"/>
        <w:ind w:left="440" w:right="300" w:firstLine="419"/>
        <w:spacing w:after="0" w:line="266" w:lineRule="auto"/>
        <w:tabs>
          <w:tab w:leader="none" w:pos="1218"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Specified Event of Default shall exist immediately prior to or after giving effect to the effectiveness of such Incremental Facility (except in connection with any acquisition or other Investment or repayment or redemption of Indebtedness, where no such Specified Event of Default shall exist at the time as elected by the Borrower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68"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required or permitted in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above, all other terms of any Incremental Term Facility shall be as agreed between the Borrower and the lenders providing such Incremental Term Facility,</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258"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any Incremental Facility may be used for working capital, Capital Expenditures and other general corporate purposes of the Borrower and its subsidiaries (including permitted Restricted Payments, Investments, Permitted Acquisitions, Restricted Debt Payments and any other purpose not prohibited by the terms of the Loan Documents), and</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1"/>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of the making of any Incremental Term Loans that will be added to any Class of then existing Term Loans, and</w:t>
      </w:r>
    </w:p>
    <w:p>
      <w:pPr>
        <w:spacing w:after="0" w:line="27" w:lineRule="exact"/>
        <w:rPr>
          <w:rFonts w:ascii="Times New Roman" w:cs="Times New Roman" w:eastAsia="Times New Roman" w:hAnsi="Times New Roman"/>
          <w:sz w:val="18"/>
          <w:szCs w:val="18"/>
          <w:color w:val="auto"/>
        </w:rPr>
      </w:pPr>
    </w:p>
    <w:p>
      <w:pPr>
        <w:ind w:left="440" w:right="1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w:t>
      </w:r>
      <w:r>
        <w:rPr>
          <w:rFonts w:ascii="Times New Roman" w:cs="Times New Roman" w:eastAsia="Times New Roman" w:hAnsi="Times New Roman"/>
          <w:sz w:val="18"/>
          <w:szCs w:val="18"/>
          <w:u w:val="single" w:color="auto"/>
          <w:color w:val="auto"/>
        </w:rPr>
        <w:t>Sections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2.13</w:t>
      </w:r>
      <w:r>
        <w:rPr>
          <w:rFonts w:ascii="Times New Roman" w:cs="Times New Roman" w:eastAsia="Times New Roman" w:hAnsi="Times New Roman"/>
          <w:sz w:val="18"/>
          <w:szCs w:val="18"/>
          <w:color w:val="auto"/>
        </w:rPr>
        <w:t>, such Incremental Term Loans shall be added to (and constitute a part of, be of the same Type as and, at the election of the Borrower, have the same Interest Period as) each Borrowing of outstanding Term Loans of such Class on a pro rata basis (based on the relative sizes of such Borrowings), so that each Term Lender providing such Incremental Term Loans will participate proportionately in each then-outstanding Borrowing of Term Loans of such Class; it being acknowledged that the application of this clause may result in new Incremental Term Loans having Interest Periods (the duration of which may be less than one month) that begin during an Interest Period then applicable to outstanding Eurocurrency Rate Loans or CORRA Loans of the relevant Class and which end on the last day of such Interest Period.</w:t>
      </w:r>
    </w:p>
    <w:p>
      <w:pPr>
        <w:spacing w:after="0" w:line="188"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Commitments may be provided by any existing Lender or by any other Eligible Assignee (any such other Eligible Assignee being called an “</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in the case of any Incremental Revolving Facility, the Swingline Lender and any Issuing Bank) shall have consented (such consent not to be unreasonably withheld, conditioned or delayed) to the relevant Additional Lender’s provision of Incremental Commitments if such consent would be required under </w:t>
      </w:r>
      <w:r>
        <w:rPr>
          <w:rFonts w:ascii="Times New Roman" w:cs="Times New Roman" w:eastAsia="Times New Roman" w:hAnsi="Times New Roman"/>
          <w:sz w:val="18"/>
          <w:szCs w:val="18"/>
          <w:u w:val="single" w:color="auto"/>
          <w:color w:val="auto"/>
        </w:rPr>
        <w:t>Section 10.05(b)</w:t>
      </w:r>
      <w:r>
        <w:rPr>
          <w:rFonts w:ascii="Times New Roman" w:cs="Times New Roman" w:eastAsia="Times New Roman" w:hAnsi="Times New Roman"/>
          <w:sz w:val="18"/>
          <w:szCs w:val="18"/>
          <w:color w:val="auto"/>
        </w:rPr>
        <w:t xml:space="preserve"> for an assignment of applicable Loans to such Additional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Additional Lender that is an Affiliated Lender shall be subject to the provisions of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mutatis mutandis, to the same extent as if the relevant Incremental Commitments and related Loan Document Obligations had been obtained by such Lender by way of assignment.</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or Additional Lender providing a portion of any Incremental Commitment shall execute and deliver to the Administrative Agent and the Borrower all such documentation (including the relevant Incremental Facility Amendment) as may be reasonably required by the Administrative Agent to evidence and effectuate such Incremental Commitment. On the effective date of such Incremental Commitment, each Additional Lender shall become a Lender for all purposes in connection with this Agreement.</w:t>
      </w:r>
    </w:p>
    <w:p>
      <w:pPr>
        <w:spacing w:after="0" w:line="179" w:lineRule="exact"/>
        <w:rPr>
          <w:rFonts w:ascii="Times New Roman" w:cs="Times New Roman" w:eastAsia="Times New Roman" w:hAnsi="Times New Roman"/>
          <w:sz w:val="18"/>
          <w:szCs w:val="18"/>
          <w:color w:val="auto"/>
        </w:rPr>
      </w:pPr>
    </w:p>
    <w:p>
      <w:pPr>
        <w:ind w:right="400" w:firstLine="436"/>
        <w:spacing w:after="0" w:line="258" w:lineRule="auto"/>
        <w:tabs>
          <w:tab w:leader="none" w:pos="695"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condition precedent to the effectiveness of any Incremental Facility or the making of any Incremental Loans, (i) upon its request, the Administrative Agent shall have received customary written opinions of counsel, as well as such reaffirmation agreements, supplements and/or amendments as it shall reasonably require, (ii) the Administrative Agent shall have received, from each Additional Lender, an administrative questionnaire in the form provided to such Additional Lender by the Administrative Agent (the “</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and such other documents as it shall reasonably require from such Additional Lender, (iii) the Administrative Agent and applicable Additional</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460" w:name="page461"/>
    <w:bookmarkEnd w:id="4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Lenders shall have received all fees required to be paid in respect of such Incremental Facility or Incremental Loans and (iv) upon its request,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 shall have received a certificate of Borrower signed by a Responsible Officer thereof:</w:t>
      </w:r>
    </w:p>
    <w:p>
      <w:pPr>
        <w:spacing w:after="0" w:line="99" w:lineRule="exact"/>
        <w:rPr>
          <w:sz w:val="20"/>
          <w:szCs w:val="20"/>
          <w:color w:val="auto"/>
        </w:rPr>
      </w:pPr>
    </w:p>
    <w:p>
      <w:pPr>
        <w:ind w:left="980" w:right="340" w:firstLine="408"/>
        <w:spacing w:after="0" w:line="282" w:lineRule="auto"/>
        <w:tabs>
          <w:tab w:leader="none" w:pos="1676"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certifying and attaching a copy of the resolutions adopted by the governing body of the Borrower approving or consenting to such Incremental Facility or Incremental Loans, and</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applicable, certifying that the condition set forth in </w:t>
      </w:r>
      <w:r>
        <w:rPr>
          <w:rFonts w:ascii="Times New Roman" w:cs="Times New Roman" w:eastAsia="Times New Roman" w:hAnsi="Times New Roman"/>
          <w:sz w:val="18"/>
          <w:szCs w:val="18"/>
          <w:u w:val="single" w:color="auto"/>
          <w:color w:val="auto"/>
        </w:rPr>
        <w:t>clause (a)(xii)</w:t>
      </w:r>
      <w:r>
        <w:rPr>
          <w:rFonts w:ascii="Times New Roman" w:cs="Times New Roman" w:eastAsia="Times New Roman" w:hAnsi="Times New Roman"/>
          <w:sz w:val="18"/>
          <w:szCs w:val="18"/>
          <w:color w:val="auto"/>
        </w:rPr>
        <w:t xml:space="preserve"> above has been satisfied.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implementation of any Incremental Revolving Facility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53" w:lineRule="auto"/>
        <w:tabs>
          <w:tab w:leader="none" w:pos="1078"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Incremental Revolving Facility establishes Revolving Credit Commitments of the same Class as any then-existing Class of Revolving Credit Commitments, (i) each Revolving Lender immediately prior to such increase will automatically and without further act be deemed to have assigned to each relevant Incremental Revolving Facility Lender, and each relevant Incremental Revolving Facility Lender will automatically and without further act be deemed to have assumed a portion of such Revolving Lender’s participations hereunder in outstanding Letters of Credit and Swingline Loans such that, after giving effect to each deemed assignment and assumption of participations, all of the Revolving Lenders’ (including each Incremental Revolving Facility Lender’s) (A) participations hereunder in Letters of Credit and</w:t>
      </w:r>
    </w:p>
    <w:p>
      <w:pPr>
        <w:spacing w:after="0" w:line="5" w:lineRule="exact"/>
        <w:rPr>
          <w:rFonts w:ascii="Times New Roman" w:cs="Times New Roman" w:eastAsia="Times New Roman" w:hAnsi="Times New Roman"/>
          <w:sz w:val="18"/>
          <w:szCs w:val="18"/>
          <w:color w:val="auto"/>
        </w:rPr>
      </w:pPr>
    </w:p>
    <w:p>
      <w:pPr>
        <w:ind w:left="440"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participations hereunder in Swingline Loans shall be held on a pro rata basis on the basis of their respective Revolving Credit Commitments (after giving effect to any increase in the Revolving Credit Commitment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and (ii) the existing Revolving Lenders of the applicable Class shall assign Revolving Loans to certain other Revolving Lenders of such Class (including the Revolving Lenders providing the relevant Incremental Revolving Facility), and such other Revolving Lenders (including the Revolving Lenders providing the relevant Incremental Revolving Facility) shall purchase such Revolving Loans, in each case to the extent necessary so that all of the Revolving Lenders of such Class participate in each outstanding borrowing of Revolving Loans pro rata on the basis of their respective Revolving Credit Commitments of such Class (after giving effect to any increase in the Revolving Credit Commitment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it being understood and agreed that the minimum borrowing, pro rata borrowing and pro rata payment requirements contained elsewhere in this Agreement shall not apply to the transactions effected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and</w:t>
      </w:r>
    </w:p>
    <w:p>
      <w:pPr>
        <w:spacing w:after="0" w:line="85" w:lineRule="exact"/>
        <w:rPr>
          <w:rFonts w:ascii="Times New Roman" w:cs="Times New Roman" w:eastAsia="Times New Roman" w:hAnsi="Times New Roman"/>
          <w:sz w:val="18"/>
          <w:szCs w:val="18"/>
          <w:color w:val="auto"/>
        </w:rPr>
      </w:pPr>
    </w:p>
    <w:p>
      <w:pPr>
        <w:ind w:left="440" w:firstLine="419"/>
        <w:spacing w:after="0" w:line="253" w:lineRule="auto"/>
        <w:tabs>
          <w:tab w:leader="none" w:pos="1128" w:val="left"/>
        </w:tabs>
        <w:numPr>
          <w:ilvl w:val="1"/>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Incremental Revolving Facility establishes Revolving Credit Commitments of a new Class, (1) the borrowing and repayment (except for (A) payments of interest and fees at different rates on any Revolving Facility,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below)) of Incremental Revolving Loans after the effective date of such Incremental Revolving Facility Commitments shall be made on a pro rata basis with any then-existing Revolving Facility, (2) all swingline loans and/or letters of credit made or issued, as applicable, under such Incremental Revolving Facility shall be participated on a pro rata basis by all Revolving Lenders and (3) any permanent repayment of Revolving Loans with respect to, and reduction or termination of Revolving Credit Commitments under, any Revolving Facility after the effective date of any Incremental Revolving Facility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461" w:name="page462"/>
    <w:bookmarkEnd w:id="461"/>
    <w:p>
      <w:pPr>
        <w:ind w:left="-20" w:right="280" w:firstLine="436"/>
        <w:spacing w:after="0" w:line="266" w:lineRule="auto"/>
        <w:tabs>
          <w:tab w:leader="none" w:pos="645"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the date of effectiveness of any Incremental Revolving Facility, the maximum amount of LC Exposure and/or Swingline Loans, as applicable, permitted hereunder shall increase by an amount, if any, agreed upon by the Administrative Agent, the Borrower and the relevant Issuing Bank and/or the Swingline Lender, as applicable.</w:t>
      </w:r>
    </w:p>
    <w:p>
      <w:pPr>
        <w:spacing w:after="0" w:line="175" w:lineRule="exact"/>
        <w:rPr>
          <w:rFonts w:ascii="Times New Roman" w:cs="Times New Roman" w:eastAsia="Times New Roman" w:hAnsi="Times New Roman"/>
          <w:sz w:val="18"/>
          <w:szCs w:val="18"/>
          <w:color w:val="auto"/>
        </w:rPr>
      </w:pPr>
    </w:p>
    <w:p>
      <w:pPr>
        <w:ind w:left="-20" w:right="40" w:firstLine="436"/>
        <w:spacing w:after="0" w:line="254" w:lineRule="auto"/>
        <w:tabs>
          <w:tab w:leader="none" w:pos="675"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irrevocably authorize the Administrative Agent to enter into any Incremental Facility Amendment and/or any amendment to any other Loan Document with the Borrower as may be necessary in order to establish any new Class or sub-Class or any increase in any Classes or sub-Classes in respect of Loans or commitments pursuant to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for instance, to increase the amortization of any existing Class of Term Loans (or to provide for any existing Class of Term Loans to have (or to again have) amortization) in order to have such existing Class of Term Loans be treated as the same Class as any Incremental Term Facility that is to be added to such Loans) and such technical amendments as may be necessary or appropriate in the reasonable opinion of the Administrative Agent and the Borrower in connection with the establishment or increase, as applicable, of such Classes or sub-Classes, in each case on terms consistent with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with respect to the appointment of a Subsidiary Guarantor as a Borrower in respect of such Incremental Facility).</w:t>
      </w:r>
    </w:p>
    <w:p>
      <w:pPr>
        <w:spacing w:after="0" w:line="191" w:lineRule="exact"/>
        <w:rPr>
          <w:rFonts w:ascii="Times New Roman" w:cs="Times New Roman" w:eastAsia="Times New Roman" w:hAnsi="Times New Roman"/>
          <w:sz w:val="18"/>
          <w:szCs w:val="18"/>
          <w:color w:val="auto"/>
        </w:rPr>
      </w:pPr>
    </w:p>
    <w:p>
      <w:pPr>
        <w:ind w:left="-20" w:right="160" w:firstLine="436"/>
        <w:spacing w:after="0" w:line="261" w:lineRule="auto"/>
        <w:tabs>
          <w:tab w:leader="none" w:pos="675"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2.22(d)</w:t>
      </w:r>
      <w:r>
        <w:rPr>
          <w:rFonts w:ascii="Times New Roman" w:cs="Times New Roman" w:eastAsia="Times New Roman" w:hAnsi="Times New Roman"/>
          <w:sz w:val="18"/>
          <w:szCs w:val="18"/>
          <w:color w:val="auto"/>
        </w:rPr>
        <w:t>) or in any other provision of any Loan Document, if the proceeds of any Incremental Facility are intended to be applied to finance an acquisition or other Investment and the lenders providing such Incremental Facility so agree, the availability thereof shall be subject to customary “SunGard” or “certain funds” conditionality (including the making and accuracy of Specified Representations as conformed for such acquisition or other Investment).</w:t>
      </w:r>
    </w:p>
    <w:p>
      <w:pPr>
        <w:spacing w:after="0" w:line="179"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shall supersede any provision in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w:t>
      </w:r>
      <w:r>
        <w:rPr>
          <w:rFonts w:ascii="Times New Roman" w:cs="Times New Roman" w:eastAsia="Times New Roman" w:hAnsi="Times New Roman"/>
          <w:sz w:val="18"/>
          <w:szCs w:val="18"/>
          <w:color w:val="auto"/>
        </w:rPr>
        <w:t xml:space="preserve"> to the contrary.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2.23. </w:t>
      </w:r>
      <w:r>
        <w:rPr>
          <w:rFonts w:ascii="Times New Roman" w:cs="Times New Roman" w:eastAsia="Times New Roman" w:hAnsi="Times New Roman"/>
          <w:sz w:val="18"/>
          <w:szCs w:val="18"/>
          <w:u w:val="single" w:color="auto"/>
          <w:color w:val="auto"/>
        </w:rPr>
        <w:t>Extensions of Loans and Revolving Credit Commitments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20" w:firstLine="436"/>
        <w:spacing w:after="0" w:line="254" w:lineRule="auto"/>
        <w:tabs>
          <w:tab w:leader="none" w:pos="665"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Borrower to all Lenders holding Loans of any Class or Commitments of any Class, in each case on a pro rata basis (based on the aggregate outstanding principal amount of the respective Loans or Commitments of such Class) and on the same terms to each such Lender, the Borrower is hereby permitted from time to time to consummate transactions with any individual Lender who accepts the terms contained in the relevant Extension Offer to extend the Maturity Date of all or a portion of such Lender’s Loans and/or Commitments of such Class and otherwise modify the terms of all or a portion of such Loans and/or Commitments pursuant to the terms of the relevant Extension Offer (including by increasing the interest rate or fees payable in respect of such Loans and/or Commitments (and related outstandings) and/or modifying the amortization schedule, if any, in respect of such Loans)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it being understood that (x) any Extended Term Loans shall constitute a separate Class of Loans from the Class of Loans from which they were converted and any Extended Revolving Credit Commitments shall constitute a separate Class of Revolving Credit Commitments from the Class of Revolving Credit Commitments from which they were converted and (y) no Lender shall have any obligation to accept any applicable Extension Offer, so long as the following terms are satisfied:</w:t>
      </w:r>
    </w:p>
    <w:p>
      <w:pPr>
        <w:spacing w:after="0" w:line="78" w:lineRule="exact"/>
        <w:rPr>
          <w:rFonts w:ascii="Times New Roman" w:cs="Times New Roman" w:eastAsia="Times New Roman" w:hAnsi="Times New Roman"/>
          <w:sz w:val="18"/>
          <w:szCs w:val="18"/>
          <w:color w:val="auto"/>
        </w:rPr>
      </w:pPr>
    </w:p>
    <w:p>
      <w:pPr>
        <w:ind w:left="420" w:right="40" w:firstLine="419"/>
        <w:spacing w:after="0" w:line="282" w:lineRule="auto"/>
        <w:tabs>
          <w:tab w:leader="none" w:pos="1058" w:val="left"/>
        </w:tabs>
        <w:numPr>
          <w:ilvl w:val="1"/>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(x) interest rates, fees and final maturity (which shall, subject to </w:t>
      </w:r>
      <w:r>
        <w:rPr>
          <w:rFonts w:ascii="Times New Roman" w:cs="Times New Roman" w:eastAsia="Times New Roman" w:hAnsi="Times New Roman"/>
          <w:sz w:val="18"/>
          <w:szCs w:val="18"/>
          <w:u w:val="single" w:color="auto"/>
          <w:color w:val="auto"/>
        </w:rPr>
        <w:t>clause (iii)(y)</w:t>
      </w:r>
      <w:r>
        <w:rPr>
          <w:rFonts w:ascii="Times New Roman" w:cs="Times New Roman" w:eastAsia="Times New Roman" w:hAnsi="Times New Roman"/>
          <w:sz w:val="18"/>
          <w:szCs w:val="18"/>
          <w:color w:val="auto"/>
        </w:rPr>
        <w:t xml:space="preserve"> below, be determined by the Borrower and set forth in the relevant Extension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60"/>
          </w:cols>
          <w:pgMar w:left="460" w:top="270" w:right="479" w:bottom="1440" w:gutter="0" w:footer="0" w:header="0"/>
        </w:sectPr>
      </w:pPr>
    </w:p>
    <w:bookmarkStart w:id="462" w:name="page463"/>
    <w:bookmarkEnd w:id="46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Offer), (y) terms applicable to such Extended Revolving Credit Commitments or Extended Revolving Loans that are more favorable to the lenders or the agent of such Extended Revolving Credit Commitments or Extended Revolving Loans than those contained in the Loan Documents and are then conformed (or added) to the Loan Documents on or prior to the effectiveness of such Extension for the benefit of the Revolving Lenders or, as applicable, the Administrative Agent pursuant to the applicable Extension Amendment and (z) any terms or other provisions applicable only to periods after the Latest Revolving Loan Maturity Date (in each case, as of the date of such Extension), the commitment of any Revolving Lender that agrees to an Extension (an “</w:t>
      </w:r>
      <w:r>
        <w:rPr>
          <w:rFonts w:ascii="Times New Roman" w:cs="Times New Roman" w:eastAsia="Times New Roman" w:hAnsi="Times New Roman"/>
          <w:sz w:val="18"/>
          <w:szCs w:val="18"/>
          <w:b w:val="1"/>
          <w:bCs w:val="1"/>
          <w:color w:val="auto"/>
        </w:rPr>
        <w:t>Extended Revolving Credit Commitment</w:t>
      </w:r>
      <w:r>
        <w:rPr>
          <w:rFonts w:ascii="Times New Roman" w:cs="Times New Roman" w:eastAsia="Times New Roman" w:hAnsi="Times New Roman"/>
          <w:sz w:val="18"/>
          <w:szCs w:val="18"/>
          <w:color w:val="auto"/>
        </w:rPr>
        <w:t>”; and the Loans thereunder, “</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xml:space="preserve">”), and the related outstandings, shall be a revolving commitment (or related outstandings, as the case may be) with substantially consistent terms (or terms not less favorable to existing Revolving Lenders) as the Class of Revolving Credit Commitments subject to the relevant Extension Offer (and related outstandings) provided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more than one Revolving Facility exists after giving effect to any such Extension, (1) the borrowing and repayment (except for (A) payments of interest and fees at different rates on any Revolving Facility (and related outstandings), (B) repayments required upon the Maturity Date of any Revolving Facility and (C) repayments made in connection with any permanent repayment and termination of any Revolving Credit Commitments (subject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below)) of Extended Revolving Loans after the effective date of such Extended Revolving Credit Commitments shall be made on a pro rata basis with all other Revolving Facilities, (2) all swingline loans and/or letters of credit made or issued, as applicable, under any Extended Revolving Credit Commitment shall be participated on a pro rata basis by all Revolving Lenders of the applicable Class and (3) any permanent repayment of Revolving Loans with respect to, and reduction or termination of Revolving Credit Commitments under, any Revolving Facility after the effective date of such Extended Revolving Credit Commitments shall be made on a pro rata basis or less than pro rata basis with all other Revolving Facilities, except that the Borrower shall be permitted to permanently repay Revolving Loans and terminate Revolving Credit Commitments of any Revolving Facility on a greater than pro rata basis (I) as compared to any other Revolving Facilities with a later Maturity Date than such Revolving Facility or (II) to the extent refinanced or replaced with a Replacement Revolving Facility or Replacement Debt;</w:t>
      </w:r>
    </w:p>
    <w:p>
      <w:pPr>
        <w:spacing w:after="0" w:line="81" w:lineRule="exact"/>
        <w:rPr>
          <w:sz w:val="20"/>
          <w:szCs w:val="20"/>
          <w:color w:val="auto"/>
        </w:rPr>
      </w:pPr>
    </w:p>
    <w:p>
      <w:pPr>
        <w:ind w:right="20" w:firstLine="419"/>
        <w:spacing w:after="0" w:line="254" w:lineRule="auto"/>
        <w:tabs>
          <w:tab w:leader="none" w:pos="688"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to (x) interest rates, fees, amortization, final maturity date, premiums, required prepayment dates and participation in prepayments (which shall, subject to immediately succeeding </w:t>
      </w:r>
      <w:r>
        <w:rPr>
          <w:rFonts w:ascii="Times New Roman" w:cs="Times New Roman" w:eastAsia="Times New Roman" w:hAnsi="Times New Roman"/>
          <w:sz w:val="18"/>
          <w:szCs w:val="18"/>
          <w:u w:val="single" w:color="auto"/>
          <w:color w:val="auto"/>
        </w:rPr>
        <w:t>clauses (iii)(x)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be determined by the Borrower and set forth in the relevant Extension Offer), (y) terms applicable to such Extended Term Loans that are more favorable to the lenders or the agent of such Extended Term Loans than those contained in the Loan Documents and are then conformed (or added) to the Loan Documents on or prior to the effectiveness of such Extension for the benefit of the Term Lenders or, as applicable, the Administrative Agent pursuant to the applicable Extension Amendment and (z) any terms or other provisions applicable only to periods after the Latest Term Loan Maturity Date (in each case, as of the date of such Extension), the Term Loans of any Lender extended pursuant to any Extension (any such extended Term Loans, the “</w:t>
      </w:r>
      <w:r>
        <w:rPr>
          <w:rFonts w:ascii="Times New Roman" w:cs="Times New Roman" w:eastAsia="Times New Roman" w:hAnsi="Times New Roman"/>
          <w:sz w:val="18"/>
          <w:szCs w:val="18"/>
          <w:b w:val="1"/>
          <w:bCs w:val="1"/>
          <w:color w:val="auto"/>
        </w:rPr>
        <w:t>Extended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 Loans</w:t>
      </w:r>
      <w:r>
        <w:rPr>
          <w:rFonts w:ascii="Times New Roman" w:cs="Times New Roman" w:eastAsia="Times New Roman" w:hAnsi="Times New Roman"/>
          <w:sz w:val="18"/>
          <w:szCs w:val="18"/>
          <w:color w:val="auto"/>
        </w:rPr>
        <w:t>”) shall have substantially consistent terms (or terms not less favorable to existing Lenders) as the tranche of Term Loans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relevant Extension Offer;</w:t>
      </w:r>
    </w:p>
    <w:p>
      <w:pPr>
        <w:spacing w:after="0" w:line="80" w:lineRule="exact"/>
        <w:rPr>
          <w:rFonts w:ascii="Times New Roman" w:cs="Times New Roman" w:eastAsia="Times New Roman" w:hAnsi="Times New Roman"/>
          <w:sz w:val="18"/>
          <w:szCs w:val="18"/>
          <w:color w:val="auto"/>
        </w:rPr>
      </w:pPr>
    </w:p>
    <w:p>
      <w:pPr>
        <w:jc w:val="both"/>
        <w:ind w:right="200" w:firstLine="419"/>
        <w:spacing w:after="0" w:line="266" w:lineRule="auto"/>
        <w:tabs>
          <w:tab w:leader="none" w:pos="738" w:val="left"/>
        </w:tabs>
        <w:numPr>
          <w:ilvl w:val="0"/>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final maturity date of any Extended Term Loans shall be no earlier than the then applicable Latest Term Loan Maturity Date at the time of extension and (y) no Extended Revolving Credit Commitments or Extended Revolving Loans shall have a final maturity date earlier than (or require commitment reductions prior to) the then applicable Latest Revolving Loan Maturity Date;</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560"/>
          </w:cols>
          <w:pgMar w:left="880" w:top="270" w:right="459" w:bottom="1440" w:gutter="0" w:footer="0" w:header="0"/>
        </w:sectPr>
      </w:pPr>
    </w:p>
    <w:bookmarkStart w:id="463" w:name="page464"/>
    <w:bookmarkEnd w:id="463"/>
    <w:p>
      <w:pPr>
        <w:ind w:left="440" w:right="260" w:firstLine="419"/>
        <w:spacing w:after="0" w:line="282" w:lineRule="auto"/>
        <w:tabs>
          <w:tab w:leader="none" w:pos="1168"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Weighted Average Life to Maturity of any Extended Term Loans shall be no shorter than the remaining Weighted Average Life to Maturity of any then-existing Term Loans;</w:t>
      </w:r>
    </w:p>
    <w:p>
      <w:pPr>
        <w:spacing w:after="0" w:line="53"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above, any Extended Term Loans may otherwise have an amortization schedule as determined by the Borrower and the Lenders providing such Extended Term Loans;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Extended Term Loans may provide for the ability to participate (A) on a pro rata basis or non-pro rata basis in any voluntary prepayment of Term Loans made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(B) on a pro rata or less than pro rata basis (but not on a greater than pro rata basis other than in the case of prepayment with proceeds of Indebtedness refinancing such Extended Term Loans) in any mandatory prepayment of Term Loans required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218"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aggregate principal amount of Loans or commitments, as the case may be, in respect of which Lenders shall have accepted the relevant Extension Offer exceeds the maximum aggregate principal amount of Loans or commitments, as the case may be, offered to be extended by the Borrower pursuant to such Extension Offer, then the Loans or commitments, as the case may be, of such Lenders shall be extended ratably up to such maximum amount based on the respective principal amounts (but not to exceed actual holdings of record) held by Lenders that have accepted such Extension Offer;</w:t>
      </w:r>
    </w:p>
    <w:p>
      <w:pPr>
        <w:spacing w:after="0" w:line="75"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Administrative Agent otherwise agrees, each Extension shall be in a minimum amount of $5,000,000;</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Minimum Extension Condition shall be satisfied or waived by the Borrower;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documentation in respect of such Extension shall be consistent with the foregoing.</w:t>
      </w:r>
    </w:p>
    <w:p>
      <w:pPr>
        <w:spacing w:after="0" w:line="225" w:lineRule="exact"/>
        <w:rPr>
          <w:rFonts w:ascii="Times New Roman" w:cs="Times New Roman" w:eastAsia="Times New Roman" w:hAnsi="Times New Roman"/>
          <w:sz w:val="18"/>
          <w:szCs w:val="18"/>
          <w:color w:val="auto"/>
        </w:rPr>
      </w:pPr>
    </w:p>
    <w:p>
      <w:pPr>
        <w:ind w:right="120" w:firstLine="436"/>
        <w:spacing w:after="0" w:line="253" w:lineRule="auto"/>
        <w:tabs>
          <w:tab w:leader="none" w:pos="695" w:val="left"/>
        </w:tabs>
        <w:numPr>
          <w:ilvl w:val="0"/>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Extension consummated pursuant to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 no such Extension shall constitute a voluntary or mandatory prepayment for purposes of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(ii) the scheduled amortization payments (in so far as such schedule affects payments due to Lenders participating in the relevant Class) set forth in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shall be adjusted to give effect to such Extension of the relevant Class and (iii) except as set forth in </w:t>
      </w:r>
      <w:r>
        <w:rPr>
          <w:rFonts w:ascii="Times New Roman" w:cs="Times New Roman" w:eastAsia="Times New Roman" w:hAnsi="Times New Roman"/>
          <w:sz w:val="18"/>
          <w:szCs w:val="18"/>
          <w:u w:val="single" w:color="auto"/>
          <w:color w:val="auto"/>
        </w:rPr>
        <w:t>clause (a)(viii)</w:t>
      </w:r>
      <w:r>
        <w:rPr>
          <w:rFonts w:ascii="Times New Roman" w:cs="Times New Roman" w:eastAsia="Times New Roman" w:hAnsi="Times New Roman"/>
          <w:sz w:val="18"/>
          <w:szCs w:val="18"/>
          <w:color w:val="auto"/>
        </w:rPr>
        <w:t xml:space="preserve"> above, no Extension Offer is required to be in any minimum amount or any minimum increment;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may, at its election, specify as a condition (a “</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to consummating such Extension that a minimum amount (to be determined and specified in the relevant Extension Offer in the Borrower’s sole discretion and which may be waived by the Borrower in its sole discretion) of Loans or commitments (as applicable) of any or all applicable Classes be tendered. The Administrative Agent and the Lenders hereby consent to the transactions contemplated by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 xml:space="preserve"> (including, for the avoidance of doubt, any payment of any interest, fees or premium in respect of any tranche of Extended Term Loans and/or Extended Revolving Credit Commitments on such terms as may be set forth in the relevant Extension Offer) and hereby waive the requirements of any provision of this Agreement (including </w:t>
      </w:r>
      <w:r>
        <w:rPr>
          <w:rFonts w:ascii="Times New Roman" w:cs="Times New Roman" w:eastAsia="Times New Roman" w:hAnsi="Times New Roman"/>
          <w:sz w:val="18"/>
          <w:szCs w:val="18"/>
          <w:u w:val="single" w:color="auto"/>
          <w:color w:val="auto"/>
        </w:rPr>
        <w:t>Sections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or any other Loan Document that may otherwise prohibit any Extension or any other transaction contemplated by this Section.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20"/>
          </w:cols>
          <w:pgMar w:left="440" w:top="270" w:right="439" w:bottom="1440" w:gutter="0" w:footer="0" w:header="0"/>
        </w:sectPr>
      </w:pPr>
    </w:p>
    <w:bookmarkStart w:id="464" w:name="page465"/>
    <w:bookmarkEnd w:id="464"/>
    <w:p>
      <w:pPr>
        <w:ind w:left="4" w:firstLine="436"/>
        <w:spacing w:after="0" w:line="252" w:lineRule="auto"/>
        <w:tabs>
          <w:tab w:leader="none" w:pos="689"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consent of any Lender or the Administrative Agent shall be required to effectuate any Extension, other than (A) the consent of each Lender agreeing to such Extension with respect to one or more of its Loans and/or commitments under any Class (or a portion thereof), (B) with respect to any Extension of the Revolving Credit Commitments, the consent of each Issuing Bank to the extent the commitment to provide Letters of Credit is to be extended and (C) with respect to any Extension of the Revolving Credit Commitments, the consent of the Swingline Lender to the extent the swingline facility is to be extended (in each case which consent shall not be unreasonably withheld or delayed). All Extended Term Loans and Extended Revolving Credit Commitments and all obligations in respect thereof shall constitute Obligations under this Agreement and the other Loan Documents that are secured by the Collateral and guaranteed on a pari passu basis with all other Obligations under this Agreement and the other Loan Documents. The Lenders hereby irrevocably authorize (and direct) the Administrative Agent to enter into any Extension Amendment and such other amendments to this Agreement and the other Loan Documents with any Loan Parties as may be necessary in order to establish new Classes or sub-Classes in respect of Loans or commitments so extended and such technical amendments as may be necessary or appropriate in the reasonable opinion of the Administrative Agent and the Borrower in connection with the establishment of such new Classes or sub-Classes, in each case on terms consistent with this</w:t>
      </w:r>
    </w:p>
    <w:p>
      <w:pPr>
        <w:spacing w:after="0" w:line="3"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left="4" w:right="80" w:firstLine="436"/>
        <w:spacing w:after="0" w:line="261" w:lineRule="auto"/>
        <w:tabs>
          <w:tab w:leader="none" w:pos="699" w:val="left"/>
        </w:tabs>
        <w:numPr>
          <w:ilvl w:val="0"/>
          <w:numId w:val="6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Extension, the Borrower shall provide the Administrative Agent at least five Business Days’ (or such shorter period as may be agreed by the Administrative Agent) prior written notice thereof, and shall agree to such procedures (including regarding timing, rounding and other adjustments and to ensure reasonable administrative management of the credit facilities hereunder after such Extension), if any, as may be established by, or acceptable to, the Administrative Agent, in each case acting reasonably to accomplish the purposes of this </w:t>
      </w:r>
      <w:r>
        <w:rPr>
          <w:rFonts w:ascii="Times New Roman" w:cs="Times New Roman" w:eastAsia="Times New Roman" w:hAnsi="Times New Roman"/>
          <w:sz w:val="18"/>
          <w:szCs w:val="18"/>
          <w:u w:val="single" w:color="auto"/>
          <w:color w:val="auto"/>
        </w:rPr>
        <w:t>Section 2.23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2.24. </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80" w:firstLine="436"/>
        <w:spacing w:after="0" w:line="276" w:lineRule="auto"/>
        <w:tabs>
          <w:tab w:leader="none" w:pos="689" w:val="left"/>
        </w:tabs>
        <w:numPr>
          <w:ilvl w:val="1"/>
          <w:numId w:val="6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Notwithstanding anything to the contrary herein or in any other Loan Document, if a Benchmark Transition Event and its related Benchmark Replacement Date have occurred for a currency prior to the Reference Time in respect of any setting of a then-current Benchmark, then</w:t>
      </w:r>
    </w:p>
    <w:p>
      <w:pPr>
        <w:ind w:left="4" w:right="80" w:hanging="4"/>
        <w:spacing w:after="0" w:line="251" w:lineRule="auto"/>
        <w:tabs>
          <w:tab w:leader="none" w:pos="259" w:val="left"/>
        </w:tabs>
        <w:numPr>
          <w:ilvl w:val="0"/>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Benchmark Replacement is determined in accordance with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for such Benchmark Replacement Date, such Benchmark Replacement will replace such Benchmark for all purposes hereunder and under any Loan Document in respect of any such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w:t>
      </w:r>
    </w:p>
    <w:p>
      <w:pPr>
        <w:spacing w:after="0" w:line="193"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99" w:val="left"/>
        </w:tabs>
        <w:numPr>
          <w:ilvl w:val="1"/>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implementation of any Benchmark Replacement, the Administrative Agent will have the right, in consultation with the Borrower,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 If the Benchmark Replacement is Daily Simple SOFR, all interest payments will be payable on a monthly basis.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4"/>
          </w:cols>
          <w:pgMar w:left="436" w:top="270" w:right="459" w:bottom="1440" w:gutter="0" w:footer="0" w:header="0"/>
        </w:sectPr>
      </w:pPr>
    </w:p>
    <w:bookmarkStart w:id="465" w:name="page466"/>
    <w:bookmarkEnd w:id="465"/>
    <w:p>
      <w:pPr>
        <w:ind w:right="20" w:firstLine="436"/>
        <w:spacing w:after="0" w:line="253" w:lineRule="auto"/>
        <w:tabs>
          <w:tab w:leader="none" w:pos="68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will promptly notify the Borrower and the Lenders of (i) any occurrence of a Benchmark Transition Event, (ii) the implementation of any Benchmark Replacement Date and the related Benchmark Replacement, (iii) the effectiveness of any Benchmark Replacement Conforming Changes, (iv) the removal or reinstatement of any tenor of a Benchmark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and (v) the commencement of any Benchmark Unavailability Period. For the avoidance of doubt, any notice required to be delivered by the Administrative Agent as set forth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may be provided, at the option of the Administrative Agent (in its sole discretion), in one or more notices and may be delivered together with, or as part of any amendment which implements any Benchmark Replacement or Benchmark Replacement Conforming Changes.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at any time (including in connection with the implementation of a Benchmark Replacement), (i) if the then-current Benchmark is a term rate (including Term SOFR, the EURIBO Screen Rate or Term CORRA)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94" w:lineRule="exact"/>
        <w:rPr>
          <w:rFonts w:ascii="Times New Roman" w:cs="Times New Roman" w:eastAsia="Times New Roman" w:hAnsi="Times New Roman"/>
          <w:sz w:val="18"/>
          <w:szCs w:val="18"/>
          <w:color w:val="auto"/>
        </w:rPr>
      </w:pPr>
    </w:p>
    <w:p>
      <w:pPr>
        <w:ind w:right="40" w:firstLine="436"/>
        <w:spacing w:after="0" w:line="256" w:lineRule="auto"/>
        <w:tabs>
          <w:tab w:leader="none" w:pos="68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upon the Borrower’s receipt of notice of the commencement of a Benchmark Unavailability Period, the Borrower may revoke any request for a Eurocurrency Rate Borrowing, Alternative Currency Daily Rate Borrowing, Term CORRA Borrowing or Daily Simple CORRA Borrowing, as applicable, of, conversion to or continuation of Eurocurrency Rate Loans, Alternative Currency Daily Rate Loans, Term CORRA Loans or Daily Simple CORRA Loans, as applicable, to be made, converted or continued during any Benchmark Unavailability Period and, failing that, the Borrower will be deemed to have converted any such request into a request for a Borrowing of or conversion to ABR Loans for Borrowings made in Dollars or Canadian Prime Rate Loans for Borrowings made in Canadian Dollars.</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65"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on a Loan denominated in Dollars or an Alternate Currency may be derived from an interest rate benchmark that may be discontinued or is, or may in the future become, the subject of regulatory reform. The Administrative Agent does not warrant or accept responsibility for, and shall not have any liability with respect to (a) the continuation of, administration of, submission of, calculation of or any other matter related any interest rate used in this Agreement (including the Alternate Base Rate, Term SOFR, the EURIBO Screen Rate, SONIA, the Canadian Prime Rate, Term CORRA, Daily Simple CORRA, the Alternative Currency Daily Rate or the Eurocurrency Rate) or any component definition thereof or rates referred to in the definition thereof, or any alternative, successor or replacement rate thereto (including any Benchmark Replacement), including, without limitation, whether the composition or characteristics of any such alternative, successor or replacement rate (including any Benchmark Replacement) will be similar to, or produce the same value or economic equivalence of, the interest rate being replaced or have the same volume or liquidity as did any existing interest rate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1000"/>
          </w:cols>
          <w:pgMar w:left="440" w:top="270" w:right="459" w:bottom="1440" w:gutter="0" w:footer="0" w:header="0"/>
        </w:sectPr>
      </w:pPr>
    </w:p>
    <w:bookmarkStart w:id="466" w:name="page467"/>
    <w:bookmarkEnd w:id="466"/>
    <w:p>
      <w:pPr>
        <w:ind w:left="4" w:right="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in each case the Alternate Base Rate, Term SOFR, the EURIBO Screen Rate, SONIA, the Canadian Prime Rate, Term CORRA, Daily Simple CORRA, the Alternative Currency Daily Rate or the Eurocurrency Rate or any other Benchmark) prior to its discontinuance or unavailability or</w:t>
      </w:r>
    </w:p>
    <w:p>
      <w:pPr>
        <w:spacing w:after="0" w:line="1" w:lineRule="exact"/>
        <w:rPr>
          <w:sz w:val="20"/>
          <w:szCs w:val="20"/>
          <w:color w:val="auto"/>
        </w:rPr>
      </w:pPr>
    </w:p>
    <w:p>
      <w:pPr>
        <w:ind w:left="4" w:hanging="4"/>
        <w:spacing w:after="0" w:line="251" w:lineRule="auto"/>
        <w:tabs>
          <w:tab w:leader="none" w:pos="259" w:val="left"/>
        </w:tabs>
        <w:numPr>
          <w:ilvl w:val="0"/>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implementation or composition of any Benchmark Replacement Conforming Changes. The Administrative Agent and its affiliates or other related entities may engage in transactions consistent with such Person’s general practice that affect the calculation of any interest rate used in this Agreement (including the Alternate Base Rate, Term SOFR, the EURIBO Screen Rate, SONIA, the Canadian Prime Rate, Term CORRA, Daily Simple CORRA, the Alternative Currency Daily Rate or the Eurocurrency Rate) or any alternative, successor or replacement rate (including any Benchmark Replacement) or any relevant adjustments thereto. The Administrative Agent may select information sources or services in its reasonable discretion to ascertain the interest rates used in this Agreement, any component thereof, or rates referenced in the definition therein (including the Alternate Base Rate, Term SOFR, the EURIBO Screen Rate, SONIA, the Canadian Prime Rate, Term CORRA, Daily Simple CORRA, the Alternative Currency Daily Rate or the Eurocurrency Rate or any other Benchmark), in each case pursuant to the terms of this Agreement, and shall have no liability to the Borrower, any Lender, any Issuing Bank or any other person or entity for damages of any kind, including direct or indirect, special, punitive, incidental or consequential damages, costs, losses or expenses (whether in tort, contract or otherwise and whether at law or in equity) resulting from any error in the calculation of any such rate (or component thereof) as provided by any such information source or service.</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(g) As used in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the following terms shall have the meanings specified below:</w:t>
      </w:r>
    </w:p>
    <w:p>
      <w:pPr>
        <w:spacing w:after="0" w:line="113"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2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w:t>
      </w:r>
      <w:r>
        <w:rPr>
          <w:rFonts w:ascii="Times New Roman" w:cs="Times New Roman" w:eastAsia="Times New Roman" w:hAnsi="Times New Roman"/>
          <w:sz w:val="17"/>
          <w:szCs w:val="17"/>
          <w:color w:val="auto"/>
        </w:rPr>
        <w:t xml:space="preserve"> means, initially, with respect to (i) Eurocurrency Rate Loans denominated in Dollars, the Term SOFR, (ii) Eurocurrency Rate Loans denominated in Euros, the EURIBO Screen Rate, (iii) Alternative Currency Daily Rate Loans denominated in Sterling, SONIA or (iv) CORRA Loans, the Term CORRA Reference Rate or Daily Simple CORRA, as the case may be;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a Benchmark Transition Event and its related Benchmark Replacement Date have occurred with respect to the then-current Benchmark, then “Benchmark” shall mean the applicable Benchmark Replacement to the extent that such Benchmark Replacement has replaced such prior benchmark rate pursuant to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Section 2.24</w:t>
      </w:r>
      <w:r>
        <w:rPr>
          <w:rFonts w:ascii="Times New Roman" w:cs="Times New Roman" w:eastAsia="Times New Roman" w:hAnsi="Times New Roman"/>
          <w:sz w:val="17"/>
          <w:szCs w:val="17"/>
          <w:color w:val="auto"/>
        </w:rPr>
        <w:t>.</w:t>
      </w:r>
    </w:p>
    <w:p>
      <w:pPr>
        <w:spacing w:after="0" w:line="164" w:lineRule="exact"/>
        <w:rPr>
          <w:sz w:val="20"/>
          <w:szCs w:val="20"/>
          <w:color w:val="auto"/>
        </w:rPr>
      </w:pPr>
    </w:p>
    <w:p>
      <w:pPr>
        <w:ind w:left="4" w:right="1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Benchmark Replacement</w:t>
      </w:r>
      <w:r>
        <w:rPr>
          <w:rFonts w:ascii="Times New Roman" w:cs="Times New Roman" w:eastAsia="Times New Roman" w:hAnsi="Times New Roman"/>
          <w:sz w:val="17"/>
          <w:szCs w:val="17"/>
          <w:color w:val="auto"/>
        </w:rPr>
        <w:t xml:space="preserve">” means, for any Available Tenor, the first alternative set forth below and (where applicable) in the order set forth below for the currency that can be determined by the Administrative Agent for the applicable Benchmark Replacement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for any Loans denominated in an Alternate Currency other than Canadian Dollars, “Benchmark Replacement” shall mean the alternative set forth in (2) below:</w:t>
      </w:r>
    </w:p>
    <w:p>
      <w:pPr>
        <w:spacing w:after="0" w:line="62" w:lineRule="exact"/>
        <w:rPr>
          <w:sz w:val="20"/>
          <w:szCs w:val="20"/>
          <w:color w:val="auto"/>
        </w:rPr>
      </w:pPr>
    </w:p>
    <w:p>
      <w:pPr>
        <w:ind w:left="964" w:right="160" w:hanging="532"/>
        <w:spacing w:after="0" w:line="282" w:lineRule="auto"/>
        <w:tabs>
          <w:tab w:leader="none" w:pos="964"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(a)(x) in the case of any Loans denominated in Dollars, Daily Simple SOFR, and (y) in the case of any Loans denominated in Canadian Dollars, Daily Simple CORRA and (b) the related Benchmark Replacement Adjustment;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4"/>
          </w:cols>
          <w:pgMar w:left="436" w:top="270" w:right="459" w:bottom="1440" w:gutter="0" w:footer="0" w:header="0"/>
        </w:sectPr>
      </w:pPr>
    </w:p>
    <w:bookmarkStart w:id="467" w:name="page468"/>
    <w:bookmarkEnd w:id="467"/>
    <w:p>
      <w:pPr>
        <w:ind w:left="964" w:hanging="532"/>
        <w:spacing w:after="0" w:line="258" w:lineRule="auto"/>
        <w:tabs>
          <w:tab w:leader="none" w:pos="964" w:val="left"/>
        </w:tabs>
        <w:numPr>
          <w:ilvl w:val="0"/>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currency at such time and (b) the related Benchmark Replacement Adjustment.</w:t>
      </w:r>
    </w:p>
    <w:p>
      <w:pPr>
        <w:spacing w:after="0" w:line="183" w:lineRule="exact"/>
        <w:rPr>
          <w:sz w:val="20"/>
          <w:szCs w:val="20"/>
          <w:color w:val="auto"/>
        </w:rPr>
      </w:pPr>
    </w:p>
    <w:p>
      <w:pPr>
        <w:ind w:left="4" w:right="500"/>
        <w:spacing w:after="0" w:line="266" w:lineRule="auto"/>
        <w:rPr>
          <w:sz w:val="20"/>
          <w:szCs w:val="20"/>
          <w:color w:val="auto"/>
        </w:rPr>
      </w:pPr>
      <w:r>
        <w:rPr>
          <w:rFonts w:ascii="Times New Roman" w:cs="Times New Roman" w:eastAsia="Times New Roman" w:hAnsi="Times New Roman"/>
          <w:sz w:val="18"/>
          <w:szCs w:val="18"/>
          <w:color w:val="auto"/>
        </w:rPr>
        <w:t xml:space="preserve">If the Benchmark Replacement as determined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above would be less than the Floor for the applicable Benchmark, the Benchmark Replacement will be deemed to be the Floor applicable to such Benchmark for the purposes of this Agreement and the other Loan Documents.</w:t>
      </w:r>
    </w:p>
    <w:p>
      <w:pPr>
        <w:spacing w:after="0" w:line="172" w:lineRule="exact"/>
        <w:rPr>
          <w:sz w:val="20"/>
          <w:szCs w:val="20"/>
          <w:color w:val="auto"/>
        </w:rPr>
      </w:pPr>
    </w:p>
    <w:p>
      <w:pPr>
        <w:ind w:left="4"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 current Benchmark with an Unadjusted Benchmark Replacement for any applicable Interest Period and Available Tenor for any setting of such Unadjusted Benchmark Replacement:</w:t>
      </w:r>
    </w:p>
    <w:p>
      <w:pPr>
        <w:spacing w:after="0" w:line="64" w:lineRule="exact"/>
        <w:rPr>
          <w:sz w:val="20"/>
          <w:szCs w:val="20"/>
          <w:color w:val="auto"/>
        </w:rPr>
      </w:pPr>
    </w:p>
    <w:p>
      <w:pPr>
        <w:ind w:left="544" w:right="80" w:hanging="544"/>
        <w:spacing w:after="0" w:line="254" w:lineRule="auto"/>
        <w:tabs>
          <w:tab w:leader="none" w:pos="54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of the definition of “Benchmark Replacement,” the first alternative set forth in the order below that can be determined by the Administrative Agent: (a) 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 or (b) 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97" w:lineRule="exact"/>
        <w:rPr>
          <w:rFonts w:ascii="Times New Roman" w:cs="Times New Roman" w:eastAsia="Times New Roman" w:hAnsi="Times New Roman"/>
          <w:sz w:val="18"/>
          <w:szCs w:val="18"/>
          <w:color w:val="auto"/>
        </w:rPr>
      </w:pPr>
    </w:p>
    <w:p>
      <w:pPr>
        <w:ind w:left="544" w:right="80" w:hanging="544"/>
        <w:spacing w:after="0" w:line="253" w:lineRule="auto"/>
        <w:tabs>
          <w:tab w:leader="none" w:pos="544" w:val="left"/>
        </w:tabs>
        <w:numPr>
          <w:ilvl w:val="0"/>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and currency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syndicated credit facilities in the U.S. syndicated loan market denominated in the applicable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such adjustment is displayed on a screen or other information service that publishes such Benchmark Replacement Adjustment from time to time as selected by the Administrative Agent in its reasonable discretion.</w:t>
      </w:r>
    </w:p>
    <w:p>
      <w:pPr>
        <w:spacing w:after="0" w:line="190"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Conforming Changes</w:t>
      </w:r>
      <w:r>
        <w:rPr>
          <w:rFonts w:ascii="Times New Roman" w:cs="Times New Roman" w:eastAsia="Times New Roman" w:hAnsi="Times New Roman"/>
          <w:sz w:val="18"/>
          <w:szCs w:val="18"/>
          <w:color w:val="auto"/>
        </w:rPr>
        <w:t>” means, with respect to any Benchmark Replacement, any technical, administrative or operational changes (including changes to the definition of “ABR,” the definition of “Canadian Prime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the formula for calculating any successor rates identified pursuant to the definition of “Benchmark Replacement”, the formula, methodology or convention for applying the successor Floor to the successor Benchmark Replacement and other technical, administrative or operational matters) that the Administrative Agent decides in its reasonable discretion (and in</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4"/>
          </w:cols>
          <w:pgMar w:left="436" w:top="270" w:right="459" w:bottom="1440" w:gutter="0" w:footer="0" w:header="0"/>
        </w:sectPr>
      </w:pPr>
    </w:p>
    <w:bookmarkStart w:id="468" w:name="page469"/>
    <w:bookmarkEnd w:id="468"/>
    <w:p>
      <w:pPr>
        <w:ind w:left="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consultation with the Borrower) may be appropriate to reflect the adoption and implementation of such Benchmark Replacement and to permit the administration thereof by the Administrative Agent in a manner substantially consistent with market practice (or, if the Administrative Agent decides in its reasonable discretion (and in consultation with the Borrower) that adoption of any portion of such market practice is not administratively feasible or if the Administrative Agent determines in its reasonable discretion (and in consultation with the Borrower) that no market practice for the administration of such Benchmark Replacement exists, in such other manner of administration as the Administrative Agent decides is reasonably necessary (and in consultation with the Borrower) in connection with the administration of this Agreement and the other Loan Documents).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w:t>
      </w:r>
    </w:p>
    <w:p>
      <w:pPr>
        <w:spacing w:after="0" w:line="135" w:lineRule="exact"/>
        <w:rPr>
          <w:sz w:val="20"/>
          <w:szCs w:val="20"/>
          <w:color w:val="auto"/>
        </w:rPr>
      </w:pPr>
    </w:p>
    <w:p>
      <w:pPr>
        <w:ind w:left="544" w:right="180" w:hanging="544"/>
        <w:spacing w:after="0" w:line="289" w:lineRule="auto"/>
        <w:tabs>
          <w:tab w:leader="none" w:pos="544" w:val="left"/>
        </w:tabs>
        <w:numPr>
          <w:ilvl w:val="0"/>
          <w:numId w:val="6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w:t>
      </w:r>
      <w:r>
        <w:rPr>
          <w:rFonts w:ascii="Times New Roman" w:cs="Times New Roman" w:eastAsia="Times New Roman" w:hAnsi="Times New Roman"/>
          <w:sz w:val="17"/>
          <w:szCs w:val="17"/>
          <w:u w:val="single" w:color="auto"/>
          <w:color w:val="auto"/>
        </w:rPr>
        <w:t>clause (1)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 or</w:t>
      </w:r>
    </w:p>
    <w:p>
      <w:pPr>
        <w:spacing w:after="0" w:line="63" w:lineRule="exact"/>
        <w:rPr>
          <w:rFonts w:ascii="Times New Roman" w:cs="Times New Roman" w:eastAsia="Times New Roman" w:hAnsi="Times New Roman"/>
          <w:sz w:val="17"/>
          <w:szCs w:val="17"/>
          <w:color w:val="auto"/>
        </w:rPr>
      </w:pPr>
    </w:p>
    <w:p>
      <w:pPr>
        <w:ind w:left="544" w:right="600" w:hanging="544"/>
        <w:spacing w:after="0" w:line="282" w:lineRule="auto"/>
        <w:tabs>
          <w:tab w:leader="none" w:pos="544"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“Benchmark Transition Event,” the date of the public statement or publication of information referenced therein.</w:t>
      </w:r>
    </w:p>
    <w:p>
      <w:pPr>
        <w:spacing w:after="0" w:line="162"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(2) with respect to any Benchmark upon the occurrence of the applicable event or events set forth therein with respect to all then-current Available Tenors of such Benchmark (or the published component used in the calculation thereof).</w:t>
      </w:r>
    </w:p>
    <w:p>
      <w:pPr>
        <w:spacing w:after="0" w:line="179"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with respect to any Benchmark, the occurrence of one or more of the following events with respect to the then-current Benchmark:</w:t>
      </w:r>
    </w:p>
    <w:p>
      <w:pPr>
        <w:spacing w:after="0" w:line="64" w:lineRule="exact"/>
        <w:rPr>
          <w:sz w:val="20"/>
          <w:szCs w:val="20"/>
          <w:color w:val="auto"/>
        </w:rPr>
      </w:pPr>
    </w:p>
    <w:p>
      <w:pPr>
        <w:ind w:left="544" w:right="40" w:hanging="544"/>
        <w:spacing w:after="0" w:line="258" w:lineRule="auto"/>
        <w:tabs>
          <w:tab w:leader="none" w:pos="54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spacing w:after="0" w:line="88" w:lineRule="exact"/>
        <w:rPr>
          <w:rFonts w:ascii="Times New Roman" w:cs="Times New Roman" w:eastAsia="Times New Roman" w:hAnsi="Times New Roman"/>
          <w:sz w:val="18"/>
          <w:szCs w:val="18"/>
          <w:color w:val="auto"/>
        </w:rPr>
      </w:pPr>
    </w:p>
    <w:p>
      <w:pPr>
        <w:ind w:left="544" w:right="120" w:hanging="544"/>
        <w:spacing w:after="0" w:line="253" w:lineRule="auto"/>
        <w:tabs>
          <w:tab w:leader="none" w:pos="544" w:val="left"/>
        </w:tabs>
        <w:numPr>
          <w:ilvl w:val="0"/>
          <w:numId w:val="6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public statement or publication of information by the regulatory supervisor for the administrator of such Benchmark (or the published component used in the calculation thereof), the Board or the Federal Reserve Bank of New York, the Term SOFR Administrator, the Term CORRA Administrator,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such Benchmark (or such component thereof) or, if such Benchmark is a term rate,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4"/>
          </w:cols>
          <w:pgMar w:left="436" w:top="270" w:right="459" w:bottom="1440" w:gutter="0" w:footer="0" w:header="0"/>
        </w:sectPr>
      </w:pPr>
    </w:p>
    <w:bookmarkStart w:id="469" w:name="page470"/>
    <w:bookmarkEnd w:id="469"/>
    <w:p>
      <w:pPr>
        <w:ind w:left="544" w:right="200" w:hanging="544"/>
        <w:spacing w:after="0" w:line="261" w:lineRule="auto"/>
        <w:tabs>
          <w:tab w:leader="none" w:pos="544" w:val="left"/>
        </w:tabs>
        <w:numPr>
          <w:ilvl w:val="0"/>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representative, or as of a specified date will no longer be representative.</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with respect to any then-current Benchmark, the period (if any) (x) beginning at the time that a Benchmark Replacement Date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of that definition has occurred if, at such time, no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 xml:space="preserve"> and (y) ending at the time that a Benchmark Replacement has replaced the then-current Benchmark for all purposes hereunder and under any Loan Document in accordance with this </w:t>
      </w:r>
      <w:r>
        <w:rPr>
          <w:rFonts w:ascii="Times New Roman" w:cs="Times New Roman" w:eastAsia="Times New Roman" w:hAnsi="Times New Roman"/>
          <w:sz w:val="18"/>
          <w:szCs w:val="18"/>
          <w:u w:val="single" w:color="auto"/>
          <w:color w:val="auto"/>
        </w:rPr>
        <w:t>Section 2.24</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CORRA Administrator</w:t>
      </w:r>
      <w:r>
        <w:rPr>
          <w:rFonts w:ascii="Times New Roman" w:cs="Times New Roman" w:eastAsia="Times New Roman" w:hAnsi="Times New Roman"/>
          <w:sz w:val="18"/>
          <w:szCs w:val="18"/>
          <w:color w:val="auto"/>
        </w:rPr>
        <w:t>” means the Bank of Canada (or any successor administrator).</w:t>
      </w:r>
    </w:p>
    <w:p>
      <w:pPr>
        <w:spacing w:after="0" w:line="225"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Corresponding Tenor</w:t>
      </w:r>
      <w:r>
        <w:rPr>
          <w:rFonts w:ascii="Times New Roman" w:cs="Times New Roman" w:eastAsia="Times New Roman" w:hAnsi="Times New Roman"/>
          <w:sz w:val="18"/>
          <w:szCs w:val="18"/>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5"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Daily Simple SOFR</w:t>
      </w:r>
      <w:r>
        <w:rPr>
          <w:rFonts w:ascii="Times New Roman" w:cs="Times New Roman" w:eastAsia="Times New Roman" w:hAnsi="Times New Roman"/>
          <w:sz w:val="17"/>
          <w:szCs w:val="17"/>
          <w:color w:val="auto"/>
        </w:rPr>
        <w:t>” means, for any day (a “</w:t>
      </w:r>
      <w:r>
        <w:rPr>
          <w:rFonts w:ascii="Times New Roman" w:cs="Times New Roman" w:eastAsia="Times New Roman" w:hAnsi="Times New Roman"/>
          <w:sz w:val="17"/>
          <w:szCs w:val="17"/>
          <w:b w:val="1"/>
          <w:bCs w:val="1"/>
          <w:color w:val="auto"/>
        </w:rPr>
        <w:t>SOFR Rate Day</w:t>
      </w:r>
      <w:r>
        <w:rPr>
          <w:rFonts w:ascii="Times New Roman" w:cs="Times New Roman" w:eastAsia="Times New Roman" w:hAnsi="Times New Roman"/>
          <w:sz w:val="17"/>
          <w:szCs w:val="17"/>
          <w:color w:val="auto"/>
        </w:rPr>
        <w:t>”), a rate per annum equal to the greater of (a) SOFR for the day (such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that is five U.S. Government Securities Business Days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w:t>
      </w:r>
      <w:r>
        <w:rPr>
          <w:rFonts w:ascii="Times New Roman" w:cs="Times New Roman" w:eastAsia="Times New Roman" w:hAnsi="Times New Roman"/>
          <w:sz w:val="25"/>
          <w:szCs w:val="25"/>
          <w:color w:val="auto"/>
          <w:vertAlign w:val="superscript"/>
        </w:rPr>
        <w:t>nd</w:t>
      </w:r>
      <w:r>
        <w:rPr>
          <w:rFonts w:ascii="Times New Roman" w:cs="Times New Roman" w:eastAsia="Times New Roman" w:hAnsi="Times New Roman"/>
          <w:sz w:val="17"/>
          <w:szCs w:val="17"/>
          <w:color w:val="auto"/>
        </w:rPr>
        <w:t>) U.S. Government Securities Business Day immediately following any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the SOFR in respect of such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has not been published on the SOFR Administrator’s Website, then the SOFR for such day “</w:t>
      </w:r>
      <w:r>
        <w:rPr>
          <w:rFonts w:ascii="Times New Roman" w:cs="Times New Roman" w:eastAsia="Times New Roman" w:hAnsi="Times New Roman"/>
          <w:sz w:val="17"/>
          <w:szCs w:val="17"/>
          <w:i w:val="1"/>
          <w:iCs w:val="1"/>
          <w:color w:val="auto"/>
        </w:rPr>
        <w:t>i</w:t>
      </w:r>
      <w:r>
        <w:rPr>
          <w:rFonts w:ascii="Times New Roman" w:cs="Times New Roman" w:eastAsia="Times New Roman" w:hAnsi="Times New Roman"/>
          <w:sz w:val="17"/>
          <w:szCs w:val="17"/>
          <w:color w:val="auto"/>
        </w:rPr>
        <w:t xml:space="preserve">” will be the SOFR as published in respect of the first preceding U.S. Government Securities Business Day for which such SOFR was published on the SOFR Administrator’s Website;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SOFR determined pursuant to this sentence shall be utilized for purposes of calculation of Daily Simple SOFR for no more than three</w:t>
      </w:r>
    </w:p>
    <w:p>
      <w:pPr>
        <w:spacing w:after="0" w:line="5" w:lineRule="exact"/>
        <w:rPr>
          <w:sz w:val="20"/>
          <w:szCs w:val="20"/>
          <w:color w:val="auto"/>
        </w:rPr>
      </w:pPr>
    </w:p>
    <w:p>
      <w:pPr>
        <w:ind w:left="4" w:right="160" w:hanging="4"/>
        <w:spacing w:after="0" w:line="260" w:lineRule="auto"/>
        <w:tabs>
          <w:tab w:leader="none" w:pos="259" w:val="left"/>
        </w:tabs>
        <w:numPr>
          <w:ilvl w:val="0"/>
          <w:numId w:val="6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SOFR Rate Days. Any change in Daily Simple SOFR due to a change in SOFR shall be effective from and including the effective date of such change in SOFR without notice to the Borrower.</w:t>
      </w:r>
    </w:p>
    <w:p>
      <w:pPr>
        <w:spacing w:after="0" w:line="177"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shall mean the benchmark rate floor, if any, provided in this Agreement initially (or, in the case of other Loans incurred subsequent to the date of this Agreement, any other benchmark rate floor agreed to therefor) (as of the execution of this Agreement, the modification, amendment or renewal of this Agreement or otherwise) with respect to any applicable Benchmark. For the avoidance of doubt, the initial Floor for each of Term SOFR, the EURIBO Screen Rate, SONIA, Term CORRA and Daily Simple CORRA shall be zero.</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4"/>
          </w:cols>
          <w:pgMar w:left="436" w:top="270" w:right="459" w:bottom="1440" w:gutter="0" w:footer="0" w:header="0"/>
        </w:sectPr>
      </w:pPr>
    </w:p>
    <w:bookmarkStart w:id="470" w:name="page471"/>
    <w:bookmarkEnd w:id="470"/>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ISDA Definitions</w:t>
      </w:r>
      <w:r>
        <w:rPr>
          <w:rFonts w:ascii="Times New Roman" w:cs="Times New Roman" w:eastAsia="Times New Roman" w:hAnsi="Times New Roman"/>
          <w:sz w:val="18"/>
          <w:szCs w:val="18"/>
          <w:color w:val="auto"/>
        </w:rPr>
        <w:t>” shall mean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71" w:lineRule="exact"/>
        <w:rPr>
          <w:sz w:val="20"/>
          <w:szCs w:val="20"/>
          <w:color w:val="auto"/>
        </w:rPr>
      </w:pPr>
    </w:p>
    <w:p>
      <w:pPr>
        <w:ind w:left="4"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Time</w:t>
      </w:r>
      <w:r>
        <w:rPr>
          <w:rFonts w:ascii="Times New Roman" w:cs="Times New Roman" w:eastAsia="Times New Roman" w:hAnsi="Times New Roman"/>
          <w:sz w:val="18"/>
          <w:szCs w:val="18"/>
          <w:color w:val="auto"/>
        </w:rPr>
        <w:t>” with respect to any setting of the then-current Benchmark shall mean (1) is such Benchmark is Term SOFR, 5:00 a.m. (Chicago time) on the day that is two (2) Business Days preceding the date of such setting, (2) if such Benchmark is the EURIBO Screen Rate, 11:00 a.m. Brussels time two TARGET Days preceding the date of such setting, (3) if such Benchmark is SONIA, then four Business Days prior to such setting, (4) if such Benchmark is the Term CORRA, 1:00 p.m. Toronto local time on the day that is two Business Day preceding the date of such setting, or if such Benchmark is none of the foregoing, the time determined by the Administrative Agent in its reasonable discretion.</w:t>
      </w:r>
    </w:p>
    <w:p>
      <w:pPr>
        <w:spacing w:after="0" w:line="179" w:lineRule="exact"/>
        <w:rPr>
          <w:sz w:val="20"/>
          <w:szCs w:val="20"/>
          <w:color w:val="auto"/>
        </w:rPr>
      </w:pPr>
    </w:p>
    <w:p>
      <w:pPr>
        <w:ind w:left="4"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Governmental Body</w:t>
      </w:r>
      <w:r>
        <w:rPr>
          <w:rFonts w:ascii="Times New Roman" w:cs="Times New Roman" w:eastAsia="Times New Roman" w:hAnsi="Times New Roman"/>
          <w:sz w:val="17"/>
          <w:szCs w:val="17"/>
          <w:color w:val="auto"/>
        </w:rPr>
        <w:t>” shall mean (i) with respect to a Benchmark Replacement in respect of Loans denominated in Dollars, the Board, the Federal Reserve Bank of New York or the Term SOFR Administrator, or a committee officially endorsed or convened by the Board or the Federal Reserve Bank of New York, or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(iv) with respect to a Benchmark Replacement in respect of Loans denominated in Canadian dollars, the Bank of Canada, or a committee officially endorsed or convened by the Bank of Canada or, in each case, any successor thereto and</w:t>
      </w:r>
    </w:p>
    <w:p>
      <w:pPr>
        <w:spacing w:after="0" w:line="1" w:lineRule="exact"/>
        <w:rPr>
          <w:sz w:val="20"/>
          <w:szCs w:val="20"/>
          <w:color w:val="auto"/>
        </w:rPr>
      </w:pPr>
    </w:p>
    <w:p>
      <w:pPr>
        <w:ind w:left="4" w:right="20" w:hanging="4"/>
        <w:spacing w:after="0" w:line="250" w:lineRule="auto"/>
        <w:tabs>
          <w:tab w:leader="none" w:pos="259" w:val="left"/>
        </w:tabs>
        <w:numPr>
          <w:ilvl w:val="0"/>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w:t>
      </w:r>
    </w:p>
    <w:p>
      <w:pPr>
        <w:spacing w:after="0" w:line="1" w:lineRule="exact"/>
        <w:rPr>
          <w:rFonts w:ascii="Times New Roman" w:cs="Times New Roman" w:eastAsia="Times New Roman" w:hAnsi="Times New Roman"/>
          <w:sz w:val="18"/>
          <w:szCs w:val="18"/>
          <w:color w:val="auto"/>
        </w:rPr>
      </w:pPr>
    </w:p>
    <w:p>
      <w:pPr>
        <w:jc w:val="both"/>
        <w:ind w:left="4" w:right="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NYFRB (or a successor administrator of the secured overnight financing rate).</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Administrator’s Website</w:t>
      </w:r>
      <w:r>
        <w:rPr>
          <w:rFonts w:ascii="Times New Roman" w:cs="Times New Roman" w:eastAsia="Times New Roman" w:hAnsi="Times New Roman"/>
          <w:sz w:val="18"/>
          <w:szCs w:val="18"/>
          <w:color w:val="auto"/>
        </w:rPr>
        <w:t>” means the NYFRB’s website, currently at http://www.newyorkfed.org, or any successor source for the secured overnight financing rate identified as such by the SOFR Administrator from time to time.</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shall mean the applicable Benchmark Replacement excluding the related Benchmark Replacement Adjustment.</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4"/>
          </w:cols>
          <w:pgMar w:left="436" w:top="266" w:right="459" w:bottom="1440" w:gutter="0" w:footer="0" w:header="0"/>
        </w:sectPr>
      </w:pPr>
    </w:p>
    <w:bookmarkStart w:id="471" w:name="page472"/>
    <w:bookmarkEnd w:id="47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3</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On the dates and to the extent required pursuant to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as applicable, the Borrower and each other Loan Party hereby represent and warrant to the Lenders that:</w:t>
      </w:r>
    </w:p>
    <w:p>
      <w:pPr>
        <w:spacing w:after="0" w:line="54"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Organization; Powers</w:t>
      </w:r>
      <w:r>
        <w:rPr>
          <w:rFonts w:ascii="Times New Roman" w:cs="Times New Roman" w:eastAsia="Times New Roman" w:hAnsi="Times New Roman"/>
          <w:sz w:val="18"/>
          <w:szCs w:val="18"/>
          <w:color w:val="auto"/>
        </w:rPr>
        <w:t xml:space="preserve">. The Borrower and each of their Restricted Subsidiaries (a) is (i) duly organized and validly existing and (ii) in good standing (to the extent such concept exists in the relevant jurisdiction) under the laws of its jurisdiction of organization, (b) has all requisite organizational power and authority to own its property and assets and to carry on its business as now conducted and (c) is qualified to do business in, and is in good standing (to the extent such concept exists in the relevant jurisdiction) in, every jurisdiction where its ownership, lease or operation of properties or conduct of its business requires such qualification; except, in each case referred to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each case with respect to the Borrower) where the failure to do so, individually or in the aggregate, would not reasonably be expected to result in a Material Adverse Effect.</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Authorization; Enforceability</w:t>
      </w:r>
      <w:r>
        <w:rPr>
          <w:rFonts w:ascii="Times New Roman" w:cs="Times New Roman" w:eastAsia="Times New Roman" w:hAnsi="Times New Roman"/>
          <w:sz w:val="18"/>
          <w:szCs w:val="18"/>
          <w:color w:val="auto"/>
        </w:rPr>
        <w:t>. The execution, delivery and performance by each Loan Party of each Loan Document to which it is a party are within such Loan Party’s corporate or other organizational power and have been duly authorized by all necessary corporate or other organizational action of such Loan Party. Each Loan Document to which any Loan Party is a party has been duly executed and delivered by such Loan Party and is a legal, valid and binding obligation of such Loan Party, enforceable in accordance with its terms, subject to the Legal Reservations.</w:t>
      </w:r>
    </w:p>
    <w:p>
      <w:pPr>
        <w:spacing w:after="0" w:line="1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Governmental Approvals; No Conflicts</w:t>
      </w:r>
      <w:r>
        <w:rPr>
          <w:rFonts w:ascii="Times New Roman" w:cs="Times New Roman" w:eastAsia="Times New Roman" w:hAnsi="Times New Roman"/>
          <w:sz w:val="18"/>
          <w:szCs w:val="18"/>
          <w:color w:val="auto"/>
        </w:rPr>
        <w:t xml:space="preserve">. The execution and delivery of each Loan Document by each Loan Party party thereto and the performance by such Loan Party thereof (a) do not require any consent or approval of, registration or filing with, or any other action by, any Governmental Authority, except (i) such as have been obtained or made and are in full force and effect (except to the extent not required to be obtained or made pursuant to the Collateral and Guarantee Requirement), (ii) in connection with the Perfection Requirements and (iii) such consents, approvals, registrations, filings or other actions the failure to obtain or make which would not be reasonably expected to have a Material Adverse Effect, (b) will not violate any (i) of such Loan Party’s Organizational Documents or (ii) Requirements of Law applicable to such Loan Party which, in the case of this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would reasonably be expected to have a Material Adverse Effect and (c) will not violate or result in a default under any material Contractual Obligation in respect of Indebtedness having an aggregate principal amount exceeding the Threshold Amount to which such Loan Party is a party which,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would reasonably be expected to result in a Material Adverse Effect.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Financial Condition;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58" w:lineRule="auto"/>
        <w:tabs>
          <w:tab w:leader="none" w:pos="685"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Closing Date, the financial statements most recently provided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as applicable, present fairly, in all material respects, the financial position, results of operations and cash flows of the Borrower on a consolidated basis as of such dates and for such periods in accordance with GAAP, (x) except as otherwise expressly noted therein, (y) subject, in the case of quarterly financial statements, to the absence of footnotes and normal year-end audit adjustments and (z) except as may be necessary to reflect any differing entity and/or organizational structure prior to giving effect to the Transactions.</w:t>
      </w:r>
    </w:p>
    <w:p>
      <w:pPr>
        <w:spacing w:after="0" w:line="183"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Closing Date, there have been no events, developments or circumstances that have had, or would reasonably be expected to have, individually or in the aggregate, a Material Adverse Effect.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360" w:right="100" w:hanging="4924"/>
        <w:spacing w:after="0" w:line="454" w:lineRule="auto"/>
        <w:tabs>
          <w:tab w:leader="none" w:pos="672"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Closing Date, </w:t>
      </w:r>
      <w:r>
        <w:rPr>
          <w:rFonts w:ascii="Times New Roman" w:cs="Times New Roman" w:eastAsia="Times New Roman" w:hAnsi="Times New Roman"/>
          <w:sz w:val="18"/>
          <w:szCs w:val="18"/>
          <w:u w:val="single" w:color="auto"/>
          <w:color w:val="auto"/>
        </w:rPr>
        <w:t>Schedule 3.05</w:t>
      </w:r>
      <w:r>
        <w:rPr>
          <w:rFonts w:ascii="Times New Roman" w:cs="Times New Roman" w:eastAsia="Times New Roman" w:hAnsi="Times New Roman"/>
          <w:sz w:val="18"/>
          <w:szCs w:val="18"/>
          <w:color w:val="auto"/>
        </w:rPr>
        <w:t xml:space="preserve"> sets forth the address of each Material Real Estate Asset that is owned in fee simple by any Loan Party. 144</w:t>
      </w:r>
    </w:p>
    <w:p>
      <w:pPr>
        <w:sectPr>
          <w:pgSz w:w="11900" w:h="16838" w:orient="portrait"/>
          <w:cols w:equalWidth="0" w:num="1">
            <w:col w:w="11000"/>
          </w:cols>
          <w:pgMar w:left="440" w:top="270" w:right="459" w:bottom="1440" w:gutter="0" w:footer="0" w:header="0"/>
        </w:sectPr>
      </w:pPr>
    </w:p>
    <w:bookmarkStart w:id="472" w:name="page473"/>
    <w:bookmarkEnd w:id="472"/>
    <w:p>
      <w:pPr>
        <w:ind w:left="4" w:firstLine="436"/>
        <w:spacing w:after="0" w:line="258" w:lineRule="auto"/>
        <w:tabs>
          <w:tab w:leader="none" w:pos="699"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and each of their Restricted Subsidiaries have good and valid fee simple title to or rights to purchase, or valid leasehold interests in, or easements or other limited property interests in, all of their respective Real Estate Assets and have good title to their personal property and assets, in each case material to the business, except (i) for Permitted Liens, (ii) for defects in title that do not materially interfere with their ability to conduct their business as currently conducted or to utilize such properties and assets for their intended purposes, or (iii) where the failure to have such title or interest would not reasonably be expected to have a Material Adverse Effect.</w:t>
      </w:r>
    </w:p>
    <w:p>
      <w:pPr>
        <w:spacing w:after="0" w:line="183"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6"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and each of its Restricted Subsidiaries owns or otherwise has a license or right to use all Patents, Trademarks, Copyrights, and other intellectual property rights (“</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necessary for the conduct of its respective business as presently conducted, and, to the knowledge of the Borrower, such IP Rights do not infringe or violate the IP Rights of any third party, except to the extent such failure to own or license or have rights to use would not, or where such infringement or violations would not, reasonably be expected to have, individually or in the aggregate, a Material Adverse Effect.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Litigation and Environmental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3.06</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240" w:firstLine="436"/>
        <w:spacing w:after="0" w:line="266" w:lineRule="auto"/>
        <w:tabs>
          <w:tab w:leader="none" w:pos="689"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actions, suits or proceedings by or before any arbitrator or Governmental Authority pending against or, to the knowledge of the Borrower, threatened in writing against the Borrower or any of its Restricted Subsidiaries which would reasonably be expected, individually or in the aggregate, to result in a Material Adverse Effect;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any matters that, individually or in the aggregate, would not reasonably be expected to result in a Material Adverse Effect,</w:t>
      </w:r>
    </w:p>
    <w:p>
      <w:pPr>
        <w:spacing w:after="0" w:line="27" w:lineRule="exact"/>
        <w:rPr>
          <w:rFonts w:ascii="Times New Roman" w:cs="Times New Roman" w:eastAsia="Times New Roman" w:hAnsi="Times New Roman"/>
          <w:sz w:val="18"/>
          <w:szCs w:val="18"/>
          <w:color w:val="auto"/>
        </w:rPr>
      </w:pPr>
    </w:p>
    <w:p>
      <w:pPr>
        <w:ind w:left="4" w:right="100" w:hanging="4"/>
        <w:spacing w:after="0" w:line="255" w:lineRule="auto"/>
        <w:tabs>
          <w:tab w:leader="none" w:pos="219" w:val="left"/>
        </w:tabs>
        <w:numPr>
          <w:ilvl w:val="0"/>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Restricted Subsidiaries has received any Environmental Claim nor, to the knowledge of the Borrower, is any Environmental Claim threatened and (ii) neither the Borrower nor any of its Restricted Subsidiaries is in violation of any Environmental Law or knows of any basis for any liability under Environmental Laws; and</w:t>
      </w:r>
    </w:p>
    <w:p>
      <w:pPr>
        <w:spacing w:after="0" w:line="185" w:lineRule="exact"/>
        <w:rPr>
          <w:rFonts w:ascii="Times New Roman" w:cs="Times New Roman" w:eastAsia="Times New Roman" w:hAnsi="Times New Roman"/>
          <w:sz w:val="18"/>
          <w:szCs w:val="18"/>
          <w:color w:val="auto"/>
        </w:rPr>
      </w:pPr>
    </w:p>
    <w:p>
      <w:pPr>
        <w:ind w:left="4" w:firstLine="436"/>
        <w:spacing w:after="0" w:line="266" w:lineRule="auto"/>
        <w:tabs>
          <w:tab w:leader="none" w:pos="689"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of its Restricted Subsidiaries have treated, stored, transported, Released or disposed of any Hazardous Material at or from any currently or formerly owned, leased or operated real estate or facility in a manner that would reasonably be expected to have a Material Adverse Effect.</w:t>
      </w:r>
    </w:p>
    <w:p>
      <w:pPr>
        <w:spacing w:after="0" w:line="176"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Borrower and each of their Restricted Subsidiaries are in compliance with all Requirements of Law applicable to it or its property, except, in each case where the failure to do so, individually or in the aggregate, would not reasonably be expected to result in a Material Adverse Effect, it being understood and agreed that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not apply to any law specifically referenced in </w:t>
      </w:r>
      <w:r>
        <w:rPr>
          <w:rFonts w:ascii="Times New Roman" w:cs="Times New Roman" w:eastAsia="Times New Roman" w:hAnsi="Times New Roman"/>
          <w:sz w:val="18"/>
          <w:szCs w:val="18"/>
          <w:u w:val="single" w:color="auto"/>
          <w:color w:val="auto"/>
        </w:rPr>
        <w:t>Section 3.17</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Investment Company Status</w:t>
      </w:r>
      <w:r>
        <w:rPr>
          <w:rFonts w:ascii="Times New Roman" w:cs="Times New Roman" w:eastAsia="Times New Roman" w:hAnsi="Times New Roman"/>
          <w:sz w:val="18"/>
          <w:szCs w:val="18"/>
          <w:color w:val="auto"/>
        </w:rPr>
        <w:t>. No Loan Party is required to be registered as an “investment company” under the Investment Company Act of 1940.</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3.09.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60" w:firstLine="436"/>
        <w:spacing w:after="0" w:line="282" w:lineRule="auto"/>
        <w:tabs>
          <w:tab w:leader="none" w:pos="689"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Employee Benefit Plan is in compliance with its terms and with ERISA and the Code and all other applicable laws and regulations, except where any failure to comply would not reasonably be expected to result in a Material Adverse Effect.</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0984"/>
          </w:cols>
          <w:pgMar w:left="436" w:top="270" w:right="479" w:bottom="1440" w:gutter="0" w:footer="0" w:header="0"/>
        </w:sectPr>
      </w:pPr>
    </w:p>
    <w:bookmarkStart w:id="473" w:name="page474"/>
    <w:bookmarkEnd w:id="473"/>
    <w:p>
      <w:pPr>
        <w:jc w:val="both"/>
        <w:ind w:firstLine="436"/>
        <w:spacing w:after="0" w:line="266" w:lineRule="auto"/>
        <w:tabs>
          <w:tab w:leader="none" w:pos="695"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five-year period prior to the date on which this representation is made or deemed made, no ERISA Event has occurred and is continuing or is reasonably expected to occur that, when taken together with all other such ERISA Events for which liability is reasonably expected to occur, would reasonably be expected to result in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to the knowledge of the Borrower, all written factual information (other than the Projections, other forward-looking or projected information, pro forma information and information of a general economic or general industry nature (including any reports or memoranda prepared by third party consultants)) concerning the Borrower and its Restricted Subsidiaries and the Transactions and that was prepared by or on behalf of the Borrower or its Restricted Subsidiaries or their respective representatives and made available to any Initial Term Lender or the Administrative Agent in connection with the Transactions on or before the Closing Date (the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when taken as a whole, did not, when furnished,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from time to time).</w:t>
      </w:r>
    </w:p>
    <w:p>
      <w:pPr>
        <w:spacing w:after="0" w:line="191"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have been prepared in good faith based upon assumptions believed by the Borrower to be reasonable at the time furnished (it being recognized that such Projections are not to be viewed as a guarantee of financial performance or as facts and are subject to significant uncertainties and contingencies many of which are beyond the Borrower’s control, that no assurance can be given that any particular financial projections (including the Projections) will be realized, that actual results may differ from projected results and that such differences may be material).</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the information included in the Beneficial Ownership Certification is true and correct in all material respects.</w:t>
      </w:r>
    </w:p>
    <w:p>
      <w:pPr>
        <w:spacing w:after="0" w:line="22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As of the Closing Date, immediately after the consummation of the Transactions to occur on the Closing Date and the incurrence of indebtedness and obligations on the Closing Date in connection with this Agreement and the Transactions, (i) the sum of the debt (including contingent liabilities) of the Borrower and its Subsidiaries, taken as a whole, does not exceed the fair value of the assets of the Borrower and its Subsidiaries, taken as a whole, (ii) the capital of the Borrower and its Subsidiaries, taken as a whole, is not unreasonably small in relation to the business of the Borrower and its Subsidiaries, taken as a whole, contemplated as of the Closing Date and (iii) the Borrower and its Subsidiaries, taken as a whole, do not intend to incur, or believe that they will incur, debts (including current obligations and contingent liabilities) beyond their ability to pay such debts (taking into account any refinancing thereof) as they mature in the ordinary course of business. For the purposes hereof, the amount of any contingent liability at any time shall be computed as the amount that, in light of all of the facts and circumstances existing at such time, represents the amount that can reasonably be expected to become an actual or matured liability (irrespective of whether such contingent liability meets the criteria for accrual under Statement of Financial Accounting Standards No. 5).</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Security Interest in Collateral</w:t>
      </w:r>
      <w:r>
        <w:rPr>
          <w:rFonts w:ascii="Times New Roman" w:cs="Times New Roman" w:eastAsia="Times New Roman" w:hAnsi="Times New Roman"/>
          <w:sz w:val="18"/>
          <w:szCs w:val="18"/>
          <w:color w:val="auto"/>
        </w:rPr>
        <w:t>. Subject to the Legal Reservations, the Perfection Requirements and the provisions, limitations and/or exceptions set forth in this Agreement and/or the other relevant Loan Documents (including any Acceptable Intercreditor Agreement), the Collateral Documents create legal, valid and enforceable Liens on all of the Collateral described therein in favor of the Collateral Agent, for the benefit of itself and the other Secured Parties, and upon the satisfaction of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80"/>
          </w:cols>
          <w:pgMar w:left="440" w:top="270" w:right="479" w:bottom="1440" w:gutter="0" w:footer="0" w:header="0"/>
        </w:sectPr>
      </w:pPr>
    </w:p>
    <w:bookmarkStart w:id="474" w:name="page475"/>
    <w:bookmarkEnd w:id="474"/>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applicable Perfection Requirements, such Liens constitute perfected Liens (with the priority such Liens are expressed to have within the relevant Collateral Documents) on the Collateral (to the extent such Liens are required to be perfected under the terms of the Loan Documents) securing the Obligations, in each case as and to the extent set forth therein. For the avoidance of doubt, notwithstanding anything herein or in any other Loan Document to the contrary, neither the Borrower nor any other Loan Party makes any representation or warranty (other than any representation or warranty expressly made in such Loan Document) as to (A) the effects of perfection or non-perfection, the priority or the enforceability of any pledge of or security interest in any Capital Stock of any Subsidiary, or as to the rights and remedies of the Collateral Agent, the Administrative Agent or any Lender with respect thereto, under foreign Requirements of Law, (B) the enforcement of any security interest or right or remedy with respect to any Collateral that may be limited or restricted by, or require any consent, authorization, approval or license under, any Requirement of Law, (C) on the Closing Date and until required pursuant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or the last paragraph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as applicable, the pledge or creation of any security interest, or the effects of perfection or non-perfection, the priority or enforceability of any pledge or security interest to the extent the same is not required on the Closing Date or (D) any Excluded Asset.</w:t>
      </w:r>
    </w:p>
    <w:p>
      <w:pPr>
        <w:spacing w:after="0" w:line="19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3.15. </w:t>
      </w:r>
      <w:r>
        <w:rPr>
          <w:rFonts w:ascii="Times New Roman" w:cs="Times New Roman" w:eastAsia="Times New Roman" w:hAnsi="Times New Roman"/>
          <w:sz w:val="18"/>
          <w:szCs w:val="18"/>
          <w:u w:val="single" w:color="auto"/>
          <w:color w:val="auto"/>
        </w:rPr>
        <w:t>Labor Disputes</w:t>
      </w:r>
      <w:r>
        <w:rPr>
          <w:rFonts w:ascii="Times New Roman" w:cs="Times New Roman" w:eastAsia="Times New Roman" w:hAnsi="Times New Roman"/>
          <w:sz w:val="18"/>
          <w:szCs w:val="18"/>
          <w:color w:val="auto"/>
        </w:rPr>
        <w:t>. As of the Closing Date, except as individually or in the aggregate would not reasonably be expected to have a Material Adverse Effect: (a) there are no strikes, lockouts or slowdowns against the Borrower or any of its Restricted Subsidiaries pending or, to the knowledge of the Borrower or any of its Restricted Subsidiaries, threatened in writing and (b) the hours worked by and payments made to employees of the Borrower and its Restricted Subsidiaries have not been in violation of the Fair Labor Standards Act or any other applicable federal, state, local or foreign law dealing with such matters.</w:t>
      </w:r>
    </w:p>
    <w:p>
      <w:pPr>
        <w:spacing w:after="0" w:line="183"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3.16. </w:t>
      </w:r>
      <w:r>
        <w:rPr>
          <w:rFonts w:ascii="Times New Roman" w:cs="Times New Roman" w:eastAsia="Times New Roman" w:hAnsi="Times New Roman"/>
          <w:sz w:val="17"/>
          <w:szCs w:val="17"/>
          <w:u w:val="single" w:color="auto"/>
          <w:color w:val="auto"/>
        </w:rPr>
        <w:t>Federal Reserve Regulations</w:t>
      </w:r>
      <w:r>
        <w:rPr>
          <w:rFonts w:ascii="Times New Roman" w:cs="Times New Roman" w:eastAsia="Times New Roman" w:hAnsi="Times New Roman"/>
          <w:sz w:val="17"/>
          <w:szCs w:val="17"/>
          <w:color w:val="auto"/>
        </w:rPr>
        <w:t>. No part of the proceeds of any Loan or any Letter of Credit will be used, whether directly or indirectly, and whether immediately, incidentally or ultimately, for any purpose that results in a violation of the provisions of Regulation U and Regulation X.</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3.17. </w:t>
      </w:r>
      <w:r>
        <w:rPr>
          <w:rFonts w:ascii="Times New Roman" w:cs="Times New Roman" w:eastAsia="Times New Roman" w:hAnsi="Times New Roman"/>
          <w:sz w:val="18"/>
          <w:szCs w:val="18"/>
          <w:u w:val="single" w:color="auto"/>
          <w:color w:val="auto"/>
        </w:rPr>
        <w:t>USA PATRIOT Act, Sanctions and Anti-Corruption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77" w:lineRule="auto"/>
        <w:tabs>
          <w:tab w:leader="none" w:pos="685" w:val="left"/>
        </w:tabs>
        <w:numPr>
          <w:ilvl w:val="0"/>
          <w:numId w:val="6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Neither the Borrower nor any of its Subsidiaries, nor, to the knowledge of the Borrower, any director or officer of any of the Borrower or any of its Subsidiaries, or any agent or employee of the Borrower or any of its Subsidiaries that will act in any capacity in connection with this Agreement, is a Sanctioned Person; and (ii) the Borrower will not directly or, to its knowledge, indirectly, use the proceeds of the Loans or Letters of Credit or otherwise make available such proceeds to any Sanctioned Person, for the purpose of financing the activities of any Sanctioned Person, or in any Sanctioned Country, in each case in any manner that would result in the violation of applicable Sanctions by any Person party to this Agreement.</w:t>
      </w:r>
    </w:p>
    <w:p>
      <w:pPr>
        <w:spacing w:after="0" w:line="167"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is in compliance with the USA PATRIOT Act and applicable Sanctions and anti-corruption laws in all material respects.</w:t>
      </w:r>
    </w:p>
    <w:p>
      <w:pPr>
        <w:spacing w:after="0" w:line="225" w:lineRule="exact"/>
        <w:rPr>
          <w:rFonts w:ascii="Times New Roman" w:cs="Times New Roman" w:eastAsia="Times New Roman" w:hAnsi="Times New Roman"/>
          <w:sz w:val="18"/>
          <w:szCs w:val="18"/>
          <w:color w:val="auto"/>
        </w:rPr>
      </w:pPr>
    </w:p>
    <w:p>
      <w:pPr>
        <w:jc w:val="both"/>
        <w:ind w:right="260" w:firstLine="436"/>
        <w:spacing w:after="0" w:line="261" w:lineRule="auto"/>
        <w:tabs>
          <w:tab w:leader="none" w:pos="685"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 of the proceeds of any Loan or any Letter of Credit will be used, directly or, to the knowledge of the Borrower, indirectly, for any payments to any governmental official or employee, political party, official of a political party, candidate for political office, or any other person or entity, in order to obtain, retain or direct business or obtain any improper advantage, in violation of the U.S. Foreign Corrupt Practices Act of 1977 or any other applicable anti-corruption law.</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475" w:name="page476"/>
    <w:bookmarkEnd w:id="475"/>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representations and warranties set forth in this Section made by or on behalf of any Foreign Subsidiary are subject to and limited by any Requirements of Law applicable to such Foreign Subsidiary; it being understood and agreed that to the extent that any Foreign Subsidiary is unable to make any representation or warranty set forth in this Section as a result of the application of this sentence, such Foreign Subsidiary shall be deemed to have represented and warranted that it is in compliance, in all material respects, with any equivalent Requirements of Law relating to anti-corruption or Sanctions that are applicable to such Foreign Subsidiary in its relevant local jurisdiction of organization.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xml:space="preserve">. The obligations of each Lender to make Loans shall not become effective until the date on which each of the following conditions is satisfied (or waived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680" w:hanging="244"/>
        <w:spacing w:after="0"/>
        <w:tabs>
          <w:tab w:leader="none" w:pos="680"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xml:space="preserve">. The Administrative Agent (or its counsel) shall have received from each Loan Party party thereto (i) a counterpart signed by each such Loan Party (or written evidence reasonably satisfactory to the Administrative Agent (which may include a copy transmitted by electronic method) that such party has signed a counterpart) of (A) this Agreement and (B) the Security Agreement and (ii)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Opinions</w:t>
      </w:r>
      <w:r>
        <w:rPr>
          <w:rFonts w:ascii="Times New Roman" w:cs="Times New Roman" w:eastAsia="Times New Roman" w:hAnsi="Times New Roman"/>
          <w:sz w:val="18"/>
          <w:szCs w:val="18"/>
          <w:color w:val="auto"/>
        </w:rPr>
        <w:t xml:space="preserve">. The Administrative Agent (or its counsel) shall have received, on behalf of itself, the Lenders and each Issuing Bank on the Closing Date, (i) a customary written opinion of Davis Polk &amp; Wardwell LLP, in its capacity as special New York counsel to the Loan Parties, and (ii) a customary written opinion of each other counsel to the Loan Parties (which may be an in-house counsel)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in each case, addressed to the Administrative Agent and such Lenders.</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Certified Charters; Good Standing Certificates</w:t>
      </w:r>
      <w:r>
        <w:rPr>
          <w:rFonts w:ascii="Times New Roman" w:cs="Times New Roman" w:eastAsia="Times New Roman" w:hAnsi="Times New Roman"/>
          <w:sz w:val="18"/>
          <w:szCs w:val="18"/>
          <w:color w:val="auto"/>
        </w:rPr>
        <w:t>. The Administrative Agent (or its counsel) shall have received (i) a certificate of (or on behalf of) each Loan Party, dated as of the Closing Date, and executed by a secretary, assistant secretary or other senior officer (as the case may be) thereof, which shall (A) certify that attached thereto is a true and complete copy of the resolutions or written consents of its shareholders, board of directors, board of managers, members or other similar governing body authorizing the execution, delivery and performance of the Loan Documents to which it is a party, and that such resolutions or written consents have not been modified, rescinded or amended (other than as attached thereto) and are in full force and effect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Organizational Documents of a Loan Party authorize the execution, delivery and performance of the Loan Documents to which it is a party without any such resolution or written consent, such resolution or written consent need not be attached to such certificate), (B) identify by name and title and bear the signatures of (x) the officers, managers, directors or authorized signatories of such Loan Party authorized to sign the Loan Documents to which it is a party on the Closing Date, or (y) the individuals to whom such officers, managers, directors or authorized signatories of such Loan Party have granted powers of attorney to sign the Loan Documents to which such Loan Party is a party and (C) certify (x) that attached thereto is a true and complete copy of the certificate or articles of incorporation or organization (or memorandum of association or other equivalent thereof) of such Loan Party certified by the relevant authority of the jurisdiction of organization of such Loan Party and a true and correct copy of its by-laws or operating, management, partnership or similar agreement and (y) that such documents or agreements have not been amended as of the Closing Date (except as otherwise attached to such certificate and certified therein as being the only amendments thereto as of such date) and (ii) a good standing (or equivalent) certificate (if applicable) as of a recent date prior to the Closing Date for such Loan Party from the relevant authority of its jurisdiction of organization.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476" w:name="page477"/>
    <w:bookmarkEnd w:id="476"/>
    <w:p>
      <w:pPr>
        <w:ind w:left="4" w:right="60" w:firstLine="436"/>
        <w:spacing w:after="0" w:line="266" w:lineRule="auto"/>
        <w:tabs>
          <w:tab w:leader="none" w:pos="689"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Representations and Warranties</w:t>
      </w:r>
      <w:r>
        <w:rPr>
          <w:rFonts w:ascii="Times New Roman" w:cs="Times New Roman" w:eastAsia="Times New Roman" w:hAnsi="Times New Roman"/>
          <w:sz w:val="18"/>
          <w:szCs w:val="18"/>
          <w:color w:val="auto"/>
        </w:rPr>
        <w:t xml:space="preserve">. The Specified Representations shall be true and correct in all material respects on and as of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Specified Representation which expressly relates to a given date or period, such representation and warranty shall be true and correct in all material respects as of the respective date or for the respective period, as the case may be.</w:t>
      </w:r>
    </w:p>
    <w:p>
      <w:pPr>
        <w:spacing w:after="0" w:line="17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6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Prior to or substantially concurrently with the funding of the Initial Term Loans hereunder, the Administrative Agent shall have received</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required to be paid by the Borrowers on the Closing Date pursuant to the Fee Letters and (ii) all expenses required to be paid by the Borrowers for which invoices have been presented at least three Business Days prior to the Closing Date (including the reasonable and documented fees and expenses of legal counsel for the Administrative Agent that are payable under the engagement letter entered into between the Arrangers and the Borrower with respect to the Credit Facilities), in each case on or before the Closing Date, which amounts, in the Borrowers’ sole discretion, may be offset against the proceeds of the Loans or may be paid from the proceeds of the Initial Term Loans.</w:t>
      </w:r>
    </w:p>
    <w:p>
      <w:pPr>
        <w:spacing w:after="0" w:line="186"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xml:space="preserve">. The Administrative Agent (or its counsel) shall have received a certificate dated as of the Closing Date in substantially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from the chief financial officer (or other officer with reasonably equivalent responsibilities) of the Borrower certifying as to the matters set forth therein (or, at the option of the Borrower, a third-party opinion as to the solvency of the Borrower and its subsidiaries on a consolidated basis issued by a nationally recognized firm).</w:t>
      </w:r>
    </w:p>
    <w:p>
      <w:pPr>
        <w:spacing w:after="0" w:line="17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w:t>
      </w:r>
      <w:r>
        <w:rPr>
          <w:rFonts w:ascii="Times New Roman" w:cs="Times New Roman" w:eastAsia="Times New Roman" w:hAnsi="Times New Roman"/>
          <w:sz w:val="18"/>
          <w:szCs w:val="18"/>
          <w:color w:val="auto"/>
        </w:rPr>
        <w:t xml:space="preserve">. Subject to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Administrative Agent (or its counsel) shall have received a completed Perfection Certificate dated the Closing Date and signed by a Responsible Officer of each Loan Party (or by the Borrower on behalf of each Loan Party), together with all attachments contemplated thereby.</w:t>
      </w:r>
    </w:p>
    <w:p>
      <w:pPr>
        <w:spacing w:after="0" w:line="175" w:lineRule="exact"/>
        <w:rPr>
          <w:rFonts w:ascii="Times New Roman" w:cs="Times New Roman" w:eastAsia="Times New Roman" w:hAnsi="Times New Roman"/>
          <w:sz w:val="18"/>
          <w:szCs w:val="18"/>
          <w:color w:val="auto"/>
        </w:rPr>
      </w:pPr>
    </w:p>
    <w:p>
      <w:pPr>
        <w:ind w:left="4" w:firstLine="436"/>
        <w:spacing w:after="0" w:line="258" w:lineRule="auto"/>
        <w:tabs>
          <w:tab w:leader="none" w:pos="65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Pledged Stock; Stock Powers; Pledged Notes</w:t>
      </w:r>
      <w:r>
        <w:rPr>
          <w:rFonts w:ascii="Times New Roman" w:cs="Times New Roman" w:eastAsia="Times New Roman" w:hAnsi="Times New Roman"/>
          <w:sz w:val="18"/>
          <w:szCs w:val="18"/>
          <w:color w:val="auto"/>
        </w:rPr>
        <w:t xml:space="preserve">. Subject to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the Administrative Agent (or its counsel or bailee) shall have received (i) the certificates representing the Capital Stock required to be pledged pursuant to the Security Agreement, together with an undated stock or similar power for each such certificate executed in blank by a duly authorized officer of the pledgor thereof and (ii) each Material Debt Instrument (if any) required to be pledged pursuant to the Security Agreement endorsed (without recourse) in blank (or accompanied by an executed transfer form in blank) by the pledgor thereof.</w:t>
      </w:r>
    </w:p>
    <w:p>
      <w:pPr>
        <w:spacing w:after="0" w:line="183"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5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Filings Registrations and Recordings</w:t>
      </w:r>
      <w:r>
        <w:rPr>
          <w:rFonts w:ascii="Times New Roman" w:cs="Times New Roman" w:eastAsia="Times New Roman" w:hAnsi="Times New Roman"/>
          <w:sz w:val="18"/>
          <w:szCs w:val="18"/>
          <w:color w:val="auto"/>
        </w:rPr>
        <w:t xml:space="preserve">. Subject to the last paragraph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each document (including any UCC financing statement) required by any Collateral Document or under law to be filed, registered or recorded in order to create in favor of the Administrative Agent, for the benefit of the Secured Parties, a perfected Lien on the Collateral required to be delivered pursuant to such Collateral Document, shall be in proper form for filing, registration or recordation.</w:t>
      </w:r>
    </w:p>
    <w:p>
      <w:pPr>
        <w:spacing w:after="0" w:line="179"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1"/>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No later than two Business Days in advance of the Closing Date, the Administrative Agent shall have received all documentation and other information reasonably requested in writing by the Administrative Agent with respect to any Loan Party at least ten Business Days in advance of the Closing Date, which documentation or other information is required by U.S. regulatory authorities under applicable “know your customer” and anti-money laundering rules and regulations, including the USA PATRIOT Act (including if the Borrower qualifies as a “legal entity customer” under the “Beneficial Ownership Regulations” (31 CFR §1010.230), a Beneficial Ownership Certification in relation to the Borrower). “Beneficial Ownership Certification” means a certification regarding individual beneficial ownership solely to the extent required by 31 CFR §1010.230.</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64"/>
          </w:cols>
          <w:pgMar w:left="436" w:top="269" w:right="499" w:bottom="1440" w:gutter="0" w:footer="0" w:header="0"/>
        </w:sectPr>
      </w:pPr>
    </w:p>
    <w:bookmarkStart w:id="477" w:name="page478"/>
    <w:bookmarkEnd w:id="477"/>
    <w:p>
      <w:pPr>
        <w:ind w:right="380" w:firstLine="436"/>
        <w:spacing w:after="0" w:line="266" w:lineRule="auto"/>
        <w:tabs>
          <w:tab w:leader="none" w:pos="65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Distribution</w:t>
      </w:r>
      <w:r>
        <w:rPr>
          <w:rFonts w:ascii="Times New Roman" w:cs="Times New Roman" w:eastAsia="Times New Roman" w:hAnsi="Times New Roman"/>
          <w:sz w:val="18"/>
          <w:szCs w:val="18"/>
          <w:color w:val="auto"/>
        </w:rPr>
        <w:t>. The Restructuring, the Borrower Distribution and the Distribution shall have been or shall be consummated prior to or substantially contemporaneously with the Closing Date, in all material respects in accordance with the Form 10 and the Separation and Distribution Agreement.</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745"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Certificate</w:t>
      </w:r>
      <w:r>
        <w:rPr>
          <w:rFonts w:ascii="Times New Roman" w:cs="Times New Roman" w:eastAsia="Times New Roman" w:hAnsi="Times New Roman"/>
          <w:sz w:val="18"/>
          <w:szCs w:val="18"/>
          <w:color w:val="auto"/>
        </w:rPr>
        <w:t xml:space="preserve">. The Administrative Agent (or its counsel) shall have received a certificate of a Responsible Officer of the Borrower, dated the Closing Date, which shall certify the matters set forth in </w:t>
      </w:r>
      <w:r>
        <w:rPr>
          <w:rFonts w:ascii="Times New Roman" w:cs="Times New Roman" w:eastAsia="Times New Roman" w:hAnsi="Times New Roman"/>
          <w:sz w:val="18"/>
          <w:szCs w:val="18"/>
          <w:u w:val="single" w:color="auto"/>
          <w:color w:val="auto"/>
        </w:rPr>
        <w:t>Sections 4.02(e)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whether the conditions specified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have been satisfied on the Closing Date, by funding the Loans hereunder, the Administrative Agent and each Lender that has executed this Agreement (or an Assignment and Assumption on the Closing Date) shall be deemed to have consented to, approved or accepted, or to be satisfied with, each document or other matter required hereunder to be consented to or approved by or acceptable or satisfactory to the Administrative Agent or such Lender, as the case may be.</w:t>
      </w:r>
    </w:p>
    <w:p>
      <w:pPr>
        <w:spacing w:after="0" w:line="180"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Notwithstanding the foregoing, to the extent any Lien search or Collateral (including the creation or perfection of any security interest) is not or cannot be provided on the Closing Date (other than a Lien on Collateral of any Loan Party that may be perfected solely by the filing of a financing statement under the UCC) after the Borrower’s use of commercially reasonable efforts to do so without undue burden or expense, then the provision of any such Lien search and/or the provision and/or perfection of such Collateral shall not constitute a condition precedent to the availability and initial funding of the Loans on the Closing Date but may, if required, instead be delivered and/or perfected 90 days (or, in the case of real property and related fixtures, 120 days) after the Closing Date pursuant to arrangements to be mutually agreed between the Borrower and the Administrative Agent and subject to extensions as are reasonably agreed by the Administrative Agent.</w:t>
      </w:r>
    </w:p>
    <w:p>
      <w:pPr>
        <w:spacing w:after="0" w:line="189"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Each Credit Extension</w:t>
      </w:r>
      <w:r>
        <w:rPr>
          <w:rFonts w:ascii="Times New Roman" w:cs="Times New Roman" w:eastAsia="Times New Roman" w:hAnsi="Times New Roman"/>
          <w:sz w:val="18"/>
          <w:szCs w:val="18"/>
          <w:color w:val="auto"/>
        </w:rPr>
        <w:t xml:space="preserve">. After the Closing Date, the obligation of each Revolving Lender to make a Credit Extension (which, for the avoidance of doubt (including for purposes of the last paragraph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but not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shall not include (A) any Incremental Loans and/or (B) any Credit Extension under any Incremental Facility Amendment, Refinancing Amendment, Extension Amendment and/or other applicable amendment to this Agreement, in each case to the extent not otherwise required by the lenders in respect of thereof) is subject solely to the satisfaction of the following conditions:</w:t>
      </w:r>
    </w:p>
    <w:p>
      <w:pPr>
        <w:spacing w:after="0" w:line="75" w:lineRule="exact"/>
        <w:rPr>
          <w:sz w:val="20"/>
          <w:szCs w:val="20"/>
          <w:color w:val="auto"/>
        </w:rPr>
      </w:pPr>
    </w:p>
    <w:p>
      <w:pPr>
        <w:ind w:right="40" w:firstLine="436"/>
        <w:spacing w:after="0" w:line="261" w:lineRule="auto"/>
        <w:tabs>
          <w:tab w:leader="none" w:pos="68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case of a Borrowing, the Administrative Agent shall have received a Borrowing Request as required by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(ii) in the case of the issuance of a Letter of Credit, the applicable Issuing Bank and the Administrative Agent shall have received a notice requesting the issuance of such Letter of Credit as required by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or (iii) in the case of a Borrowing of Swingline Loans, the Swingline Lender and the Administrative Agent shall have received a request as required by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00" w:firstLine="436"/>
        <w:spacing w:after="0" w:line="257" w:lineRule="auto"/>
        <w:tabs>
          <w:tab w:leader="none" w:pos="69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Loan Parties set forth in this Agreement and the other Loan Documents shall be true and correct in all material respects on and as of the date of any such Credit Extension with the same effect as though such representations and warranties had been made on and as of the date of such Credit Extension and excluding, after the Closing Date, the representations and warranties set forth in</w:t>
      </w:r>
    </w:p>
    <w:p>
      <w:pPr>
        <w:spacing w:after="0" w:line="1" w:lineRule="exact"/>
        <w:rPr>
          <w:rFonts w:ascii="Times New Roman" w:cs="Times New Roman" w:eastAsia="Times New Roman" w:hAnsi="Times New Roman"/>
          <w:sz w:val="18"/>
          <w:szCs w:val="18"/>
          <w:color w:val="auto"/>
        </w:rPr>
      </w:pPr>
    </w:p>
    <w:p>
      <w:pPr>
        <w:ind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any representation and warranty specifically refers to a given date or period, it shall be true and correct in all material respects as of such date or for such period.</w:t>
      </w:r>
    </w:p>
    <w:p>
      <w:pPr>
        <w:spacing w:after="0" w:line="181" w:lineRule="exact"/>
        <w:rPr>
          <w:rFonts w:ascii="Times New Roman" w:cs="Times New Roman" w:eastAsia="Times New Roman" w:hAnsi="Times New Roman"/>
          <w:sz w:val="18"/>
          <w:szCs w:val="18"/>
          <w:color w:val="auto"/>
        </w:rPr>
      </w:pPr>
    </w:p>
    <w:p>
      <w:pPr>
        <w:ind w:right="200" w:firstLine="436"/>
        <w:spacing w:after="0" w:line="282" w:lineRule="auto"/>
        <w:tabs>
          <w:tab w:leader="none" w:pos="685" w:val="left"/>
        </w:tabs>
        <w:numPr>
          <w:ilvl w:val="0"/>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and immediately after giving effect to the applicable Credit Extension, no Event of Default or Default shall have occurred and be continuing.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69" w:right="459" w:bottom="1440" w:gutter="0" w:footer="0" w:header="0"/>
        </w:sectPr>
      </w:pPr>
    </w:p>
    <w:bookmarkStart w:id="478" w:name="page479"/>
    <w:bookmarkEnd w:id="478"/>
    <w:p>
      <w:pPr>
        <w:ind w:left="4" w:right="8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Except as set forth in the introduction to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each Credit Extension after the Closing Date shall be deemed to constitute a representation and warranty by the Borrower on the date thereof as to the matters specified in </w:t>
      </w:r>
      <w:r>
        <w:rPr>
          <w:rFonts w:ascii="Times New Roman" w:cs="Times New Roman" w:eastAsia="Times New Roman" w:hAnsi="Times New Roman"/>
          <w:sz w:val="18"/>
          <w:szCs w:val="18"/>
          <w:u w:val="single" w:color="auto"/>
          <w:color w:val="auto"/>
        </w:rPr>
        <w:t>paragraphs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Section.</w:t>
      </w:r>
    </w:p>
    <w:p>
      <w:pPr>
        <w:spacing w:after="0" w:line="3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AFFIRMATIVE COVENANTS</w:t>
      </w:r>
    </w:p>
    <w:p>
      <w:pPr>
        <w:spacing w:after="0" w:line="207"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From the Closing Date until the date on which all Commitments have expired or terminated and the principal of and interest on each Loan and all fees, expenses and other Loan Document Obligations payable under any Loan Document (other than contingent indemnification obligations for which no claim or demand has been made) have been paid in full in Cash and all Letters of Credit have expired or have been terminated (or have been</w:t>
      </w:r>
    </w:p>
    <w:p>
      <w:pPr>
        <w:spacing w:after="0" w:line="1" w:lineRule="exact"/>
        <w:rPr>
          <w:sz w:val="20"/>
          <w:szCs w:val="20"/>
          <w:color w:val="auto"/>
        </w:rPr>
      </w:pPr>
    </w:p>
    <w:p>
      <w:pPr>
        <w:ind w:left="264" w:hanging="264"/>
        <w:spacing w:after="0"/>
        <w:tabs>
          <w:tab w:leader="none" w:pos="26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collateralized or back-stopped by a letter of credit or otherwise in a manner reasonably satisfactory to the Administrative Agent and the relevant</w:t>
      </w:r>
    </w:p>
    <w:p>
      <w:pPr>
        <w:spacing w:after="0" w:line="9" w:lineRule="exact"/>
        <w:rPr>
          <w:rFonts w:ascii="Times New Roman" w:cs="Times New Roman" w:eastAsia="Times New Roman" w:hAnsi="Times New Roman"/>
          <w:sz w:val="18"/>
          <w:szCs w:val="18"/>
          <w:color w:val="auto"/>
        </w:rPr>
      </w:pPr>
    </w:p>
    <w:p>
      <w:pPr>
        <w:jc w:val="both"/>
        <w:ind w:left="4"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Bank or (y) deemed reissued under another agreement in a manner reasonably satisfactory to the Administrative Agent and the relevant Issuing Bank) and all LC Disbursements have been reimbursed (such date, the “</w:t>
      </w:r>
      <w:r>
        <w:rPr>
          <w:rFonts w:ascii="Times New Roman" w:cs="Times New Roman" w:eastAsia="Times New Roman" w:hAnsi="Times New Roman"/>
          <w:sz w:val="18"/>
          <w:szCs w:val="18"/>
          <w:b w:val="1"/>
          <w:bCs w:val="1"/>
          <w:color w:val="auto"/>
        </w:rPr>
        <w:t>Termination Date</w:t>
      </w:r>
      <w:r>
        <w:rPr>
          <w:rFonts w:ascii="Times New Roman" w:cs="Times New Roman" w:eastAsia="Times New Roman" w:hAnsi="Times New Roman"/>
          <w:sz w:val="18"/>
          <w:szCs w:val="18"/>
          <w:color w:val="auto"/>
        </w:rPr>
        <w:t>”), the Borrower and each other Loan Party hereby covenant and agree with the Lenders that:</w:t>
      </w:r>
    </w:p>
    <w:p>
      <w:pPr>
        <w:spacing w:after="0" w:line="78"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Financial Statements and Other Reports</w:t>
      </w:r>
      <w:r>
        <w:rPr>
          <w:rFonts w:ascii="Times New Roman" w:cs="Times New Roman" w:eastAsia="Times New Roman" w:hAnsi="Times New Roman"/>
          <w:sz w:val="18"/>
          <w:szCs w:val="18"/>
          <w:color w:val="auto"/>
        </w:rPr>
        <w:t xml:space="preserve">. The Borrower will deliver to the Administrative Agent, for delivery by the Administrative Agent, 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to each Lender:</w:t>
      </w:r>
    </w:p>
    <w:p>
      <w:pPr>
        <w:spacing w:after="0" w:line="54" w:lineRule="exact"/>
        <w:rPr>
          <w:sz w:val="20"/>
          <w:szCs w:val="20"/>
          <w:color w:val="auto"/>
        </w:rPr>
      </w:pPr>
    </w:p>
    <w:p>
      <w:pPr>
        <w:ind w:left="4" w:right="20" w:firstLine="436"/>
        <w:spacing w:after="0" w:line="252" w:lineRule="auto"/>
        <w:tabs>
          <w:tab w:leader="none" w:pos="68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xml:space="preserve">. Within 60 days after the end of each of the first three Fiscal Quarters of each Fiscal Year, commencing with the first Fiscal Quarter ending after the Closing Date (or, in each case, such later date not to exceed 45 days from the applicable due date, as the Administrative Agent may agree in its reasonable discretion) (i) the unaudited consolidated balance sheet of the Borrower as at the end of such Fiscal Quarter and the related (a) unaudited consolidated statement of income or operations of the Borrower for such Fiscal Quarter and for the period from the beginning of the then current Fiscal Year to the end of such Fiscal Quarter and (b) unaudited consolidated statement of cash flows of the Borrower for the period from the beginning of the then current Fiscal Year to the end of such Fiscal Quarter, and, commencing with the financial statements required to be delivered for the first Fiscal Quarter following the first full Fiscal Year of the Borrower following the Closing Date, setting forth,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in reasonable detail, in comparative form the corresponding figures for the corresponding periods of the previous Fiscal Year, all in reasonable detail, together with a Responsible Officer Certification (which may be included in the applicable Compliance Certificate) with respect thereto and (ii) a Narrative Report,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financial statements shall not be required to reflect any purchase accounting adjustments relating to any acquisition consummated after the Closing Date until the last day of the Fiscal Year following the Fiscal Year in which the relevant acquisition was consummated and (y) no comparative financial statements shall be required for any Fiscal Quarter (and the two immediately succeeding Fiscal Quarters) in which any Permitted Acquisition or Investment is consummated or any material accounting change (as determined by the Borrower in good faith) has occurred;</w:t>
      </w:r>
    </w:p>
    <w:p>
      <w:pPr>
        <w:spacing w:after="0" w:line="197"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Financial Statements</w:t>
      </w:r>
      <w:r>
        <w:rPr>
          <w:rFonts w:ascii="Times New Roman" w:cs="Times New Roman" w:eastAsia="Times New Roman" w:hAnsi="Times New Roman"/>
          <w:sz w:val="18"/>
          <w:szCs w:val="18"/>
          <w:color w:val="auto"/>
        </w:rPr>
        <w:t>. Within 90 days after the end of each Fiscal Year ending after the Closing Date (or in each case, such later date not to exceed 45 days from the applicable due date, as the Administrative Agent may agree in its reasonable discretion) (i) the consolidated balance sheet of the Borrower as at the end of such Fiscal Year and the related consolidated statements of income or operations and cash flows of the Borrower for such Fiscal Year and, commencing after the completion of the second full Fiscal Year ended after the Closing Date, setting forth, in reasonable detail, in comparative form the corresponding figures for the previous Fiscal Year and (ii) with respect to such consolidated financial statements, (A) a report thereon of an independent certified public accountant (or accountants) of recognized national standing or another accounting firm reasonably acceptable to the Administrative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4"/>
          </w:cols>
          <w:pgMar w:left="436" w:top="269" w:right="459" w:bottom="1440" w:gutter="0" w:footer="0" w:header="0"/>
        </w:sectPr>
      </w:pPr>
    </w:p>
    <w:bookmarkStart w:id="479" w:name="page480"/>
    <w:bookmarkEnd w:id="479"/>
    <w:p>
      <w:pPr>
        <w:ind w:left="4"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Agent (which report shall not be subject to a “going concern” or scope of audit qualification (except for any such qualification pertaining to, or disclosure of an exception or qualification resulting from, (x) the maturity (or impending maturity) of any Credit Facility or any other Indebtedness,</w:t>
      </w:r>
    </w:p>
    <w:p>
      <w:pPr>
        <w:spacing w:after="0" w:line="1" w:lineRule="exact"/>
        <w:rPr>
          <w:sz w:val="20"/>
          <w:szCs w:val="20"/>
          <w:color w:val="auto"/>
        </w:rPr>
      </w:pPr>
    </w:p>
    <w:p>
      <w:pPr>
        <w:ind w:left="4" w:right="60" w:hanging="4"/>
        <w:spacing w:after="0" w:line="252" w:lineRule="auto"/>
        <w:tabs>
          <w:tab w:leader="none" w:pos="259" w:val="left"/>
        </w:tabs>
        <w:numPr>
          <w:ilvl w:val="0"/>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breach or anticipated breach of any financial covenant or (z) the activities, operations, financial results, assets or liabilities of any Unrestricted Subsidiary) but may include a “going concern” or “emphasis of matter” explanatory paragraph or like statement), and shall state that such consolidated financial statements fairly present, in all material respects, the consolidated financial position of the Borrower as at the dates indicated and its income and cash flows for the periods indicated in conformity with GAAP;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comparative financial statements shall be required for any Fiscal Year in which any Permitted Acquisition or Investment is consummated or any material accounting change (as determined by the Borrower in good faith) has occurred and (B) a Narrative Report;</w:t>
      </w:r>
    </w:p>
    <w:p>
      <w:pPr>
        <w:spacing w:after="0" w:line="189" w:lineRule="exact"/>
        <w:rPr>
          <w:rFonts w:ascii="Times New Roman" w:cs="Times New Roman" w:eastAsia="Times New Roman" w:hAnsi="Times New Roman"/>
          <w:sz w:val="18"/>
          <w:szCs w:val="18"/>
          <w:color w:val="auto"/>
        </w:rPr>
      </w:pPr>
    </w:p>
    <w:p>
      <w:pPr>
        <w:ind w:left="4" w:right="280" w:firstLine="436"/>
        <w:spacing w:after="0" w:line="257" w:lineRule="auto"/>
        <w:tabs>
          <w:tab w:leader="none" w:pos="689"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 Unrestricted Subsidiaries</w:t>
      </w:r>
      <w:r>
        <w:rPr>
          <w:rFonts w:ascii="Times New Roman" w:cs="Times New Roman" w:eastAsia="Times New Roman" w:hAnsi="Times New Roman"/>
          <w:sz w:val="18"/>
          <w:szCs w:val="18"/>
          <w:color w:val="auto"/>
        </w:rPr>
        <w:t xml:space="preserve">. (i) Within five Business Days after the date on which delivery of financial statements is required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5.01(b)</w:t>
      </w:r>
      <w:r>
        <w:rPr>
          <w:rFonts w:ascii="Times New Roman" w:cs="Times New Roman" w:eastAsia="Times New Roman" w:hAnsi="Times New Roman"/>
          <w:sz w:val="18"/>
          <w:szCs w:val="18"/>
          <w:color w:val="auto"/>
        </w:rPr>
        <w:t xml:space="preserve"> with respect to any Fiscal Quarter or Fiscal Year, as applicable, a duly executed and completed Compliance Certificate and (ii) within five Business Days after the date on which delivery of financial statements is required pursuant to</w:t>
      </w:r>
    </w:p>
    <w:p>
      <w:pPr>
        <w:spacing w:after="0" w:line="1" w:lineRule="exact"/>
        <w:rPr>
          <w:rFonts w:ascii="Times New Roman" w:cs="Times New Roman" w:eastAsia="Times New Roman" w:hAnsi="Times New Roman"/>
          <w:sz w:val="18"/>
          <w:szCs w:val="18"/>
          <w:color w:val="auto"/>
        </w:rPr>
      </w:pPr>
    </w:p>
    <w:p>
      <w:pPr>
        <w:ind w:left="4" w:right="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(A) if such adjustments are material, a summary (which may be in footnote form) of the pro forma adjustments necessary to eliminate the accounts of Unrestricted Subsidiaries (if any) from such financial statements and (B) a list identifying each subsidiary of the Borrower as a Restricted Subsidiary or an Unrestricted Subsidiary as of the date of delivery of such financial statements or confirming that there is no change in such information since the later of the Closing Date and the most recent prior delivery of such information;</w:t>
      </w:r>
    </w:p>
    <w:p>
      <w:pPr>
        <w:spacing w:after="0" w:line="188"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80" w:firstLine="436"/>
        <w:spacing w:after="0" w:line="281" w:lineRule="auto"/>
        <w:tabs>
          <w:tab w:leader="none" w:pos="689" w:val="left"/>
        </w:tabs>
        <w:numPr>
          <w:ilvl w:val="1"/>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Default or Event of Default</w:t>
      </w:r>
      <w:r>
        <w:rPr>
          <w:rFonts w:ascii="Times New Roman" w:cs="Times New Roman" w:eastAsia="Times New Roman" w:hAnsi="Times New Roman"/>
          <w:sz w:val="17"/>
          <w:szCs w:val="17"/>
          <w:color w:val="auto"/>
        </w:rPr>
        <w:t>. Promptly upon any Responsible Officer of the Borrower obtaining knowledge of (i) any Default or Event of Default that has occurred and is continuing or (ii) the occurrence of any event or change that has caused or evidences or would reasonably be expected to cause or evidence, either individually or in the aggregate, a Material Adverse Effect, a reasonably detailed notice specifying the nature and period of existence of such condition, event or change and what action the Borrower has taken, is taking and proposes to take with respect thereto;</w:t>
      </w:r>
    </w:p>
    <w:p>
      <w:pPr>
        <w:spacing w:after="0" w:line="164" w:lineRule="exact"/>
        <w:rPr>
          <w:rFonts w:ascii="Times New Roman" w:cs="Times New Roman" w:eastAsia="Times New Roman" w:hAnsi="Times New Roman"/>
          <w:sz w:val="17"/>
          <w:szCs w:val="17"/>
          <w:color w:val="auto"/>
        </w:rPr>
      </w:pPr>
    </w:p>
    <w:p>
      <w:pPr>
        <w:ind w:left="4" w:right="40" w:firstLine="436"/>
        <w:spacing w:after="0" w:line="261" w:lineRule="auto"/>
        <w:tabs>
          <w:tab w:leader="none" w:pos="669"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Litigation</w:t>
      </w:r>
      <w:r>
        <w:rPr>
          <w:rFonts w:ascii="Times New Roman" w:cs="Times New Roman" w:eastAsia="Times New Roman" w:hAnsi="Times New Roman"/>
          <w:sz w:val="18"/>
          <w:szCs w:val="18"/>
          <w:color w:val="auto"/>
        </w:rPr>
        <w:t>. Promptly upon any Responsible Officer of the Borrower obtaining knowledge of the institution of any Adverse Proceeding not previously disclosed in writing by the Borrower to the Administrative Agent that would reasonably be expected to have a Material Adverse Effect, written notice thereof by the Borrower together with such other non-privileged information as may be reasonably available to the Loan Parties to enable the Lenders to evaluate such matters;</w:t>
      </w:r>
    </w:p>
    <w:p>
      <w:pPr>
        <w:spacing w:after="0" w:line="179" w:lineRule="exact"/>
        <w:rPr>
          <w:rFonts w:ascii="Times New Roman" w:cs="Times New Roman" w:eastAsia="Times New Roman" w:hAnsi="Times New Roman"/>
          <w:sz w:val="18"/>
          <w:szCs w:val="18"/>
          <w:color w:val="auto"/>
        </w:rPr>
      </w:pPr>
    </w:p>
    <w:p>
      <w:pPr>
        <w:ind w:left="4" w:right="700" w:firstLine="436"/>
        <w:spacing w:after="0" w:line="282" w:lineRule="auto"/>
        <w:tabs>
          <w:tab w:leader="none" w:pos="699"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Promptly upon any Responsible Officer of the Borrower becoming aware of the occurrence of any ERISA Event that would reasonably be expected to have a Material Adverse Effect, a written notice specifying the nature thereof;</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firstLine="436"/>
        <w:spacing w:after="0" w:line="281" w:lineRule="auto"/>
        <w:tabs>
          <w:tab w:leader="none" w:pos="659" w:val="left"/>
        </w:tabs>
        <w:numPr>
          <w:ilvl w:val="1"/>
          <w:numId w:val="6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Information Regarding Collateral</w:t>
      </w:r>
      <w:r>
        <w:rPr>
          <w:rFonts w:ascii="Times New Roman" w:cs="Times New Roman" w:eastAsia="Times New Roman" w:hAnsi="Times New Roman"/>
          <w:sz w:val="17"/>
          <w:szCs w:val="17"/>
          <w:color w:val="auto"/>
        </w:rPr>
        <w:t>. Promptly (and, in any event, within 90 days of the relevant change or such later date as the Collateral Agent may agree) written notice of any change (i) in any Loan Party’s legal name, (ii) in any Loan Party’s type of organization, (iii) in any Loan Party’s jurisdiction of organization or (iv) in any Loan Party’s organizational identification number, in each case to the extent such information is necessary to enable the Collateral Agent to perfect or maintain the perfection and priority of its security interest in the Collateral of the relevant Loan Party;</w:t>
      </w:r>
    </w:p>
    <w:p>
      <w:pPr>
        <w:spacing w:after="0" w:line="9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0924"/>
          </w:cols>
          <w:pgMar w:left="436" w:top="269" w:right="539" w:bottom="1440" w:gutter="0" w:footer="0" w:header="0"/>
        </w:sectPr>
      </w:pPr>
    </w:p>
    <w:bookmarkStart w:id="480" w:name="page481"/>
    <w:bookmarkEnd w:id="480"/>
    <w:p>
      <w:pPr>
        <w:ind w:right="20" w:firstLine="436"/>
        <w:spacing w:after="0" w:line="254" w:lineRule="auto"/>
        <w:tabs>
          <w:tab w:leader="none" w:pos="65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Certain Reports</w:t>
      </w:r>
      <w:r>
        <w:rPr>
          <w:rFonts w:ascii="Times New Roman" w:cs="Times New Roman" w:eastAsia="Times New Roman" w:hAnsi="Times New Roman"/>
          <w:sz w:val="18"/>
          <w:szCs w:val="18"/>
          <w:color w:val="auto"/>
        </w:rPr>
        <w:t xml:space="preserve">. Promptly upon their becoming publicly available and without duplication of any obligations with respect to any such information that is otherwise required to be delivered under the provisions of any Loan Document, copies of (i) all financial statements, material reports, material notices and proxy statements sent or made available generally by the Borrower to its security holders acting in such capacity and (ii) all material regular and periodic reports and all material registration statements (other than on Form S-8 or a similar form) and prospectuses, if any, filed by the Borrower or any of its Restricted Subsidiaries with any securities exchange or with the SEC or any analogous governmental or private regulatory authority with jurisdiction over matters relating to securities (other than any prospectuses relating to an equity plan, any amendments to any registration statement (to the extent such registration statement, in the form it became effective, is delivered), exhibits to any registration statement and, if applicable, any registration statement on Form S-8 or a similar form);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delivery shall be required hereunder with respect to any of the foregoing to the extent that such are publicly available via EDGAR or another publicly available reporting service</w:t>
      </w:r>
    </w:p>
    <w:p>
      <w:pPr>
        <w:spacing w:after="0" w:line="188"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6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Information</w:t>
      </w:r>
      <w:r>
        <w:rPr>
          <w:rFonts w:ascii="Times New Roman" w:cs="Times New Roman" w:eastAsia="Times New Roman" w:hAnsi="Times New Roman"/>
          <w:sz w:val="18"/>
          <w:szCs w:val="18"/>
          <w:color w:val="auto"/>
        </w:rPr>
        <w:t xml:space="preserve">. (x) Such other reports and information (financial or otherwise) as the Administrative Agent may reasonably request from time to time regarding the financial condition or business of the Borrower and its Restricted Subsidiaries and (y) such information as the Administrative Agent or any Lender through the Administrative Agent may reasonably request from time to time regarding compliance with applicable “know your customer” requirements under the PATRIOT Act (including if the Borrower qualifies as a “legal entity customer” under the “Beneficial Ownership Regulations” (31 CFR §1010.230), a Beneficial Ownership Certification in relation to the Borrower) or other applicable anti-money laundering laws;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the Borrower nor any Restricted Subsidiary shall be required to deliver, disclose or provide any information (i) that constitutes non-financial trade secrets or non-financial proprietary information of the Borrower or any of its subsidiaries or any of their respective customers and/or suppliers, (ii) in respect of which disclosure to the Administrative Agent or any Lender (or any of their respective representatives) is prohibited by any applicable Requirement of Law, (iii) that is subject to attorney-client or similar privilege or constitutes attorney work product or (iv) in respect of which the Borrower or any Restricted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5.01(l)</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(or a representative thereof) (x) posts such documents or (y) provides a link thereto at the website address notified to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other than with respect to items required to be delivered pursuant to </w:t>
      </w: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above, the Borrower shall promptly notify (which notice may be by electronic mail) the Administrative Agent of the posting of any such documents or a link thereto on such website and provide to the Administrative Agent by electronic mail electronic versions (i.e., soft copies) of such documents; (ii) on which such documents are delivered by the Borrower to the Administrative Agent for posting on behalf of the Borrower on IntraLinks, SyndTrak or another relevant secure website, if any, to which each Lender and the Administrative Agent have access (whether a commercial, third-party website or whether sponsored by the Administrative Agent); (iii) on which such documents are faxed to the Administrative Agent (or electronically mailed to addresses provided by the Administrative Agent); or (iv) in respect of the items required to be delivered pursuant to</w:t>
      </w:r>
    </w:p>
    <w:p>
      <w:pPr>
        <w:spacing w:after="0" w:line="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5.01(j)</w:t>
      </w:r>
      <w:r>
        <w:rPr>
          <w:rFonts w:ascii="Times New Roman" w:cs="Times New Roman" w:eastAsia="Times New Roman" w:hAnsi="Times New Roman"/>
          <w:sz w:val="18"/>
          <w:szCs w:val="18"/>
          <w:color w:val="auto"/>
        </w:rPr>
        <w:t xml:space="preserve"> above in respect of information filed by the Borrower or any of its Restricted Subsidiaries with any securities exchange or with the SEC or any analogous governmental or private regulatory authority with jurisdiction over matters relating to securities (other than Form 10-Q Reports and Form 10-K Reports), on which such items have been made available on the SEC website or the website of the relevant analogous governmental or private regulatory authority or securities exchange.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69" w:right="459" w:bottom="1440" w:gutter="0" w:footer="0" w:header="0"/>
        </w:sectPr>
      </w:pPr>
    </w:p>
    <w:bookmarkStart w:id="481" w:name="page482"/>
    <w:bookmarkEnd w:id="481"/>
    <w:p>
      <w:pPr>
        <w:jc w:val="both"/>
        <w:ind w:right="3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be satisfied with respect to any financial statements of the Borrower (including with respect to delivery of a Narrative Report) by furnishing Form 10-K or 10-Q, as applicable, filed with the SEC or any securities exchange, in each case, within the time periods specified in such paragraphs and without any requirement to provide notice of such filing to the Administrative Agent or to any Lender.</w:t>
      </w:r>
    </w:p>
    <w:p>
      <w:pPr>
        <w:spacing w:after="0" w:line="180"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Further, notwithstanding the foregoing, the obligations in </w:t>
      </w:r>
      <w:r>
        <w:rPr>
          <w:rFonts w:ascii="Times New Roman" w:cs="Times New Roman" w:eastAsia="Times New Roman" w:hAnsi="Times New Roman"/>
          <w:sz w:val="18"/>
          <w:szCs w:val="18"/>
          <w:u w:val="single" w:color="auto"/>
          <w:color w:val="auto"/>
        </w:rPr>
        <w:t>paragraphs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may instead be satisfied with respect to any financial statements of the Borrower by furnishing (A) the applicable financial statements of any parent company of the Borrower (other than, for the avoidance of doubt, Parent or any of its “restricted” Subsidiaries) or (B) any parent company’s, as applicable, Form 10-K or 10-Q, as applicable, filed with the SEC or any securities exchange, in each case, within the time periods specified in such paragraphs and without any requirement to provide notice of such filing to the Administrative Agent or to any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 if (1) such financial statements relate to any parent company and (2) either (I) such parent company (or any other parent company that is a subsidiary of such parent company) has any material third party Indebtedness and/or material operations (as determined by the Borrower in good faith and other than any operations that are attributable solely to such parent company’s ownership of the Borrower and its subsidiaries) or (II) there are material differences between the financial statements of such parent company and its consolidated subsidiaries, on the one hand, and the Borrower and its consolidated subsidiaries, on the other hand, such financial statements or the Form 10-K or Form 10-Q, as applicable, shall be accompanied by consolidating information (which need not be audited) that summarizes in reasonable detail the differences between the information relating to such parent company, on the one hand, and the information relating to the Borrower and its consolidated subsidiaries on a standalone basis, on the other hand, which consolidating information shall be certified by a Responsible Officer of the Borrower as having been fairly presented in all material respects and (ii) to the extent such statements are in lieu of statements required to be provided under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such statements shall be accompanied by a report and opinion of an independent registered public accounting firm of nationally recognized standing or another accounting firm reasonably acceptable to the Administrative Agent, which report and opinion shall satisfy the applicable requirements set forth in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as if the references to “the Borrower” therein were references to such parent company.</w:t>
      </w:r>
    </w:p>
    <w:p>
      <w:pPr>
        <w:spacing w:after="0" w:line="19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financial statement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required to include acquisition or purchase accounting adjustments relating to any Permitted Acquisition or other Investment to the extent it is not practicable to include any such adjustments in such financial statement.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Existence</w:t>
      </w:r>
      <w:r>
        <w:rPr>
          <w:rFonts w:ascii="Times New Roman" w:cs="Times New Roman" w:eastAsia="Times New Roman" w:hAnsi="Times New Roman"/>
          <w:sz w:val="18"/>
          <w:szCs w:val="18"/>
          <w:color w:val="auto"/>
        </w:rPr>
        <w:t xml:space="preserve">. Except as otherwise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as a result of the consummation of a Permitted Reorganization, the Borrower will, and the Borrower will cause each of its Restricted Subsidiaries (other than an Immaterial Subsidiary) to, at all times preserve and keep in full force and effect their existence and all rights, franchises, licenses and permits material to their business except, other than with respect to the preservation of the existence of the Borrower, to the extent that the failure to do so would not reasonably be expected to result in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the Borrower nor any of the Borrower’s Restricted Subsidiaries shall be required to preserve any such existence (other than with respect to the preservation of existence of the Borrower, except as otherwise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as a result of the consummation of a Permitted Reorganization), right, franchise, license or permit if a Responsible Officer of such Person or such Person’s board of directors (or similar governing body) determines that the preservation thereof is no longer desirable in the conduct of the business of such Person, and that the loss thereof is not disadvantageous in any material respect to such Person or to the Lenders.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60"/>
          </w:cols>
          <w:pgMar w:left="440" w:top="269" w:right="499" w:bottom="1440" w:gutter="0" w:footer="0" w:header="0"/>
        </w:sectPr>
      </w:pPr>
    </w:p>
    <w:bookmarkStart w:id="482" w:name="page483"/>
    <w:bookmarkEnd w:id="482"/>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xml:space="preserve">. The Borrower will, and the Borrower will cause each of its Restricted Subsidiaries to, pay all Taxes imposed upon it or any of its properties or assets or in respect of any of its income or businesses or franchises before any penalty or fine accrues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Tax need be paid if (a) it is being contested in good faith by appropriate proceedings promptly instituted and diligently conducted, so long as (i) adequate reserves or other appropriate provisions, as are required in conformity with GAAP, have been made therefor and (ii) in the case of a Tax which has or may become a Lien against a material portion of the Collateral, such contest proceedings conclusively operate to stay the sale of such portion of the Collateral to satisfy such Tax or (b) failure to pay or discharge the same would not reasonably be expected to result in a Material Adverse Effect.</w:t>
      </w:r>
    </w:p>
    <w:p>
      <w:pPr>
        <w:spacing w:after="0" w:line="18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The Borrower will, and the Borrower will cause each of its Restricted Subsidiaries to, maintain or cause to be maintained in good repair, working order and condition, ordinary wear and tear and casualty and condemnation excepted, all material tangible property reasonably necessary to the normal conduct of business of the Borrower and its Restricted Subsidiaries and from time to time will make or cause to be made all needed and appropriate repairs, renewals and replacements thereof and use commercially reasonable efforts to prosecute, renew and maintain in full force and effect all material IP Rights, in each case, except as expressly permitted by this Agreement or where the failure to maintain such tangible properties, make such repairs, renewals or replacements or prosecute, renew and maintain such material IP Rights would not reasonably be expected to have a Material Adverse Effect.</w:t>
      </w:r>
    </w:p>
    <w:p>
      <w:pPr>
        <w:spacing w:after="0" w:line="189"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Except where the failure to do so would not reasonably be expected to have a Material Adverse Effect, the Borrower will maintain or cause to be maintained, in each case, as determined by the Borrower in good faith, with financially sound and reputable insurers, such insurance coverage with respect to liabilities, losses or damage in respect of the assets, properties and businesses of the Borrower and its Restricted Subsidiaries as may customarily be carried or maintained under similar circumstances by Persons of established reputation engaged in similar businesses, in each case in such amounts (giving effect to self-insurance), with such deductibles, covering such risks and otherwise on such terms and conditions as shall be customary for such Persons, including, but only if required by applicable law or regulation, flood insurance with respect to each Flood Hazard Property, in each case in compliance with applicable Flood Insurance Laws. Each such policy of insurance shall, to the extent available from the relevant insurance carrier, (i) name the Collateral Agent on behalf of the Secured Parties as a loss payee, mortgagee and/or an additional insured, as applicable, thereunder as its interests may appear and (ii) in the case of each casualty insurance policy (excluding any business interruption insurance policy, any workers’ compensation policy, any employee liability policy and/or any representation and warranty insurance policy), contain a loss payable clause or endorsement that names the Collateral Agent, on behalf of the Secured Parties, as the loss payee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have 120 days after the Closing Date (or such later date as agreed by the Collateral Agent) to comply with the requirements of the foregoing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 respect to policies in effect on the Closing Date.</w:t>
      </w:r>
    </w:p>
    <w:p>
      <w:pPr>
        <w:spacing w:after="0" w:line="18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Inspections</w:t>
      </w:r>
      <w:r>
        <w:rPr>
          <w:rFonts w:ascii="Times New Roman" w:cs="Times New Roman" w:eastAsia="Times New Roman" w:hAnsi="Times New Roman"/>
          <w:sz w:val="18"/>
          <w:szCs w:val="18"/>
          <w:color w:val="auto"/>
        </w:rPr>
        <w:t>. The Borrower will, and will cause each of its Restricted Subsidiaries to, permit any authorized representative designated by the Administrative Agent to visit and inspect any of the properties of the Borrower and any of its Restricted Subsidiaries at which the principal financial records and executive officers of the applicable Person are located, to inspect, copy and take extracts from its and their respective financial and accounting records, and to discuss its and their respective affairs, finances and accounts with its and their Responsible Officers and independent public accountants (subject to such accountants’ customary policies and procedures)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(or any of its subsidiaries) may, if it so chooses, be present at or participate in any such discussion), all upon reasonable notice and at reasonable times during normal business hours;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only the Administrative Agent on behalf of the Lenders may exercise the rights of the Administrative Agent and the Lenders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69" w:right="459" w:bottom="1440" w:gutter="0" w:footer="0" w:header="0"/>
        </w:sectPr>
      </w:pPr>
    </w:p>
    <w:bookmarkStart w:id="483" w:name="page484"/>
    <w:bookmarkEnd w:id="48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(y) the Administrative Agent shall not exercise such rights more often than one time during any calendar year and (z) only one such time per calendar year shall be at the expense of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when an Event of Default exists, the Administrative Agent (or any of its representatives or independent contractors) may do any of the foregoing at the expense of the Borrower at any time during normal business hours and upon reasonable advance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notwithstanding anything to the contrary herein, neither the Borrower nor any Restricted Subsidiary shall be required to deliver, disclose, permit the inspection, examination or making of copies of or taking abstracts from, or discuss any document, information or other matter (i) that constitutes non-financial trade secrets or non-financial proprietary information of the Borrower and its subsidiaries and/or any of its customers and/or suppliers, (ii) in respect of which disclosure to the Administrative Agent or any Lender (or any of their respective representatives or contractors) is prohibited by applicable law, (iii) that is subject to attorney-client or similar privilege or constitutes attorney work product or (iv) in respect of which the Borrower or any Restricted Subsidiary owes confidentiality obligations to any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confidentiality obligations were not entered into solely in contemplation of the requirements of this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Maintenance of Book and Records</w:t>
      </w:r>
      <w:r>
        <w:rPr>
          <w:rFonts w:ascii="Times New Roman" w:cs="Times New Roman" w:eastAsia="Times New Roman" w:hAnsi="Times New Roman"/>
          <w:sz w:val="18"/>
          <w:szCs w:val="18"/>
          <w:color w:val="auto"/>
        </w:rPr>
        <w:t>. The Borrower will, and will cause its Restricted Subsidiaries to, maintain proper books of record and account containing entries of all material financial transactions and matters involving the assets and business of the Borrower and its Restricted Subsidiaries that are full, true and correct in all material respects and permit the preparation of consolidated financial statements in accordance with GAAP.</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xml:space="preserve">. The Borrower will comply, and will cause each of its Restricted Subsidiaries to comply, with the requirements of all applicable laws, rules, regulations and orders of any Governmental Authority (including ERISA and all Environmental Laws), except to the extent the failure of the Borrower or the relevant Restricted Subsidiary to comply would not reasonably be expected to have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Section 5.08</w:t>
      </w:r>
      <w:r>
        <w:rPr>
          <w:rFonts w:ascii="Times New Roman" w:cs="Times New Roman" w:eastAsia="Times New Roman" w:hAnsi="Times New Roman"/>
          <w:sz w:val="18"/>
          <w:szCs w:val="18"/>
          <w:color w:val="auto"/>
        </w:rPr>
        <w:t>, as they pertain to compliance by any Foreign Subsidiary with Sanctions and anti-corruption laws are subject to and limited by any Requirement of Law applicable to such Foreign Subsidiary in its relevant local jurisdiction.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Hazardous Materials Activity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deliver to the Administrative Agent: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Borrower becoming aware of the occurrence thereof, written notice describing in reasonable detail</w:t>
      </w:r>
    </w:p>
    <w:p>
      <w:pPr>
        <w:spacing w:after="0" w:line="27" w:lineRule="exact"/>
        <w:rPr>
          <w:rFonts w:ascii="Times New Roman" w:cs="Times New Roman" w:eastAsia="Times New Roman" w:hAnsi="Times New Roman"/>
          <w:sz w:val="18"/>
          <w:szCs w:val="18"/>
          <w:color w:val="auto"/>
        </w:rPr>
      </w:pPr>
    </w:p>
    <w:p>
      <w:pPr>
        <w:ind w:left="440"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Release required to be reported by the Borrower or any of its Restricted Subsidiaries to any federal, state or local governmental or regulatory agency under any applicable Environmental Law, (B) any remedial action taken by or on behalf of the Borrower or any of its Restricted Subsidiaries in response to any Hazardous Materials Activity or Environmental Claim, or (C) any pending or threatened Environmental Claim, that in the case of each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would reasonably be expected to have a Material Adverse Effect; and</w:t>
      </w:r>
    </w:p>
    <w:p>
      <w:pPr>
        <w:spacing w:after="0" w:line="80"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128" w:val="left"/>
        </w:tabs>
        <w:numPr>
          <w:ilvl w:val="1"/>
          <w:numId w:val="6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promptly following the sending or receipt thereof by the Borrower or any of its Restricted Subsidiaries, a copy of any and all written communications with respect to any Release required to be reported by the Borrower or any of its Restricted Subsidiaries to any federal, state or local governmental or regulatory agency or any Release required to be remediated pursuant to any Environmental Law, that in each case would reasonably be expected to have a Material Adverse Effect.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69" w:right="459" w:bottom="1440" w:gutter="0" w:footer="0" w:header="0"/>
        </w:sectPr>
      </w:pPr>
    </w:p>
    <w:bookmarkStart w:id="484" w:name="page485"/>
    <w:bookmarkEnd w:id="484"/>
    <w:p>
      <w:pPr>
        <w:ind w:right="20" w:firstLine="436"/>
        <w:spacing w:after="0" w:line="254" w:lineRule="auto"/>
        <w:tabs>
          <w:tab w:leader="none" w:pos="695" w:val="left"/>
        </w:tabs>
        <w:numPr>
          <w:ilvl w:val="0"/>
          <w:numId w:val="6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shall reasonably promptly take, and shall cause each of its Restricted Subsidiaries reasonably promptly to take, any and all actions reasonably necessary to (i) cure any violation of Environmental Law by the Borrower or any of its Restricted Subsidiaries, and, to the extent required by Environmental Law, address with appropriate corrective or remedial action any Release or threatened Release of any Hazardous Material at or from any Facility, that, individually or in the aggregate, could reasonably be expected to have a Material Adverse Effect and (ii) make an appropriate response to any Environmental Claim against the Borrower or any of its Restricted Subsidiaries and discharge any obligations it may have to any Person thereunder, where failure to do so would reasonably be expected to have, individually or in the aggregate, a Material Adverse Effect;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deemed to be a violation of this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if the Borrower or its Restricted Subsidiaries are in good faith contesting such violation, liability for such Release or threatened Release or such Environmental Claim in accordance with applicable Environmental Law.</w:t>
      </w:r>
    </w:p>
    <w:p>
      <w:pPr>
        <w:spacing w:after="0" w:line="192"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at any time after the Closing Date, designate (or re-designate) any subsidiary as an Unrestricted Subsidiary or any Unrestricted Subsidiary as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as of the date of designation (or re-designation) of any subsidiary as an Unrestricted Subsidiary (a) no Event of Default shall have occurred and be continuing, (b) [reserved], (c) no Unrestricted Subsidiary shall own any Capital Stock in any Restricted Subsidiary of the Borrower (unless such Restricted Subsidiary is also designated as an Unrestricted Subsidiary simultaneously with the aforementioned designation in accordance with the terms of this </w:t>
      </w:r>
      <w:r>
        <w:rPr>
          <w:rFonts w:ascii="Times New Roman" w:cs="Times New Roman" w:eastAsia="Times New Roman" w:hAnsi="Times New Roman"/>
          <w:sz w:val="18"/>
          <w:szCs w:val="18"/>
          <w:u w:val="single" w:color="auto"/>
          <w:color w:val="auto"/>
        </w:rPr>
        <w:t>Section 5.10</w:t>
      </w:r>
      <w:r>
        <w:rPr>
          <w:rFonts w:ascii="Times New Roman" w:cs="Times New Roman" w:eastAsia="Times New Roman" w:hAnsi="Times New Roman"/>
          <w:sz w:val="18"/>
          <w:szCs w:val="18"/>
          <w:color w:val="auto"/>
        </w:rPr>
        <w:t xml:space="preserve">) or hold any Indebtedness of or any Lien on any property of the Borrower or its Restricted Subsidiaries (unless the Borrower or such Restricted Subsidiary is permitted (or not prohibited) hereunder to incur such Indebtedness or grant such Lien in favor of such Unrestricted Subsidiary (as a third party)) and (d) no Subsidiary shall be designated as an Unrestricted Subsidiary if such Subsidiary owns Material Intellectual Property at the time of such designation. The designation of any subsidiary as an Unrestricted Subsidiary shall constitute an Investment by the Borrower (or its applicable Restricted Subsidiary) therein at the date of designation in an amount equal to the portion of the fair market value of the net assets of such subsidiary attributable to the Borrower’s (or its applicable Restricted Subsidiary’s) equity interest therein as estimated by the Borrower in good faith (and such designation shall only be permitted to the extent such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subsidiary (a “</w:t>
      </w:r>
      <w:r>
        <w:rPr>
          <w:rFonts w:ascii="Times New Roman" w:cs="Times New Roman" w:eastAsia="Times New Roman" w:hAnsi="Times New Roman"/>
          <w:sz w:val="18"/>
          <w:szCs w:val="18"/>
          <w:b w:val="1"/>
          <w:bCs w:val="1"/>
          <w:color w:val="auto"/>
        </w:rPr>
        <w:t>Subject Subsidiary</w:t>
      </w:r>
      <w:r>
        <w:rPr>
          <w:rFonts w:ascii="Times New Roman" w:cs="Times New Roman" w:eastAsia="Times New Roman" w:hAnsi="Times New Roman"/>
          <w:sz w:val="18"/>
          <w:szCs w:val="18"/>
          <w:color w:val="auto"/>
        </w:rPr>
        <w:t>”) being designated as an Unrestricted Subsidiary has a subsidiary that was previously designated as an Unrestricted Subsidiary (the “</w:t>
      </w:r>
      <w:r>
        <w:rPr>
          <w:rFonts w:ascii="Times New Roman" w:cs="Times New Roman" w:eastAsia="Times New Roman" w:hAnsi="Times New Roman"/>
          <w:sz w:val="18"/>
          <w:szCs w:val="18"/>
          <w:b w:val="1"/>
          <w:bCs w:val="1"/>
          <w:color w:val="auto"/>
        </w:rPr>
        <w:t>Previously Designated Unrestricted Subsidiary</w:t>
      </w:r>
      <w:r>
        <w:rPr>
          <w:rFonts w:ascii="Times New Roman" w:cs="Times New Roman" w:eastAsia="Times New Roman" w:hAnsi="Times New Roman"/>
          <w:sz w:val="18"/>
          <w:szCs w:val="18"/>
          <w:color w:val="auto"/>
        </w:rPr>
        <w:t xml:space="preserve">”) in compliance with the provisions of this Agreement, the Investment of such Subject Subsidiary in such Previously Designated Unrestricted Subsidiary shall not be taken into account, and shall be excluded, in determining whether the Subject Subsidiary may be designated as an Unrestricted Subsidiary hereunder. The designation of any Unrestricted Subsidiary as a Restricted Subsidiary shall constitute the making, incurrence or granting, as applicable, at the time of designation of any then-existing Investment, Indebtedness or Lien of such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 re-designation of any Unrestricted Subsidiary as a Restricted Subsidiary, the Borrower or its applicable Restricted Subsidiary shall be deemed to continue to have an Investment in the resulting Restricted Subsidiary in an amount (if positive) equal to (a) the Borrower’s or such Restricted Subsidiary’s “Investment” in such Unrestricted Subsidiary at the time of such re-designation less (b) the portion of the fair market value of the net assets of such Unrestricted Subsidiary attributable to the Borrower’s or such Restricted Subsidiary’s equity therein at the time of such re-designation. As of the Closing Date, the subsidiaries listed on </w:t>
      </w:r>
      <w:r>
        <w:rPr>
          <w:rFonts w:ascii="Times New Roman" w:cs="Times New Roman" w:eastAsia="Times New Roman" w:hAnsi="Times New Roman"/>
          <w:sz w:val="18"/>
          <w:szCs w:val="18"/>
          <w:u w:val="single" w:color="auto"/>
          <w:color w:val="auto"/>
        </w:rPr>
        <w:t>Schedule 5.10</w:t>
      </w:r>
      <w:r>
        <w:rPr>
          <w:rFonts w:ascii="Times New Roman" w:cs="Times New Roman" w:eastAsia="Times New Roman" w:hAnsi="Times New Roman"/>
          <w:sz w:val="18"/>
          <w:szCs w:val="18"/>
          <w:color w:val="auto"/>
        </w:rPr>
        <w:t xml:space="preserve"> hereto have been designated as Unrestricted Subsidiaries.</w:t>
      </w:r>
    </w:p>
    <w:p>
      <w:pPr>
        <w:spacing w:after="0" w:line="20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shall use the proceeds of the Revolving Loans to finance the working capital needs and other general corporate purposes of the Borrower and its subsidiaries (including for Transaction Costs, capital expenditures, acquisitions, earn-outs and similar obligations, working capital and/or purchase price adjustments, the payment of transaction fees and expenses, other Investments, Restricted Payments, Restricted Debt Payments and any other purpose not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69" w:right="459" w:bottom="1440" w:gutter="0" w:footer="0" w:header="0"/>
        </w:sectPr>
      </w:pPr>
    </w:p>
    <w:bookmarkStart w:id="485" w:name="page486"/>
    <w:bookmarkEnd w:id="485"/>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prohibited by the terms of the Loan Documents). The Borrower shall use the proceeds of the Swingline Loans made after the Closing Date to finance the working capital needs and other general corporate purposes of the Borrower and its subsidiaries and any other purpose not prohibited by the terms of the Loan Documents. The Borrower shall use the proceeds of the Initial Term Loans (i) to finance (in part) the Transactions (including the payment of Transaction Costs) and (ii) for general corporate purposes or other actions or purposes permitted (or not prohibited) hereunder. No part of the proceeds of any Loan will be used, whether directly or indirectly, for any purpose that would entail a violation of Regulation U. The Borrower shall use the proceeds of the Incremental Term Loans for working capital, capital expenditures and other general corporate purposes of the Borrower and its subsidiaries (including for Restricted Payments, Investments, Permitted Acquisitions and any other purpose not prohibited by the terms of the Loan Documents).</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Covenant to Guarantee Loan Document Obligations and Give Security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52" w:lineRule="auto"/>
        <w:tabs>
          <w:tab w:leader="none" w:pos="689"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 the formation or acquisition after the Closing Date of any Restricted Subsidiary that is a U.S. Subsidiary (including upon the formation of any such Subsidiary that is a Delaware Divided LLC, and in each case subject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that is not an Excluded Subsidiary, (ii) the designation of any Unrestricted Subsidiary that is a U.S. Subsidiary as a Restricted Subsidiary that is not an Excluded Subsidiary or (iii) any Restricted Subsidiary that is a U.S. Subsidiary ceasing to be an Excluded Subsidiary, (x)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 formation, acquisition, designation or cessation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for the Fiscal Quarter in which such formation, acquisition, designation or cessation occurred or (y) if the event giving rise to the obligation under this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occurs during the fourth Fiscal Quarter of any Fiscal Year, on or before the later of (I) 90 days following the relevant formation, acquisition, designation or cessation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such longer period as the Administrative Agent may reasonably agree), the Borrower shall (A) cause such Restricted Subsidiary (other than any Excluded Subsidiary) to comply with the requirements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of “Collateral and Guarantee Requirement” and (B) upon the reasonable request of the Administrative Agent, cause the relevant Restricted Subsidiary (other than any Excluded Subsidiary) to deliver to the Administrative Agent a signed copy of a customary opinion of counsel for such Restricted Subsidiary, addressed to the Administrative Agent, the Collateral Agent and the other relevant Secured Parties.</w:t>
      </w:r>
    </w:p>
    <w:p>
      <w:pPr>
        <w:spacing w:after="0" w:line="197" w:lineRule="exact"/>
        <w:rPr>
          <w:rFonts w:ascii="Times New Roman" w:cs="Times New Roman" w:eastAsia="Times New Roman" w:hAnsi="Times New Roman"/>
          <w:sz w:val="18"/>
          <w:szCs w:val="18"/>
          <w:color w:val="auto"/>
        </w:rPr>
      </w:pPr>
    </w:p>
    <w:p>
      <w:pPr>
        <w:ind w:left="4" w:firstLine="436"/>
        <w:spacing w:after="0" w:line="255" w:lineRule="auto"/>
        <w:tabs>
          <w:tab w:leader="none" w:pos="699" w:val="left"/>
        </w:tabs>
        <w:numPr>
          <w:ilvl w:val="1"/>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120 days (or such longer period as the Collateral Agent may reasonably agree) after the acquisition by any Loan Party of any Material Real Estate Asset other than any Excluded Asset, the Borrower shall cause such Loan Party to comply with the requirements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“Collateral and Guarantee Requirement”; it being understood and agreed that, with respect to any Material Real Estate Asset (other than any Excluded Asset) owned by any Restricted Subsidiary at the time such Restricted Subsidiary is required to become a Loan Party under</w:t>
      </w:r>
    </w:p>
    <w:p>
      <w:pPr>
        <w:spacing w:after="0" w:line="2"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above, such Material Real Estate Asset shall be deemed to have been acquired by such Restricted Subsidiary on the first day of the time period within which such Restricted Subsidiary is required to become a Loan Party under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color w:val="auto"/>
        </w:rPr>
      </w:pPr>
    </w:p>
    <w:p>
      <w:pPr>
        <w:ind w:left="4" w:right="140" w:firstLine="436"/>
        <w:spacing w:after="0" w:line="276" w:lineRule="auto"/>
        <w:tabs>
          <w:tab w:leader="none" w:pos="689" w:val="left"/>
        </w:tabs>
        <w:numPr>
          <w:ilvl w:val="1"/>
          <w:numId w:val="6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formation or acquisition by any Loan Party of any new directly-held Restricted Subsidiary after the Closing Date (other than any Restricted Subsidiary that is an Immaterial Subsidiary or to the extent the Capital Stock of such Restricted Subsidiary constitutes Excluded Securities),</w:t>
      </w:r>
    </w:p>
    <w:p>
      <w:pPr>
        <w:ind w:left="4" w:right="260" w:hanging="4"/>
        <w:spacing w:after="0" w:line="260" w:lineRule="auto"/>
        <w:tabs>
          <w:tab w:leader="none" w:pos="259"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event giving rise to the obligation under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occurs during the first three Fiscal Quarters of any Fiscal Year, on or before the later of (I) 60 days following the relevant formation or acquisition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4"/>
          </w:cols>
          <w:pgMar w:left="436" w:top="269" w:right="459" w:bottom="1440" w:gutter="0" w:footer="0" w:header="0"/>
        </w:sectPr>
      </w:pPr>
    </w:p>
    <w:bookmarkStart w:id="486" w:name="page487"/>
    <w:bookmarkEnd w:id="486"/>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for the Fiscal Quarter in which such formation or acquisition occurred or (y) if the event giving rise to the obligation under this </w:t>
      </w:r>
      <w:r>
        <w:rPr>
          <w:rFonts w:ascii="Times New Roman" w:cs="Times New Roman" w:eastAsia="Times New Roman" w:hAnsi="Times New Roman"/>
          <w:sz w:val="18"/>
          <w:szCs w:val="18"/>
          <w:u w:val="single" w:color="auto"/>
          <w:color w:val="auto"/>
        </w:rPr>
        <w:t>Section 5.12(c)</w:t>
      </w:r>
      <w:r>
        <w:rPr>
          <w:rFonts w:ascii="Times New Roman" w:cs="Times New Roman" w:eastAsia="Times New Roman" w:hAnsi="Times New Roman"/>
          <w:sz w:val="18"/>
          <w:szCs w:val="18"/>
          <w:color w:val="auto"/>
        </w:rPr>
        <w:t xml:space="preserve"> occurs during the fourth Fiscal Quarter of any Fiscal Year, on or before the later of (I) 90 days following the relevant formation or acquisition and (II) the day that is five Business Days after the date on which financial statements are required to be delivered pursuant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for such Fiscal Year (or, in the cases of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such longer period as the Collateral Agent may reasonably agree), the Borrower shall (A) cause such Loan Party to execute and deliver to the Collateral Agent such Collateral Documents as the Collateral Agent deems reasonably necessary or advisable to grant to the Collateral Agent, for the benefit of the Secured Parties, a perfected First Priority security interest in the Capital Stock of such new Restricted Subsidiary that is owned by any such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more than 65% of the issued and outstanding voting Capital Stock of any Specified Foreign Subsidiary or Foreign Subsidiary Holding Company be required to be so pledged) and (B) deliver to the Collateral Agent the certificates representing such Capital Stock, together with undated stock powers, in blank, executed and delivered by a duly authorized officer of the relevant Loan Party, as the case may be, and take such other action as may be reasonably necessary or, in the opinion of the Collateral Agent, desirable to perfect the Collateral Agent’s security interest therein.</w:t>
      </w:r>
    </w:p>
    <w:p>
      <w:pPr>
        <w:spacing w:after="0" w:line="190" w:lineRule="exact"/>
        <w:rPr>
          <w:sz w:val="20"/>
          <w:szCs w:val="20"/>
          <w:color w:val="auto"/>
        </w:rPr>
      </w:pPr>
    </w:p>
    <w:p>
      <w:pPr>
        <w:ind w:left="4" w:right="20"/>
        <w:spacing w:after="0" w:line="251" w:lineRule="auto"/>
        <w:rPr>
          <w:sz w:val="20"/>
          <w:szCs w:val="20"/>
          <w:color w:val="auto"/>
        </w:rPr>
      </w:pPr>
      <w:r>
        <w:rPr>
          <w:rFonts w:ascii="Times New Roman" w:cs="Times New Roman" w:eastAsia="Times New Roman" w:hAnsi="Times New Roman"/>
          <w:sz w:val="18"/>
          <w:szCs w:val="18"/>
          <w:color w:val="auto"/>
        </w:rPr>
        <w:t>Notwithstanding anything to the contrary herein or in any other Loan Document, (i) the Collateral Agent and/or the Administrative Agent may grant extensions of time (including after the expiration of any relevant period, which apply retroactively), including if any applicable Loan Party is unable, after exercising commercially reasonable efforts, to perform its obligations due to circumstances existing in connection with the COVID-19 disease outbreak, in each case for the creation and/or perfection of security interests in, or obtaining of title insurance, legal opinions, surveys or other deliverables with respect to, particular assets or the provision of any Loan Guarantee by any Restricted Subsidiary, and each Lender hereby consents to any such extension of time, (ii) any Lien required to be granted from time to time pursuant to the definition of “Collateral and Guarantee Requirement” shall be subject to the exceptions and limitations set forth in the Collateral Documents, (iii) perfection by control shall not be required with respect to assets requiring perfection through control agreements or other control arrangements, including deposit accounts, securities accounts and commodities accounts (other than control of pledged Capital Stock and/or Material Debt Instruments, in each case, that constitute Collateral) and no blocked account agreement, account control agreement or similar agreement shall be required, (iv) no Loan Party shall be required to seek any landlord waiver, bailee letter, estoppel, warehouseman waiver or other collateral access or similar letter or agreement, (v) no Loan Party will be required to (1) take any action, or grant or perfect any security interest in any asset located or titled, outside of the U.S. or conduct any foreign lien search, (2) execute any foreign law guarantee, security agreement, pledge agreement, mortgage, deed or charge, (3) make any foreign or multinational intellectual property filing, conduct any foreign or multinational intellectual property search or prepare any foreign or multinational schedule with respect to any assets of any Loan Party or enter into any source code escrow arrangement or register any intellectual property, (vi) in no event will the Collateral include any Excluded Assets,</w:t>
      </w:r>
    </w:p>
    <w:p>
      <w:pPr>
        <w:spacing w:after="0" w:line="11" w:lineRule="exact"/>
        <w:rPr>
          <w:sz w:val="20"/>
          <w:szCs w:val="20"/>
          <w:color w:val="auto"/>
        </w:rPr>
      </w:pPr>
    </w:p>
    <w:p>
      <w:pPr>
        <w:jc w:val="both"/>
        <w:ind w:left="4" w:right="140" w:hanging="4"/>
        <w:spacing w:after="0" w:line="265" w:lineRule="auto"/>
        <w:tabs>
          <w:tab w:leader="none" w:pos="359" w:val="left"/>
        </w:tabs>
        <w:numPr>
          <w:ilvl w:val="0"/>
          <w:numId w:val="6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action shall be required to perfect any Lien with respect to (x) any vehicle or other asset subject to a certificate of title, or any retention of title, extended retention of title rights, or similar rights and/or (y) Letter-of-Credit Rights, in each case to the extent that a security interest therein cannot be perfected by filing a Form UCC-1 (or similar) “all assets” financing statement without the requirement to list any VIN, serial or other number and</w:t>
      </w:r>
    </w:p>
    <w:p>
      <w:pPr>
        <w:ind w:left="4" w:right="20" w:hanging="4"/>
        <w:spacing w:after="0" w:line="253" w:lineRule="auto"/>
        <w:tabs>
          <w:tab w:leader="none" w:pos="409"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Administrative Agent nor the Collateral Agent shall require the taking of a Lien on, or require the perfection of any Lien granted in, those assets as to which the cost, burden, difficulty or consequence (including any effect on the ability of the relevant Loan Party to conduct its operations and business in the ordinary course of business) of obtaining or perfecting such Lien (including any mortgage, stamp, intangibles or other tax or expenses relating to such Lien) outweighs, or is excessive in relation to, the benefit to the Lenders of the security afforded thereby as determined in good faith by the Borrower.</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84"/>
          </w:cols>
          <w:pgMar w:left="436" w:top="269" w:right="479" w:bottom="1440" w:gutter="0" w:footer="0" w:header="0"/>
        </w:sectPr>
      </w:pPr>
    </w:p>
    <w:bookmarkStart w:id="487" w:name="page488"/>
    <w:bookmarkEnd w:id="487"/>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Additionally, (i) no action shall be required to create or perfect a Lien in any asset in respect of which the creation or perfection of a security interest therein would (1) be prohibited by enforceable anti-assignment provisions set forth in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(2) violate the terms of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in each case, after giving effect to the applicable anti-assignment provisions of the UCC or other applicable law or (3) trigger termination of any contract directly relating to such asset (at the time of acquisition thereof and not incurred in contemplation thereof (except if contemplated in connection with any licensing arrangement permitted hereunder)) that is permitted or otherwise not prohibited by the terms of this Agreement pursuant to any “change of control” or similar provision (in each case after giving effect to any applicable anti-assignment provisions of the UCC or other applicable law), it being understood that the Collateral shall include any proceeds and/or receivables arising out of any contract described in this clause (other than Excluded Assets) to the extent the assignment of such proceeds or receivables is expressly deemed effective under the UCC or other applicable Requirements of Law notwithstanding the relevant prohibition, violation or termination right, (ii) no Loan Party shall be required to create or perfect a security interest in any asset to the extent the creation or perfection of a security interest in such asset would (A) be prohibited under any applicable Requirement of Law, after giving effect to any applicable anti-assignment provision of the UCC or other applicable law and other than proceeds thereof to the extent that the assignment of such proceeds is effective under the UCC or other applicable Requirements of Law notwithstanding such Requirement of Law, (B) require any governmental consent, approval, license or authorization (unless such consent, approval, license or authorization has been obtained but which shall not be required to be obtained), after giving effect to any applicable anti-assignment provision of the UCC or other applicable law and other than proceeds thereof to the extent that the assignment of such proceeds is effective under the UCC or other applicable Requirements of Law notwithstanding such consent or restriction and/or (C) result in adverse tax consequences or adverse regulatory consequences to any Loan Party or any of its subsidiaries as determined by the Borrower in good faith, (iii) any joinder or supplement to any Loan Guarantee, any Collateral Document and/or any other Loan Document executed by any Restricted Subsidiary that is required to become a Loan Party pursuant to </w:t>
      </w:r>
      <w:r>
        <w:rPr>
          <w:rFonts w:ascii="Times New Roman" w:cs="Times New Roman" w:eastAsia="Times New Roman" w:hAnsi="Times New Roman"/>
          <w:sz w:val="18"/>
          <w:szCs w:val="18"/>
          <w:u w:val="single" w:color="auto"/>
          <w:color w:val="auto"/>
        </w:rPr>
        <w:t>Section 5.12(a)</w:t>
      </w:r>
      <w:r>
        <w:rPr>
          <w:rFonts w:ascii="Times New Roman" w:cs="Times New Roman" w:eastAsia="Times New Roman" w:hAnsi="Times New Roman"/>
          <w:sz w:val="18"/>
          <w:szCs w:val="18"/>
          <w:color w:val="auto"/>
        </w:rPr>
        <w:t xml:space="preserve"> above may, with the consent of the Administrative Agent (not to be unreasonably withheld or delayed), include such schedules (or updates to schedules) as may be necessary to qualify any representation or warranty set forth in any Loan Document to the extent necessary to ensure that such representation or warranty is true and correct to the extent required thereby or by the terms of any other Loan Document and (iv) (A) no Loan Party will be required to take any action required under the Federal Assignment of Claims Act or any similar law and (B) no Secured Party will be permitted to exercise any right of setoff in respect of any account maintained solely for the purpose of receiving and holding government receivables.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Promptly upon the reasonable request of the Collateral Agent and subject to the limitations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(but only to the extent required pursuant to the Collateral and Guarantee Requirement):</w:t>
      </w:r>
    </w:p>
    <w:p>
      <w:pPr>
        <w:spacing w:after="0" w:line="99" w:lineRule="exact"/>
        <w:rPr>
          <w:sz w:val="20"/>
          <w:szCs w:val="20"/>
          <w:color w:val="auto"/>
        </w:rPr>
      </w:pPr>
    </w:p>
    <w:p>
      <w:pPr>
        <w:ind w:right="100" w:firstLine="436"/>
        <w:spacing w:after="0" w:line="312" w:lineRule="auto"/>
        <w:tabs>
          <w:tab w:leader="none" w:pos="685" w:val="left"/>
        </w:tabs>
        <w:numPr>
          <w:ilvl w:val="0"/>
          <w:numId w:val="6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Borrower will, and will cause each other Loan Party to, execute any and all further documents, financing statements, financing change statements, agreements, instruments, certificates, notices and acknowledgments and take all such further actions (including the filing and recordation of</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69" w:right="459" w:bottom="1440" w:gutter="0" w:footer="0" w:header="0"/>
        </w:sectPr>
      </w:pPr>
    </w:p>
    <w:bookmarkStart w:id="488" w:name="page489"/>
    <w:bookmarkEnd w:id="48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financing statements, financing change statements, fixture filings, Mortgages and/or amendments thereto and other documents), that may be required under any applicable law and which the Collateral Agent may reasonably request to ensure the perfection and priority of the Liens created or intended to be created under the Collateral Documents, all at the expense of the relevant Loan Parties.</w:t>
      </w:r>
    </w:p>
    <w:p>
      <w:pPr>
        <w:spacing w:after="0" w:line="176" w:lineRule="exact"/>
        <w:rPr>
          <w:sz w:val="20"/>
          <w:szCs w:val="20"/>
          <w:color w:val="auto"/>
        </w:rPr>
      </w:pPr>
    </w:p>
    <w:p>
      <w:pPr>
        <w:ind w:right="320" w:firstLine="436"/>
        <w:spacing w:after="0" w:line="258" w:lineRule="auto"/>
        <w:tabs>
          <w:tab w:leader="none" w:pos="695"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will, and will cause each other Loan Party to, (i) correct any material defect or error that may be discovered in the execution, acknowledgment, filing or recordation of any Collateral Document or other document or instrument relating to any Collateral and (ii) do, execute, acknowledge, deliver, record, re-record, file, re-file, register and re-register any and all such further acts (including notices to third parties), deeds, certificates, assurances and other instruments as the Collateral Agent may reasonably request from time to time in order to ensure the creation and perfection of the Liens created under the Collateral Documents.</w:t>
      </w:r>
    </w:p>
    <w:p>
      <w:pPr>
        <w:spacing w:after="0" w:line="18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Conduct of Business</w:t>
      </w:r>
      <w:r>
        <w:rPr>
          <w:rFonts w:ascii="Times New Roman" w:cs="Times New Roman" w:eastAsia="Times New Roman" w:hAnsi="Times New Roman"/>
          <w:sz w:val="18"/>
          <w:szCs w:val="18"/>
          <w:color w:val="auto"/>
        </w:rPr>
        <w:t>. The Borrower and its Restricted Subsidiaries shall engage only in those material lines of business that consist of (a) the businesses engaged (or proposed to be engaged) in by the Borrower or any Restricted Subsidiary on the Closing Date, reasonably related, similar, incidental, complementary, ancillary, corollary, synergistic or related businesses, and/or a reasonable extension, development or expansion of such businesses and (b) such other lines of business to which the Administrative Agent may consent.</w:t>
      </w:r>
    </w:p>
    <w:p>
      <w:pPr>
        <w:spacing w:after="0" w:line="180" w:lineRule="exact"/>
        <w:rPr>
          <w:sz w:val="20"/>
          <w:szCs w:val="20"/>
          <w:color w:val="auto"/>
        </w:rPr>
      </w:pPr>
    </w:p>
    <w:p>
      <w:pPr>
        <w:ind w:right="2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Post-Closing Actions</w:t>
      </w:r>
      <w:r>
        <w:rPr>
          <w:rFonts w:ascii="Times New Roman" w:cs="Times New Roman" w:eastAsia="Times New Roman" w:hAnsi="Times New Roman"/>
          <w:sz w:val="18"/>
          <w:szCs w:val="18"/>
          <w:color w:val="auto"/>
        </w:rPr>
        <w:t xml:space="preserve">. The Borrower shall take the actions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within the applicable time periods specified thereon (or by such later time as the Administrative Agent may reasonably agree);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5.17</w:t>
      </w:r>
      <w:r>
        <w:rPr>
          <w:rFonts w:ascii="Times New Roman" w:cs="Times New Roman" w:eastAsia="Times New Roman" w:hAnsi="Times New Roman"/>
          <w:sz w:val="18"/>
          <w:szCs w:val="18"/>
          <w:color w:val="auto"/>
        </w:rPr>
        <w:t xml:space="preserve"> shall be deemed to qualify the representations, warranties, covenants and other agreements in the Loan Documents such that no inaccuracy or breach thereof shall arise in respect of the matters set forth on </w:t>
      </w:r>
      <w:r>
        <w:rPr>
          <w:rFonts w:ascii="Times New Roman" w:cs="Times New Roman" w:eastAsia="Times New Roman" w:hAnsi="Times New Roman"/>
          <w:sz w:val="18"/>
          <w:szCs w:val="18"/>
          <w:u w:val="single" w:color="auto"/>
          <w:color w:val="auto"/>
        </w:rPr>
        <w:t>Schedule 5.17</w:t>
      </w:r>
      <w:r>
        <w:rPr>
          <w:rFonts w:ascii="Times New Roman" w:cs="Times New Roman" w:eastAsia="Times New Roman" w:hAnsi="Times New Roman"/>
          <w:sz w:val="18"/>
          <w:szCs w:val="18"/>
          <w:color w:val="auto"/>
        </w:rPr>
        <w:t xml:space="preserve"> prior to the time by which such actions are required to be taken. Each Secured Party authorizes the Collateral Agent to enter into amendments to (or, if necessary, replacements of) the Collateral Documents in effect on the Closing Date to effectuate such post-closing items.</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xml:space="preserve">. The Borrower and each other Loan Party shall not, nor shall it permit any Restricted Subsidiary to, enter into any transaction (including the purchase, sale, lease or exchange of any property or the rendering of any service) involving payment in excess of the greater of $225,000,000 and 10% of Consolidated Adjusted EBITDA as of the last day of the most recently ended Test Period in any individual transaction with any of their respective Affiliates on terms that are substantially less favorable to such Borrower or such Loan Party or Restricted Subsidiary, as the case may be (as determined by the Borrower in good faith), than those that might be obtained at the time in a comparable arm’s-length transaction from a Person who is not an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 shall not apply to:</w:t>
      </w:r>
    </w:p>
    <w:p>
      <w:pPr>
        <w:spacing w:after="0" w:line="79" w:lineRule="exact"/>
        <w:rPr>
          <w:sz w:val="20"/>
          <w:szCs w:val="20"/>
          <w:color w:val="auto"/>
        </w:rPr>
      </w:pPr>
    </w:p>
    <w:p>
      <w:pPr>
        <w:ind w:right="20" w:firstLine="436"/>
        <w:spacing w:after="0" w:line="282" w:lineRule="auto"/>
        <w:tabs>
          <w:tab w:leader="none" w:pos="68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Borrower and/or one or more Restricted Subsidiaries and/or Joint Ventures (or any entity that becomes a Restricted Subsidiary or Joint Venture as a result of such transaction) to the extent permitted or not restricted by this Agreement;</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(or equivalent governing body) of the Borrower or any Restricted Subsidiary;</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0"/>
          </w:cols>
          <w:pgMar w:left="440" w:top="269" w:right="479" w:bottom="1440" w:gutter="0" w:footer="0" w:header="0"/>
        </w:sectPr>
      </w:pPr>
    </w:p>
    <w:bookmarkStart w:id="489" w:name="page490"/>
    <w:bookmarkEnd w:id="489"/>
    <w:p>
      <w:pPr>
        <w:ind w:right="20" w:firstLine="436"/>
        <w:spacing w:after="0" w:line="256" w:lineRule="auto"/>
        <w:tabs>
          <w:tab w:leader="none" w:pos="68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any collective bargaining, employment, indemnification, expense reimbursement or severance agreement or compensatory (including profit sharing) arrangement entered into by the Borrower or any of their Restricted Subsidiaries with any Permitted Payee, (ii) any subscription agreement or similar agreement pertaining to the repurchase of Capital Stock pursuant to put/call rights or similar rights with any Permitted Payee and (iii)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18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specifically permitted under this Agreement, including: (i) transactions permitted by </w:t>
      </w:r>
      <w:r>
        <w:rPr>
          <w:rFonts w:ascii="Times New Roman" w:cs="Times New Roman" w:eastAsia="Times New Roman" w:hAnsi="Times New Roman"/>
          <w:sz w:val="18"/>
          <w:szCs w:val="18"/>
          <w:u w:val="single" w:color="auto"/>
          <w:color w:val="auto"/>
        </w:rPr>
        <w:t>Sections 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6.06(j)</w:t>
      </w:r>
      <w:r>
        <w:rPr>
          <w:rFonts w:ascii="Times New Roman" w:cs="Times New Roman" w:eastAsia="Times New Roman" w:hAnsi="Times New Roman"/>
          <w:sz w:val="18"/>
          <w:szCs w:val="18"/>
          <w:color w:val="auto"/>
        </w:rPr>
        <w:t xml:space="preserve"> solely to the extent of the cross-reference to this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in such provision) and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(ii) any Permitted Reorganization and any transaction for the forming of a holding company or reincorporation of the Borrower or any Restricted Subsidiary in a new jurisdiction, (iii) issuances of Capital Stock and issuances and incurrences of Indebtedness not restricted by this Agreement and payments pursuant thereto and (iv) any customary transaction with (including any Investment in or relating to) any Receivables Subsidiary effected as part of any Qualified Receivables Facility;</w:t>
      </w:r>
    </w:p>
    <w:p>
      <w:pPr>
        <w:spacing w:after="0" w:line="187" w:lineRule="exact"/>
        <w:rPr>
          <w:rFonts w:ascii="Times New Roman" w:cs="Times New Roman" w:eastAsia="Times New Roman" w:hAnsi="Times New Roman"/>
          <w:sz w:val="18"/>
          <w:szCs w:val="18"/>
          <w:color w:val="auto"/>
        </w:rPr>
      </w:pPr>
    </w:p>
    <w:p>
      <w:pPr>
        <w:ind w:right="400" w:firstLine="436"/>
        <w:spacing w:after="0" w:line="261" w:lineRule="auto"/>
        <w:tabs>
          <w:tab w:leader="none" w:pos="68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or performance by the Borrower or any Restricted Subsidiary of its obligations under the terms of, any transaction or agreement in existence on the Closing Date and any amendment, modification or extension thereof to the extent such amendment, modification or extension, taken as a whole, is not materially (i) adverse to the Lenders or (ii) more disadvantageous to the Lenders than the relevant transaction in existence on the Closing Date;</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transactions with a Person that is an Affiliate of the Borrower (other than an Unrestricted Subsidiary) solely because the Borrower or any Restricted Subsidiary owns Capital Stock in such Person and (ii) transactions with any Person that is an Affiliate solely because a director or officer of such Person is a director or officer of the Borrower or any Restricted Subsidiary;</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55"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transactions approved by a majority of the disinterested members of the board of directors (or similar governing body) of the Borrower at such time;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permitted or not restricted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transactions among the Loan Parties and their Subsidiaries, in each case to the extent permitted or not restricted under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80" w:firstLine="436"/>
        <w:spacing w:after="0" w:line="261" w:lineRule="auto"/>
        <w:tabs>
          <w:tab w:leader="none" w:pos="655"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payment of customary compensation and fees and reasonable out-of-pocket costs to, and indemnities provided on behalf of, current, former and future members of the board of directors (or similar governing body), officers, employees, members of management, managers, consultants and independent contractors of the Borrower and/or any of their Restricted Subsidiaries or (ii) issuances or sales of Qualified Capital Stock of the Borrower to Affiliates or employees of or consultants to the Borrower;</w:t>
      </w:r>
    </w:p>
    <w:p>
      <w:pPr>
        <w:spacing w:after="0" w:line="179" w:lineRule="exact"/>
        <w:rPr>
          <w:rFonts w:ascii="Times New Roman" w:cs="Times New Roman" w:eastAsia="Times New Roman" w:hAnsi="Times New Roman"/>
          <w:sz w:val="18"/>
          <w:szCs w:val="18"/>
          <w:color w:val="auto"/>
        </w:rPr>
      </w:pPr>
    </w:p>
    <w:p>
      <w:pPr>
        <w:ind w:right="60" w:firstLine="436"/>
        <w:spacing w:after="0" w:line="261" w:lineRule="auto"/>
        <w:tabs>
          <w:tab w:leader="none" w:pos="745"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licensees, Joint Ventures, purchasers or sellers of goods or services or providers of employees or other labor entered into in the ordinary course of business, which are (i) fair to the Borrower and/or its applicable Restricted Subsidiary in the good faith determination of the Borrower or (ii) on terms not substantially less favorable to the Borrower and/or its applicable Restricted Subsidiary as might reasonably be obtained from a Person other than an Affiliate;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0960"/>
          </w:cols>
          <w:pgMar w:left="440" w:top="269" w:right="499" w:bottom="1440" w:gutter="0" w:footer="0" w:header="0"/>
        </w:sectPr>
      </w:pPr>
    </w:p>
    <w:bookmarkStart w:id="490" w:name="page491"/>
    <w:bookmarkEnd w:id="490"/>
    <w:p>
      <w:pPr>
        <w:ind w:right="200" w:firstLine="436"/>
        <w:spacing w:after="0" w:line="266" w:lineRule="auto"/>
        <w:tabs>
          <w:tab w:leader="none" w:pos="69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payment of reasonable out-of-pocket costs and expenses related to registration rights and indemnities provided to shareholders under any shareholder agreement and the existence or performance by the Borrower or any Restricted Subsidiary of its obligations under any such registration rights or shareholder agreement;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respect of which the Borrower delivers to the Administrative Agent a letter addressed to the board of directors (or equivalent governing body) of the Borrower from an accounting, appraisal or investment banking firm of nationally recognized standing stating that such transaction is fair to such Borrower or such Restricted Subsidiary from a financial point of view or stating that the terms, when taken as a whole, are not substantially less favorable to such Borrower or the applicable Restricted Subsidiary than might be obtained at the time in a comparable arm’s length transaction from a Person who is not an Affiliate;</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agreements in contemplation of, or to effect or facilitate, the Separation (including the Restructuring, the Borrower Distribution, the Distribution, the Special Cash Payment, the payment of Transaction Costs and any other transactions, arrangements and agreements described or referred to in, or contemplated by, the Separation Agreements) or otherwise pursuant to Separation Agreements;</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6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 Unrestricted Subsidiary in the ordinary course of business (including, any cash management or administrative activities related thereto);</w:t>
      </w:r>
    </w:p>
    <w:p>
      <w:pPr>
        <w:spacing w:after="0" w:line="161" w:lineRule="exact"/>
        <w:rPr>
          <w:rFonts w:ascii="Times New Roman" w:cs="Times New Roman" w:eastAsia="Times New Roman" w:hAnsi="Times New Roman"/>
          <w:sz w:val="18"/>
          <w:szCs w:val="18"/>
          <w:color w:val="auto"/>
        </w:rPr>
      </w:pPr>
    </w:p>
    <w:p>
      <w:pPr>
        <w:ind w:right="500" w:firstLine="436"/>
        <w:spacing w:after="0" w:line="282" w:lineRule="auto"/>
        <w:tabs>
          <w:tab w:leader="none" w:pos="67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the Borrower or any Restricted Subsidiary, as lessee, and any Affiliate of the Borrower, as lessor, and any transaction(s) pursuant to that lease;</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the ordinary course of business pursuant to membership in a purchasing consortium;</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set forth on </w:t>
      </w:r>
      <w:r>
        <w:rPr>
          <w:rFonts w:ascii="Times New Roman" w:cs="Times New Roman" w:eastAsia="Times New Roman" w:hAnsi="Times New Roman"/>
          <w:sz w:val="18"/>
          <w:szCs w:val="18"/>
          <w:u w:val="single" w:color="auto"/>
          <w:color w:val="auto"/>
        </w:rPr>
        <w:t>Schedule 5.18</w:t>
      </w:r>
      <w:r>
        <w:rPr>
          <w:rFonts w:ascii="Times New Roman" w:cs="Times New Roman" w:eastAsia="Times New Roman" w:hAnsi="Times New Roman"/>
          <w:sz w:val="18"/>
          <w:szCs w:val="18"/>
          <w:color w:val="auto"/>
        </w:rPr>
        <w:t xml:space="preserve"> and any renewals or extensions thereof; and</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licensing, sublicensing or contribution of any IP Rights for operational, restructuring, tax planning or other similar purpose to any Restricted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NEGATIVE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From the Closing Date and until the Termination Date has occurred, the Borrower and each other Loan Party covenant and agree with the Lenders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The Borrower and each other Loan Party shall not, nor shall it permit any Restricted Subsidiary to, directly or indirectly, create, incur, assume or otherwise become liable with respect to any Indebtedness, except:</w:t>
      </w:r>
    </w:p>
    <w:p>
      <w:pPr>
        <w:spacing w:after="0" w:line="54" w:lineRule="exact"/>
        <w:rPr>
          <w:sz w:val="20"/>
          <w:szCs w:val="20"/>
          <w:color w:val="auto"/>
        </w:rPr>
      </w:pPr>
    </w:p>
    <w:p>
      <w:pPr>
        <w:ind w:left="5360" w:right="3620" w:hanging="4924"/>
        <w:spacing w:after="0" w:line="454" w:lineRule="auto"/>
        <w:tabs>
          <w:tab w:leader="none" w:pos="672"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(including any Additional Term Loans and any Additional Revolving Loans); 163</w:t>
      </w:r>
    </w:p>
    <w:p>
      <w:pPr>
        <w:sectPr>
          <w:pgSz w:w="11900" w:h="16838" w:orient="portrait"/>
          <w:cols w:equalWidth="0" w:num="1">
            <w:col w:w="11020"/>
          </w:cols>
          <w:pgMar w:left="440" w:top="269" w:right="439" w:bottom="1440" w:gutter="0" w:footer="0" w:header="0"/>
        </w:sectPr>
      </w:pPr>
    </w:p>
    <w:bookmarkStart w:id="491" w:name="page492"/>
    <w:bookmarkEnd w:id="491"/>
    <w:p>
      <w:pPr>
        <w:ind w:left="700" w:hanging="264"/>
        <w:spacing w:after="0"/>
        <w:tabs>
          <w:tab w:leader="none" w:pos="70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of the Borrower or any Restricted Subsidiary to the Borrower or any other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w:t>
      </w:r>
    </w:p>
    <w:p>
      <w:pPr>
        <w:spacing w:after="0" w:line="27"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Loan Party to any Restricted Subsidiary that is not a Loan Party must be expressly subordinated to the Loan Document Obligations of such Loan Party pursuant to the Intercompany Note (which, with respect to such Indebtedness in existence on the Closing Date or incurred within 120 days thereafter, may be delivered within 120 days of the Closing Date (or such later date as approved by the Administrative Agent)) or on other terms that are reasonably acceptable to the Administrative Agent;</w:t>
      </w:r>
    </w:p>
    <w:p>
      <w:pPr>
        <w:spacing w:after="0" w:line="188" w:lineRule="exact"/>
        <w:rPr>
          <w:rFonts w:ascii="Times New Roman" w:cs="Times New Roman" w:eastAsia="Times New Roman" w:hAnsi="Times New Roman"/>
          <w:sz w:val="18"/>
          <w:szCs w:val="18"/>
          <w:color w:val="auto"/>
        </w:rPr>
      </w:pPr>
    </w:p>
    <w:p>
      <w:pPr>
        <w:jc w:val="both"/>
        <w:ind w:right="60" w:firstLine="436"/>
        <w:spacing w:after="0" w:line="261" w:lineRule="auto"/>
        <w:tabs>
          <w:tab w:leader="none" w:pos="68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Joint Venture or Indebtedness of the Borrower or any Restricted Subsidiary incurred on behalf of any Joint Venture or any guarantees by the Borrower or any Restricted Subsidiary of Indebtedness of any Joint Venture in an aggregate outstanding principal amount for all such Indebtedness not to exceed at any time the greater of $675,000,000 and 30% of Consolidated Adjusted EBITDA as of the last day of the most recently ended Test Period;</w:t>
      </w:r>
    </w:p>
    <w:p>
      <w:pPr>
        <w:spacing w:after="0" w:line="179" w:lineRule="exact"/>
        <w:rPr>
          <w:rFonts w:ascii="Times New Roman" w:cs="Times New Roman" w:eastAsia="Times New Roman" w:hAnsi="Times New Roman"/>
          <w:sz w:val="18"/>
          <w:szCs w:val="18"/>
          <w:color w:val="auto"/>
        </w:rPr>
      </w:pPr>
    </w:p>
    <w:p>
      <w:pPr>
        <w:ind w:right="80" w:firstLine="436"/>
        <w:spacing w:after="0" w:line="277" w:lineRule="auto"/>
        <w:tabs>
          <w:tab w:leader="none" w:pos="695"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arising from any agreement providing for indemnification, adjustment of purchase price or similar obligations (including contingent earn-out or similar obligations), or payment obligations in respect of any non-compete, consulting or similar arrangements, in each case incurred in connection with any Disposition permitted hereunder, any acquisition or other Investment permitted hereunder or consummated prior to the Closing Date or any other purchase of assets or Capital Stock, and Indebtedness arising from guaranties, letters of credit, bank guaranties, surety bonds, performance bonds or similar instruments securing the performance of the Borrower or any such Restricted Subsidiary pursuant to any such agreement;</w:t>
      </w:r>
    </w:p>
    <w:p>
      <w:pPr>
        <w:spacing w:after="0" w:line="167" w:lineRule="exact"/>
        <w:rPr>
          <w:rFonts w:ascii="Times New Roman" w:cs="Times New Roman" w:eastAsia="Times New Roman" w:hAnsi="Times New Roman"/>
          <w:sz w:val="17"/>
          <w:szCs w:val="17"/>
          <w:color w:val="auto"/>
        </w:rPr>
      </w:pPr>
    </w:p>
    <w:p>
      <w:pPr>
        <w:ind w:right="180" w:firstLine="436"/>
        <w:spacing w:after="0" w:line="256" w:lineRule="auto"/>
        <w:tabs>
          <w:tab w:leader="none" w:pos="68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(i) pursuant to tenders, statutory obligations (including health, safety and environmental obligations), bids, leases, governmental contracts, trade contracts, surety, indemnity, stay, customs, judgment, appeal, performance, completion and/or return of money bonds or guaranties or other similar obligations incurred in the ordinary course of business (which shall be deemed to include any judgments, awards, attachments and/or decrees and notices of lis pendens and associated rights relating to litigation being contested in good faith and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and (ii) in respect of letters of credit, bank guaranties, surety bonds, performance bonds or similar instruments to support any of the foregoing items;</w:t>
      </w:r>
    </w:p>
    <w:p>
      <w:pPr>
        <w:spacing w:after="0" w:line="187" w:lineRule="exact"/>
        <w:rPr>
          <w:rFonts w:ascii="Times New Roman" w:cs="Times New Roman" w:eastAsia="Times New Roman" w:hAnsi="Times New Roman"/>
          <w:sz w:val="18"/>
          <w:szCs w:val="18"/>
          <w:color w:val="auto"/>
        </w:rPr>
      </w:pPr>
    </w:p>
    <w:p>
      <w:pPr>
        <w:ind w:right="40" w:firstLine="436"/>
        <w:spacing w:after="0" w:line="266" w:lineRule="auto"/>
        <w:tabs>
          <w:tab w:leader="none" w:pos="66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 Permitted Treasury Arrangements and all other netting services, overdraft protections, treasury, depository, pooling and other cash management arrangements, including, in all cases, incentive, supplier finance or similar programs and in connection with deposit accounts and (ii) Qualified Supply Chain Financings;</w:t>
      </w:r>
    </w:p>
    <w:p>
      <w:pPr>
        <w:spacing w:after="0" w:line="175" w:lineRule="exact"/>
        <w:rPr>
          <w:rFonts w:ascii="Times New Roman" w:cs="Times New Roman" w:eastAsia="Times New Roman" w:hAnsi="Times New Roman"/>
          <w:sz w:val="18"/>
          <w:szCs w:val="18"/>
          <w:color w:val="auto"/>
        </w:rPr>
      </w:pPr>
    </w:p>
    <w:p>
      <w:pPr>
        <w:ind w:right="20" w:firstLine="436"/>
        <w:spacing w:after="0" w:line="274" w:lineRule="auto"/>
        <w:tabs>
          <w:tab w:leader="none" w:pos="695" w:val="left"/>
        </w:tabs>
        <w:numPr>
          <w:ilvl w:val="0"/>
          <w:numId w:val="6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Guarantees by the Borrower and/or any Restricted Subsidiary of the obligations of suppliers, customers, franchisees, licensees, sublicensees and cross-licensees in the ordinary course of business, (ii) Indebtedness (A) incurred in the ordinary course of business in respect of obligations of the Borrower and/or any Restricted Subsidiary to pay the deferred purchase price of property or services or progress payments in connection with such property and services or (B) consisting of obligations under deferred purchase price or other similar arrangements incurred in connection with Permitted Acquisitions or any other Investment expressly permitted hereunder and (iii) Indebtedness in respect of letters of credit, bankers’ acceptances, bank guaranties or similar instruments supporting trade payables, warehouse receipts or similar facilities entered into in the ordinary course of business;</w:t>
      </w:r>
    </w:p>
    <w:p>
      <w:pPr>
        <w:spacing w:after="0" w:line="172" w:lineRule="exact"/>
        <w:rPr>
          <w:rFonts w:ascii="Times New Roman" w:cs="Times New Roman" w:eastAsia="Times New Roman" w:hAnsi="Times New Roman"/>
          <w:sz w:val="17"/>
          <w:szCs w:val="17"/>
          <w:color w:val="auto"/>
        </w:rPr>
      </w:pPr>
    </w:p>
    <w:p>
      <w:pPr>
        <w:jc w:val="both"/>
        <w:ind w:right="40" w:firstLine="436"/>
        <w:spacing w:after="0" w:line="261" w:lineRule="auto"/>
        <w:tabs>
          <w:tab w:leader="none" w:pos="695"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(including any co-issuance) by the Borrower and/or any Restricted Subsidiary of Indebtedness or other obligations of the Borrower, any Restricted Subsidiary and/or any Joint Venture with respect to Indebtedness otherwise permitted to be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other obligations not prohibited by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such Guarantee by any Loan Party of the obligations of any non-Loan Party, the related Investment is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00"/>
          </w:cols>
          <w:pgMar w:left="440" w:top="269" w:right="459" w:bottom="1440" w:gutter="0" w:footer="0" w:header="0"/>
        </w:sectPr>
      </w:pPr>
    </w:p>
    <w:bookmarkStart w:id="492" w:name="page493"/>
    <w:bookmarkEnd w:id="492"/>
    <w:p>
      <w:pPr>
        <w:ind w:left="-20" w:right="20" w:firstLine="436"/>
        <w:spacing w:after="0" w:line="266" w:lineRule="auto"/>
        <w:tabs>
          <w:tab w:leader="none" w:pos="635"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Indebtedness of the Borrower and/or any Restricted Subsidiary existing, or pursuant to commitments existing (or anticipated), on the Closing Date and, with respect to any such item of Indebtedness in an aggregate committed or principal amount in excess of $10,000,000, described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20" w:firstLine="436"/>
        <w:spacing w:after="0" w:line="266" w:lineRule="auto"/>
        <w:tabs>
          <w:tab w:leader="none" w:pos="635"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Restricted Subsidiaries that are not Loan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principal amount of such Indebtedness incurred pursuant to this clause shall not exceed the greater of $675,000,000 and 30%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675"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consisting of obligations owing under incentive, supply, license, sublicense or similar agreements entered into in the ordinary course of business;</w:t>
      </w:r>
    </w:p>
    <w:p>
      <w:pPr>
        <w:spacing w:after="0" w:line="161" w:lineRule="exact"/>
        <w:rPr>
          <w:rFonts w:ascii="Times New Roman" w:cs="Times New Roman" w:eastAsia="Times New Roman" w:hAnsi="Times New Roman"/>
          <w:sz w:val="18"/>
          <w:szCs w:val="18"/>
          <w:color w:val="auto"/>
        </w:rPr>
      </w:pPr>
    </w:p>
    <w:p>
      <w:pPr>
        <w:ind w:left="-20" w:right="300" w:firstLine="436"/>
        <w:spacing w:after="0" w:line="266" w:lineRule="auto"/>
        <w:tabs>
          <w:tab w:leader="none" w:pos="635"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consisting of (i) the financing of insurance premiums, (ii) take-or-pay obligations contained in supply arrangements in the ordinary course of business and/or (iii) obligations to reacquire assets or inventory in connection with customer financing arrangements in the ordinary course of business;</w:t>
      </w:r>
    </w:p>
    <w:p>
      <w:pPr>
        <w:spacing w:after="0" w:line="175" w:lineRule="exact"/>
        <w:rPr>
          <w:rFonts w:ascii="Times New Roman" w:cs="Times New Roman" w:eastAsia="Times New Roman" w:hAnsi="Times New Roman"/>
          <w:sz w:val="18"/>
          <w:szCs w:val="18"/>
          <w:color w:val="auto"/>
        </w:rPr>
      </w:pPr>
    </w:p>
    <w:p>
      <w:pPr>
        <w:ind w:left="-20" w:right="160" w:firstLine="436"/>
        <w:spacing w:after="0" w:line="256" w:lineRule="auto"/>
        <w:tabs>
          <w:tab w:leader="none" w:pos="725"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with respect to Finance Leases (including Finance Leases entered into in connection with any Sale and Lease-Back Transaction) and purchase money Indebtedness (including mortgage financing, industrial revenue bond, industrial development bond or similar financings) or Indebtedness to finance the construction, purchase, repair, replacement, lease, installation, maintenance or improvement of property (real or personal) or any fixed or capital asset (whether through direct purchase of assets or the Capital Stock of a Person owning such assets), in an aggregate outstanding principal amount not to exceed the greater of $1,012,500,000 and 45% of Consolidated Adjusted EBITDA as of the last day of the most recently ended Test Period;</w:t>
      </w:r>
    </w:p>
    <w:p>
      <w:pPr>
        <w:spacing w:after="0" w:line="187" w:lineRule="exact"/>
        <w:rPr>
          <w:rFonts w:ascii="Times New Roman" w:cs="Times New Roman" w:eastAsia="Times New Roman" w:hAnsi="Times New Roman"/>
          <w:sz w:val="18"/>
          <w:szCs w:val="18"/>
          <w:color w:val="auto"/>
        </w:rPr>
      </w:pPr>
    </w:p>
    <w:p>
      <w:pPr>
        <w:ind w:left="-20" w:right="40" w:firstLine="436"/>
        <w:spacing w:after="0" w:line="252" w:lineRule="auto"/>
        <w:tabs>
          <w:tab w:leader="none" w:pos="675"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Indebtedness of any Person that becomes a Restricted Subsidiary or Indebtedness assumed in connection with an acquisition or other Investment permitted hereunder after the Closing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(A) existed at the time such Person became a Restricted Subsidiary or the assets subject to such Indebtedness were acquired and (B) was not created or incurred in anticipation thereof and (ii) the aggregate outstanding principal amount of such Indebtedness assumed pursuant to this </w:t>
      </w:r>
      <w:r>
        <w:rPr>
          <w:rFonts w:ascii="Times New Roman" w:cs="Times New Roman" w:eastAsia="Times New Roman" w:hAnsi="Times New Roman"/>
          <w:sz w:val="18"/>
          <w:szCs w:val="18"/>
          <w:u w:val="single" w:color="auto"/>
          <w:color w:val="auto"/>
        </w:rPr>
        <w:t>clause (n)(1)</w:t>
      </w:r>
      <w:r>
        <w:rPr>
          <w:rFonts w:ascii="Times New Roman" w:cs="Times New Roman" w:eastAsia="Times New Roman" w:hAnsi="Times New Roman"/>
          <w:sz w:val="18"/>
          <w:szCs w:val="18"/>
          <w:color w:val="auto"/>
        </w:rPr>
        <w:t xml:space="preserve"> does not exceed (A) the amount available for Incremental Equivalent Debt under the applicable ratio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 plus (B) the greater of $337,500,000 and 15% of Consolidated Adjusted EBITDA as of the last day of the most recently ended Test Period and (2) Indebtedness incurred in connection with an acquisition or other Investment permitted hereunder after the Closing Date in an amount of such Indebtedness incurred pursuant to this </w:t>
      </w:r>
      <w:r>
        <w:rPr>
          <w:rFonts w:ascii="Times New Roman" w:cs="Times New Roman" w:eastAsia="Times New Roman" w:hAnsi="Times New Roman"/>
          <w:sz w:val="18"/>
          <w:szCs w:val="18"/>
          <w:u w:val="single" w:color="auto"/>
          <w:color w:val="auto"/>
        </w:rPr>
        <w:t>clause (n)(2)</w:t>
      </w:r>
      <w:r>
        <w:rPr>
          <w:rFonts w:ascii="Times New Roman" w:cs="Times New Roman" w:eastAsia="Times New Roman" w:hAnsi="Times New Roman"/>
          <w:sz w:val="18"/>
          <w:szCs w:val="18"/>
          <w:color w:val="auto"/>
        </w:rPr>
        <w:t xml:space="preserve"> not to exceed the amount available for Incremental Equivalent Debt under the Incremental Cap (it being understood that if such Indebtedness is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Incremental Cap, the Borrower must be in compliance with the applicable ratio set forth in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w:t>
      </w:r>
    </w:p>
    <w:p>
      <w:pPr>
        <w:spacing w:after="0" w:line="19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80"/>
          </w:cols>
          <w:pgMar w:left="460" w:top="269" w:right="459" w:bottom="1440" w:gutter="0" w:footer="0" w:header="0"/>
        </w:sectPr>
      </w:pPr>
    </w:p>
    <w:bookmarkStart w:id="493" w:name="page494"/>
    <w:bookmarkEnd w:id="493"/>
    <w:p>
      <w:pPr>
        <w:ind w:left="4" w:firstLine="436"/>
        <w:spacing w:after="0" w:line="251" w:lineRule="auto"/>
        <w:tabs>
          <w:tab w:leader="none" w:pos="699" w:val="left"/>
        </w:tabs>
        <w:numPr>
          <w:ilvl w:val="1"/>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and its Restricted Subsidiaries may become and remain liable for any Indebtedness extending, refinancing, refunding or replacing any Indebtedness permitted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 any case, including any extending, refinancing, refunding or replacing Indebtedness incurred in respect thereof, “</w:t>
      </w:r>
      <w:r>
        <w:rPr>
          <w:rFonts w:ascii="Times New Roman" w:cs="Times New Roman" w:eastAsia="Times New Roman" w:hAnsi="Times New Roman"/>
          <w:sz w:val="18"/>
          <w:szCs w:val="18"/>
          <w:b w:val="1"/>
          <w:bCs w:val="1"/>
          <w:color w:val="auto"/>
        </w:rPr>
        <w:t>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and any subsequent Refinancing Indebtedness in respect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(i) the principal amount of such Refinancing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Indebtedness does not exceed the principal amount of the Indebtedness being extended, refinanced, refunded or replaced, except by (A) an amount equal to unpaid accrued interest, penalties and premiums (including tender premiums) thereon plus underwriting discounts and other customary fees, commissions and expenses (including upfront fees, original issue discount or initial yield payments) incurred in connection with the relevant extension, refinancing, refunding or replacement, (B) an amount equal to any existing commitments unutilized thereunder and (C) additional amounts permitted to be incurred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any additional Indebtedness referred to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satisfies the other applicable requirements of this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(with additional amounts incurred in reliance on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constituting a utilization of the relevant basket or exception pursuant to which such additional amount is permitted) and (2) if such additional Indebtedness is secured, the Liens securing such Indebtedness are permitted under of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(ii) in the case of Refinancing Indebtedness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(subject to the Permitted Earlier Maturity Indebtedness Exception and other than (v) customary bridge loans with a maturity date of no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(v) Customary Term A Loans, (w) escrowed debt subject to a customary special mandatory redemption, (x) 364-day bridge loans, (y) Five Year Notes and (z) convertible notes or other convertible debt securities), such Refinancing Indebtedness has (A) a final maturity on or later than (and, in the case of revolving Indebtedness, does not require mandatory commitment reductions (other than due to outstandings thereunder exceeding revolving commitments), if any, prior to) the earlier of (x) the Latest Term Loan Maturity Date at the time of the incurrence of such Refinancing Indebtedness and (y) the final maturity of the Indebtedness being extended, refinanced, refunded or replaced and (B) other than with respect to revolving Indebtedness, a Weighted Average Life to Maturity equal to or greater than (x) the remaining Weighted Average Life to Maturity of the Indebtedness being extended, refinanced, refunded or replaced or (y) the remaining Weighted Average Life to Maturity of the outstanding Term Loans at the time of the incurrence of such Refinancing Indebtedness, (iii) with respect to any Refinancing Indebtedness with an original principal amount in excess of the Threshold Amount (other than Indebtedness of the type described in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the terms thereof (excluding pricing, fees, premiums, rate floors, optional prepayment or redemption terms (and, if applicable, subordination terms) and security) are not, taken as a whole (as determined by the Borrower in good faith), materially more favorable to the lenders providing such Indebtedness than those applicable to the Indebtedness being extended, refinanced, refunded or replaced (other than any covenants or any other terms or provisions</w:t>
      </w:r>
    </w:p>
    <w:p>
      <w:pPr>
        <w:spacing w:after="0" w:line="6" w:lineRule="exact"/>
        <w:rPr>
          <w:rFonts w:ascii="Times New Roman" w:cs="Times New Roman" w:eastAsia="Times New Roman" w:hAnsi="Times New Roman"/>
          <w:sz w:val="18"/>
          <w:szCs w:val="18"/>
          <w:color w:val="auto"/>
        </w:rPr>
      </w:pPr>
    </w:p>
    <w:p>
      <w:pPr>
        <w:ind w:left="4" w:right="40" w:hanging="4"/>
        <w:spacing w:after="0" w:line="251" w:lineRule="auto"/>
        <w:tabs>
          <w:tab w:leader="none" w:pos="299"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applicable only to periods after the maturity date of the Indebtedness being extended, refinanced, refunded or replaced at the time of the incurrence of such Refinancing Indebtedness, (Y) that are then-current market terms (as determined by the Borrower in good faith at the time of incurrence or issuance (or the obtaining of a commitment with respect thereto)) for the applicable type of Indebtedness or (Z) terms or other provisions which are conformed (or added) to the Loan Documents for the benefit of the Lenders or, as applicable, the Administrative Agent and/or the Collateral Agent, pursuant to an amendment to this Agreement effectuated in reliance on </w:t>
      </w:r>
      <w:r>
        <w:rPr>
          <w:rFonts w:ascii="Times New Roman" w:cs="Times New Roman" w:eastAsia="Times New Roman" w:hAnsi="Times New Roman"/>
          <w:sz w:val="18"/>
          <w:szCs w:val="18"/>
          <w:u w:val="single" w:color="auto"/>
          <w:color w:val="auto"/>
        </w:rPr>
        <w:t>Section 10.02(d)(ii)</w:t>
      </w:r>
      <w:r>
        <w:rPr>
          <w:rFonts w:ascii="Times New Roman" w:cs="Times New Roman" w:eastAsia="Times New Roman" w:hAnsi="Times New Roman"/>
          <w:sz w:val="18"/>
          <w:szCs w:val="18"/>
          <w:color w:val="auto"/>
        </w:rPr>
        <w:t xml:space="preserve">), (iv) the incurrence thereof shall be without duplication of any amounts outstanding in reliance on the relevant clause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pursuant to which the Indebtedness being extended, refinanced, refunded or replaced was incurred (i.e., the incurrence of such Refinancing Indebtedness shall not create availability under such relevant clause), (v) except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 such Indebtedness, if secured, is secured only by Permitted Liens at the time of such extension, refinancing, refunding or replacement (it being understood that secured Indebtedness may be refinanced</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984"/>
          </w:cols>
          <w:pgMar w:left="436" w:top="269" w:right="479" w:bottom="1440" w:gutter="0" w:footer="0" w:header="0"/>
        </w:sectPr>
      </w:pPr>
    </w:p>
    <w:bookmarkStart w:id="494" w:name="page495"/>
    <w:bookmarkEnd w:id="494"/>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unsecured Indebtedness), (B) such Indebtedness is not incurred by the Borrower or a Restricted Subsidiary that was not an obligor in respect of the Indebtedness being extended, refinanced, refunded or replaced, except to the extent otherwise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(C) if the Indebtedness being extended, refinanced, refunded or replaced was contractually subordinated to the Loan Document Obligations in right of payment (or the Liens securing such Indebtedness were contractually subordinated to the Liens on the Collateral securing the Obligations), such Indebtedness is contractually subordinated to the Loan Document Obligations in right of payment (or the Liens securing such Indebtedness are subordinated to the Liens on the relevant Collateral securing the Obligations) either (x) on terms not materially less favorable, taken as a whole, to the Lenders than those applicable to the Indebtedness (or Liens, as applicable) being extended, refinanced, refunded or replaced, taken as a whole (as determined by the Borrower in good faith) or (y) pursuant to an Acceptable Intercreditor Agreement, (vi) except in the case of Refinancing Indebtedness with respect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subject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as of the date of the incurrence of such Indebtedness and after giving effect thereto, there shall exist no Specified Event of Default and (vii) in the case of Refinancing Indebtedness incurred in respect of Indebtedness permitted under </w:t>
      </w:r>
      <w:r>
        <w:rPr>
          <w:rFonts w:ascii="Times New Roman" w:cs="Times New Roman" w:eastAsia="Times New Roman" w:hAnsi="Times New Roman"/>
          <w:sz w:val="18"/>
          <w:szCs w:val="18"/>
          <w:u w:val="single" w:color="auto"/>
          <w:color w:val="auto"/>
        </w:rPr>
        <w:t>clause</w:t>
      </w:r>
    </w:p>
    <w:p>
      <w:pPr>
        <w:spacing w:after="0" w:line="5" w:lineRule="exact"/>
        <w:rPr>
          <w:sz w:val="20"/>
          <w:szCs w:val="20"/>
          <w:color w:val="auto"/>
        </w:rPr>
      </w:pPr>
    </w:p>
    <w:p>
      <w:pPr>
        <w:ind w:left="4" w:right="40" w:hanging="4"/>
        <w:spacing w:after="0" w:line="252" w:lineRule="auto"/>
        <w:tabs>
          <w:tab w:leader="none" w:pos="249" w:val="left"/>
        </w:tabs>
        <w:numPr>
          <w:ilvl w:val="0"/>
          <w:numId w:val="650"/>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 such Refinancing Indebtedness is pari passu or junior in right of payment and secured by the Collateral on a pari passu or junior basis with respect to the remaining Loan Document Obligations hereunder, or is unsecured;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Refinancing Indebtedness that is pari passu or junior with respect to the Collateral shall be subject to an Acceptable Intercreditor Agreement, (B) if such Refinancing Indebtedness is secured, it is not secured by any assets other than the Collateral, (C) if such Refinancing Indebtedness is guaranteed, it shall not be guaranteed by any Person other than a Loan Party and (D) such Refinancing Indebtedness shall be incurred under (and pursuant to) documentation other than this Agreement;</w:t>
      </w:r>
    </w:p>
    <w:p>
      <w:pPr>
        <w:spacing w:after="0" w:line="189" w:lineRule="exact"/>
        <w:rPr>
          <w:rFonts w:ascii="Times New Roman" w:cs="Times New Roman" w:eastAsia="Times New Roman" w:hAnsi="Times New Roman"/>
          <w:sz w:val="18"/>
          <w:szCs w:val="18"/>
          <w:u w:val="single" w:color="auto"/>
          <w:color w:val="auto"/>
        </w:rPr>
      </w:pPr>
    </w:p>
    <w:p>
      <w:pPr>
        <w:ind w:left="704" w:hanging="264"/>
        <w:spacing w:after="0"/>
        <w:tabs>
          <w:tab w:leader="none" w:pos="704"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instruments or other payment items for collection or deposit in the ordinary course of business;</w:t>
      </w:r>
    </w:p>
    <w:p>
      <w:pPr>
        <w:spacing w:after="0" w:line="225"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69"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Additional Letter of Credit Facility in an aggregate principal or face amount at any time outstanding not to exceed the greater of $562,500,000 and 25%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under any Derivative Transaction not entered into for speculative purposes;</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w:t>
      </w:r>
    </w:p>
    <w:p>
      <w:pPr>
        <w:spacing w:after="0" w:line="225"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699"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an aggregate outstanding principal amount at any time outstanding not to exceed the greater of $787,500,000 and 35%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an aggregate outstanding principal amount not to exceed 100% of the amount of any capital contributions or other proceeds received by the Borrower or any Restricted Subsidiary (i) from the issuance or sale of its Qualified Capital Stock or (ii) in the form of any cash contribution, plus the fair market value, as determined by the Borrower in good faith, of Cash Equivalents, marketable securities or other property received by the Borrower or any Restricted Subsidiary from the issuance and sale of its Qualified Capital Stock or a contribution to the Qualified Capital Stock of the Borrower or any Restricted Subsidiary (including through consolidation, amalgamation or merger), in each case after the Closing Date, and in each case other than (A) any proceeds received from the sale of Capital Stock to, or contributions from, the Borrower or any of its Restricted Subsidiaries, (B) to the extent the relevant proceeds have otherwise been applied to make Investments, Restricted Payments or Restricted Debt Payments hereunder, (C) any Available Excluded Contribution Amount and (D) any Cure Amount;</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4"/>
          </w:cols>
          <w:pgMar w:left="436" w:top="269" w:right="459" w:bottom="1440" w:gutter="0" w:footer="0" w:header="0"/>
        </w:sectPr>
      </w:pPr>
    </w:p>
    <w:bookmarkStart w:id="495" w:name="page496"/>
    <w:bookmarkEnd w:id="495"/>
    <w:p>
      <w:pPr>
        <w:ind w:left="744" w:hanging="304"/>
        <w:spacing w:after="0"/>
        <w:tabs>
          <w:tab w:leader="none" w:pos="744"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Indebtedness arising under a Qualified Receivables Facility;</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(i) Pro Rata Facilities in an aggregate principal amount at any time outstanding not to exceed $1,750,000,000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Secured Debt in an aggregate principal amount at any time outstanding not to exceed $[            ];</w:t>
      </w:r>
    </w:p>
    <w:p>
      <w:pPr>
        <w:spacing w:after="0" w:line="206"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699"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Borrower and/or any Restricted Subsidiary incurred in connection with Sale and Lease-Back Transactions permitted pursuant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Incremental Equivalent Debt;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Specified Event of Default shall exist immediately prior to or after giving effect to such Incremental Equivalent Debt (except in connection with any acquisition or other Investment or repayment or redemption of Indebtedness, where no such Specified Event of Default shall exist at the time as elected by the Borrower pursuant to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aggregate principal amount of Incremental Equivalent Debt outstanding in respect of any Restricted Subsidiaries that are not Loan Parties shall not exceed the greater of $787,500,000 and 35% of Consolidated Adjusted EBITDA as of the last day of the most recently ended Test Period;</w:t>
      </w:r>
    </w:p>
    <w:p>
      <w:pPr>
        <w:spacing w:after="0" w:line="183" w:lineRule="exact"/>
        <w:rPr>
          <w:sz w:val="20"/>
          <w:szCs w:val="20"/>
          <w:color w:val="auto"/>
        </w:rPr>
      </w:pPr>
    </w:p>
    <w:p>
      <w:pPr>
        <w:ind w:left="4" w:right="280" w:firstLine="436"/>
        <w:spacing w:after="0" w:line="258" w:lineRule="auto"/>
        <w:tabs>
          <w:tab w:leader="none" w:pos="769"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obligations in respect of letters of credit, bank guaranties, surety bonds, performance bonds or similar instruments with respect to such Indebtedness) incurred by the Borrower and/or any Restricted Subsidiary in respect of workers’ compensation claims (or other Indebtedness in respect of reimbursement type obligations regarding workers’ compensation claims), unemployment insurance (including premiums related thereto), other types of social security, pension obligations, vacation pay, health, disability or other employee benefits or property, casualty or liability insurance or self-insurance;</w:t>
      </w:r>
    </w:p>
    <w:p>
      <w:pPr>
        <w:spacing w:after="0" w:line="183" w:lineRule="exact"/>
        <w:rPr>
          <w:rFonts w:ascii="Times New Roman" w:cs="Times New Roman" w:eastAsia="Times New Roman" w:hAnsi="Times New Roman"/>
          <w:sz w:val="18"/>
          <w:szCs w:val="18"/>
          <w:color w:val="auto"/>
        </w:rPr>
      </w:pPr>
    </w:p>
    <w:p>
      <w:pPr>
        <w:ind w:left="4" w:right="40" w:firstLine="436"/>
        <w:spacing w:after="0" w:line="266" w:lineRule="auto"/>
        <w:tabs>
          <w:tab w:leader="none" w:pos="789"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representing (i) deferred compensation to any Permitted Payee in the ordinary course of business and (ii) deferred compensation or other similar arrangements in connection with the Transactions, any Permitted Acquisition or any other Investment permitted hereby;</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6" w:lineRule="auto"/>
        <w:tabs>
          <w:tab w:leader="none" w:pos="769"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and/or any Restricted Subsidiary in respect of any letter of credit or bank guarantee issued in favor of any issuing bank or swingline lender to support any defaulting lender’s participation in letters of credit issued, or swingline loans made, hereunder or under any Additional Letter of Credit Facilities;</w:t>
      </w:r>
    </w:p>
    <w:p>
      <w:pPr>
        <w:spacing w:after="0" w:line="175"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789"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Restricted Subsidiary supported by any letter of credit issued hereunder or under any Additional Letter of Credit Facility or any other letters of credit or bank guarantees permitted hereunder;</w:t>
      </w:r>
    </w:p>
    <w:p>
      <w:pPr>
        <w:spacing w:after="0" w:line="161" w:lineRule="exact"/>
        <w:rPr>
          <w:rFonts w:ascii="Times New Roman" w:cs="Times New Roman" w:eastAsia="Times New Roman" w:hAnsi="Times New Roman"/>
          <w:sz w:val="18"/>
          <w:szCs w:val="18"/>
          <w:color w:val="auto"/>
        </w:rPr>
      </w:pPr>
    </w:p>
    <w:p>
      <w:pPr>
        <w:ind w:left="4" w:right="80" w:firstLine="436"/>
        <w:spacing w:after="0" w:line="312" w:lineRule="auto"/>
        <w:tabs>
          <w:tab w:leader="none" w:pos="769" w:val="left"/>
        </w:tabs>
        <w:numPr>
          <w:ilvl w:val="0"/>
          <w:numId w:val="6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unfunded pension fund and other employee benefit plan obligations and liabilities incurred by the Borrower and/or any Restricted Subsidiary in the ordinary course of business to the extent that the unfunded amounts would not otherwise cause an Event of Default under </w:t>
      </w:r>
      <w:r>
        <w:rPr>
          <w:rFonts w:ascii="Times New Roman" w:cs="Times New Roman" w:eastAsia="Times New Roman" w:hAnsi="Times New Roman"/>
          <w:sz w:val="17"/>
          <w:szCs w:val="17"/>
          <w:u w:val="single" w:color="auto"/>
          <w:color w:val="auto"/>
        </w:rPr>
        <w:t>Section 8.01(i)</w:t>
      </w:r>
      <w:r>
        <w:rPr>
          <w:rFonts w:ascii="Times New Roman" w:cs="Times New Roman" w:eastAsia="Times New Roman" w:hAnsi="Times New Roman"/>
          <w:sz w:val="17"/>
          <w:szCs w:val="17"/>
          <w:color w:val="auto"/>
        </w:rPr>
        <w:t>;</w:t>
      </w:r>
    </w:p>
    <w:p>
      <w:pPr>
        <w:spacing w:after="0" w:line="139" w:lineRule="exact"/>
        <w:rPr>
          <w:rFonts w:ascii="Times New Roman" w:cs="Times New Roman" w:eastAsia="Times New Roman" w:hAnsi="Times New Roman"/>
          <w:sz w:val="17"/>
          <w:szCs w:val="17"/>
          <w:color w:val="auto"/>
        </w:rPr>
      </w:pPr>
    </w:p>
    <w:p>
      <w:pPr>
        <w:ind w:left="4" w:right="20" w:firstLine="436"/>
        <w:spacing w:after="0" w:line="266" w:lineRule="auto"/>
        <w:tabs>
          <w:tab w:leader="none" w:pos="726"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other Indebtedness, all premiums (if any), interest (including post-petition interest, payment in kind interest and the payment of dividends on Disqualified Stock in the form of additional shares of the same class of Disqualified Stock), accretion or amortization of original issue discount, fees, expenses and charges with respect to Indebtedness of the Borrower and/or any Restricted Subsidiary hereunder;</w:t>
      </w:r>
    </w:p>
    <w:p>
      <w:pPr>
        <w:spacing w:after="0" w:line="17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4"/>
          </w:cols>
          <w:pgMar w:left="436" w:top="269" w:right="459" w:bottom="1440" w:gutter="0" w:footer="0" w:header="0"/>
        </w:sectPr>
      </w:pPr>
    </w:p>
    <w:bookmarkStart w:id="496" w:name="page497"/>
    <w:bookmarkEnd w:id="496"/>
    <w:p>
      <w:pPr>
        <w:ind w:right="80" w:firstLine="436"/>
        <w:spacing w:after="0" w:line="282" w:lineRule="auto"/>
        <w:tabs>
          <w:tab w:leader="none" w:pos="785"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customer deposits and advance payments received in the ordinary course of business from customers for goods and services purchased in the ordinary course of business;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(other than for borrowed money) subject to Liens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jc w:val="both"/>
        <w:ind w:right="440" w:firstLine="436"/>
        <w:spacing w:after="0" w:line="261" w:lineRule="auto"/>
        <w:tabs>
          <w:tab w:leader="none" w:pos="785"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Indebtedness in connection with bankers’ acceptances, discounted bills of exchange or the discounting or factoring of receivables for credit management purposes, in each case incurred or undertaken in the ordinary course of business on arm’s-length commercial terms and (ii) the incurrence of Indebtedness attributable to the exercise of appraisal rights or the settlement of any claims or actions (whether actual, contingent or potential) with respect to any acquisition (by merger, consolidation or amalgamation or otherwise) in accordance with the terms hereof;</w:t>
      </w:r>
    </w:p>
    <w:p>
      <w:pPr>
        <w:spacing w:after="0" w:line="179" w:lineRule="exact"/>
        <w:rPr>
          <w:rFonts w:ascii="Times New Roman" w:cs="Times New Roman" w:eastAsia="Times New Roman" w:hAnsi="Times New Roman"/>
          <w:sz w:val="18"/>
          <w:szCs w:val="18"/>
          <w:color w:val="auto"/>
        </w:rPr>
      </w:pPr>
    </w:p>
    <w:p>
      <w:pPr>
        <w:ind w:right="180" w:firstLine="436"/>
        <w:spacing w:after="0" w:line="266" w:lineRule="auto"/>
        <w:tabs>
          <w:tab w:leader="none" w:pos="705"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letters of support, guarantees or similar obligations issued, made or incurred for the benefit of any subsidiary of the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885"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an aggregate principal amount outstanding at any time not to exceed 100% of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 6.04(a)(x)</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320" w:firstLine="436"/>
        <w:spacing w:after="0" w:line="266" w:lineRule="auto"/>
        <w:tabs>
          <w:tab w:leader="none" w:pos="785"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Restricted Subsidiaries that are not Loan Parties incurred to fund working capital requirements in an aggregate principal amount at any time outstanding not to exceed the greater of $225,000,000 and 10% of Consolidated Adjusted EBITDA as of the last day of the most recently ended Test Period.</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the accrual of interest or dividends, the accretion of accreted value, the accretion of amortization of original issue discount and the payment or accrual of interest or dividends in the form of additional Indebtedness shall not constitute the creation, incurrence, assumption of Indebtedness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The Borrower and each other Loan Party shall not, nor shall it permit any Restricted Subsidiary to, create, incur, assume or permit or suffer to exist any Lien on or with respect to any property of any kind owned by it, whether now owned or hereafter acquired, or any income or profits therefrom, in each case securing Indebtedness of the Borrower and its Restricted Subsidiaries except:</w:t>
      </w:r>
    </w:p>
    <w:p>
      <w:pPr>
        <w:spacing w:after="0" w:line="68" w:lineRule="exact"/>
        <w:rPr>
          <w:sz w:val="20"/>
          <w:szCs w:val="20"/>
          <w:color w:val="auto"/>
        </w:rPr>
      </w:pPr>
    </w:p>
    <w:p>
      <w:pPr>
        <w:ind w:right="320" w:firstLine="436"/>
        <w:spacing w:after="0" w:line="282" w:lineRule="auto"/>
        <w:tabs>
          <w:tab w:leader="none" w:pos="685"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pursuant to the Loan Documents securing the Obligations (including Cash collateralization of Letters of Credit as set forth in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or other governmental charges which are not overdue for a period of more than 60 days or, if more than 60 days overdue (i) are not at such time required to be paid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(ii) are being contested in accordance with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with respect to which the failure to make payment would not reasonably be expected to have a Material Adverse Effect;</w:t>
      </w:r>
    </w:p>
    <w:p>
      <w:pPr>
        <w:spacing w:after="0" w:line="175" w:lineRule="exact"/>
        <w:rPr>
          <w:rFonts w:ascii="Times New Roman" w:cs="Times New Roman" w:eastAsia="Times New Roman" w:hAnsi="Times New Roman"/>
          <w:sz w:val="18"/>
          <w:szCs w:val="18"/>
          <w:color w:val="auto"/>
        </w:rPr>
      </w:pPr>
    </w:p>
    <w:p>
      <w:pPr>
        <w:ind w:right="240" w:firstLine="436"/>
        <w:spacing w:after="0" w:line="266" w:lineRule="auto"/>
        <w:tabs>
          <w:tab w:leader="none" w:pos="685"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(and rights of set-off) of landlords, sub landlords, construction contractors, banks, carriers, warehousemen, mechanics, repairmen, workmen and materialmen, and other Liens imposed by applicable Requirements of Law, in each case incurred in the ordinary course of business (i) for amounts not yet overdue by more than 60 days, (ii) for amounts that are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69" w:right="459" w:bottom="1440" w:gutter="0" w:footer="0" w:header="0"/>
        </w:sectPr>
      </w:pPr>
    </w:p>
    <w:bookmarkStart w:id="497" w:name="page498"/>
    <w:bookmarkEnd w:id="497"/>
    <w:p>
      <w:pPr>
        <w:ind w:left="4"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overdue by more than 60 days (A) that are being contested in good faith by appropriate proceedings, so long as any reserves or other appropriate provisions required by GAAP have been made for any such contested amounts or (B) with respect to which no filing or other action has been taken to enforce such Lien or (iii) with respect to which the failure to make payment would not reasonably be expected to have a Material Adverse Effect;</w:t>
      </w:r>
    </w:p>
    <w:p>
      <w:pPr>
        <w:spacing w:after="0" w:line="176" w:lineRule="exact"/>
        <w:rPr>
          <w:sz w:val="20"/>
          <w:szCs w:val="20"/>
          <w:color w:val="auto"/>
        </w:rPr>
      </w:pPr>
    </w:p>
    <w:p>
      <w:pPr>
        <w:ind w:left="4" w:right="80" w:firstLine="436"/>
        <w:spacing w:after="0" w:line="254" w:lineRule="auto"/>
        <w:tabs>
          <w:tab w:leader="none" w:pos="699" w:val="left"/>
        </w:tabs>
        <w:numPr>
          <w:ilvl w:val="1"/>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 in the ordinary course of business in connection with workers’ compensation, unemployment insurance, health, disability or employee benefits and other types of social security laws and regulations, or otherwise securing obligations incurred under </w:t>
      </w:r>
      <w:r>
        <w:rPr>
          <w:rFonts w:ascii="Times New Roman" w:cs="Times New Roman" w:eastAsia="Times New Roman" w:hAnsi="Times New Roman"/>
          <w:sz w:val="18"/>
          <w:szCs w:val="18"/>
          <w:u w:val="single" w:color="auto"/>
          <w:color w:val="auto"/>
        </w:rPr>
        <w:t>Section 6.01(aa)</w:t>
      </w:r>
      <w:r>
        <w:rPr>
          <w:rFonts w:ascii="Times New Roman" w:cs="Times New Roman" w:eastAsia="Times New Roman" w:hAnsi="Times New Roman"/>
          <w:sz w:val="18"/>
          <w:szCs w:val="18"/>
          <w:color w:val="auto"/>
        </w:rPr>
        <w:t xml:space="preserve">, (ii) in the ordinary course of business to secure the performance of tenders, statutory obligations, warranties, surety, stay, customs and appeal bonds, bids, leases, government contracts, trade contracts (including customer contracts), indemnitees, performance, completion and return-of-money bonds and other similar obligations (including those to secure (x) obligations incurred under </w:t>
      </w:r>
      <w:r>
        <w:rPr>
          <w:rFonts w:ascii="Times New Roman" w:cs="Times New Roman" w:eastAsia="Times New Roman" w:hAnsi="Times New Roman"/>
          <w:sz w:val="18"/>
          <w:szCs w:val="18"/>
          <w:u w:val="single" w:color="auto"/>
          <w:color w:val="auto"/>
        </w:rPr>
        <w:t>Section 6.01(e)</w:t>
      </w:r>
      <w:r>
        <w:rPr>
          <w:rFonts w:ascii="Times New Roman" w:cs="Times New Roman" w:eastAsia="Times New Roman" w:hAnsi="Times New Roman"/>
          <w:sz w:val="18"/>
          <w:szCs w:val="18"/>
          <w:color w:val="auto"/>
        </w:rPr>
        <w:t>, (y) health, safety and environmental obligations and</w:t>
      </w:r>
    </w:p>
    <w:p>
      <w:pPr>
        <w:spacing w:after="0" w:line="3" w:lineRule="exact"/>
        <w:rPr>
          <w:rFonts w:ascii="Times New Roman" w:cs="Times New Roman" w:eastAsia="Times New Roman" w:hAnsi="Times New Roman"/>
          <w:sz w:val="18"/>
          <w:szCs w:val="18"/>
          <w:color w:val="auto"/>
        </w:rPr>
      </w:pPr>
    </w:p>
    <w:p>
      <w:pPr>
        <w:ind w:left="4" w:right="60" w:hanging="4"/>
        <w:spacing w:after="0" w:line="251" w:lineRule="auto"/>
        <w:tabs>
          <w:tab w:leader="none" w:pos="249"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letters of credit and bank guarantees required or requested by any Governmental Authority in connection with any contract or Requirement of Law) (exclusive of obligations for the payment of borrowed money), (iii) pursuant to pledges and deposits of Cash or Cash Equivalents in the ordinary course of business securing (x) any liability for reimbursement (including in respect of deductibles, self-insurance retention amounts and premiums and adjustments related thereto), premium or indemnification (including obligations in respect of letters of credit, bank guarantees or similar documents or instruments for the benefit of) obligations of insurance brokers or carriers providing property, casualty, liability or other insurance or self-insurance to the Borrower and its subsidiaries (including deductibles, self-insurance, co-payment, co-insurance and retentions) or (y) leases, sub-leases, licenses or sub-licenses of property otherwise permitted by this Agreement and (iv) to secure obligations in respect of letters of credit, bank guaranties, surety bonds, performance bonds or similar instruments posted with respect to the items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193" w:lineRule="exact"/>
        <w:rPr>
          <w:rFonts w:ascii="Times New Roman" w:cs="Times New Roman" w:eastAsia="Times New Roman" w:hAnsi="Times New Roman"/>
          <w:sz w:val="18"/>
          <w:szCs w:val="18"/>
          <w:color w:val="auto"/>
        </w:rPr>
      </w:pPr>
    </w:p>
    <w:p>
      <w:pPr>
        <w:ind w:left="4" w:firstLine="436"/>
        <w:spacing w:after="0" w:line="253" w:lineRule="auto"/>
        <w:tabs>
          <w:tab w:leader="none" w:pos="689" w:val="left"/>
        </w:tabs>
        <w:numPr>
          <w:ilvl w:val="1"/>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covenants, conditions, site plan agreements, development agreements, operating agreements, cross-easement agreements, reciprocal easement agreements and encumbrances, applicable laws and municipal ordinances, rights-of-way, rights, waivers, reservations, restrictions, encroachments, servitudes for railways, sewers, drains, gas and oil and other pipelines, gas and water mains, electric light and power and telecommunication, telephone or telegraph or cable television conduits, poles, wires and cables and other similar protrusions or encumbrances, agreements and other similar matters of fact or record and matters that would be disclosed by a survey or inspection of any real property and other minor defects or irregularities in title, in each case (x) which do not, in the aggregate, materially interfere with the ordinary conduct of the business of the Borrower and/or its Restricted Subsidiaries, taken as a whole, or materially interfere with the use of the affected property for its intended purpose or</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failure to have such title or having such Lien would not reasonably be expected to have a Material Adverse Effect;</w:t>
      </w:r>
    </w:p>
    <w:p>
      <w:pPr>
        <w:spacing w:after="0" w:line="206" w:lineRule="exact"/>
        <w:rPr>
          <w:rFonts w:ascii="Times New Roman" w:cs="Times New Roman" w:eastAsia="Times New Roman" w:hAnsi="Times New Roman"/>
          <w:sz w:val="18"/>
          <w:szCs w:val="18"/>
          <w:color w:val="auto"/>
        </w:rPr>
      </w:pPr>
    </w:p>
    <w:p>
      <w:pPr>
        <w:ind w:left="4" w:firstLine="436"/>
        <w:spacing w:after="0" w:line="269" w:lineRule="auto"/>
        <w:tabs>
          <w:tab w:leader="none" w:pos="669" w:val="left"/>
        </w:tabs>
        <w:numPr>
          <w:ilvl w:val="1"/>
          <w:numId w:val="6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consisting of any (i) interest or title of a lessor, sub-lessor, licensor or sub-licensor under any lease, sub-lease, license, sub-license or similar arrangement of real estate or other property (including any technology or intellectual property) permitted hereunder, (ii) 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w:t>
      </w:r>
      <w:r>
        <w:rPr>
          <w:rFonts w:ascii="Times New Roman" w:cs="Times New Roman" w:eastAsia="Times New Roman" w:hAnsi="Times New Roman"/>
          <w:sz w:val="17"/>
          <w:szCs w:val="17"/>
          <w:u w:val="single" w:color="auto"/>
          <w:color w:val="auto"/>
        </w:rPr>
        <w:t>clause (iii)</w:t>
      </w:r>
      <w:r>
        <w:rPr>
          <w:rFonts w:ascii="Times New Roman" w:cs="Times New Roman" w:eastAsia="Times New Roman" w:hAnsi="Times New Roman"/>
          <w:sz w:val="17"/>
          <w:szCs w:val="17"/>
          <w:color w:val="auto"/>
        </w:rPr>
        <w:t xml:space="preserve"> or</w:t>
      </w:r>
    </w:p>
    <w:p>
      <w:pPr>
        <w:spacing w:after="0" w:line="2" w:lineRule="exact"/>
        <w:rPr>
          <w:rFonts w:ascii="Times New Roman" w:cs="Times New Roman" w:eastAsia="Times New Roman" w:hAnsi="Times New Roman"/>
          <w:sz w:val="17"/>
          <w:szCs w:val="17"/>
          <w:color w:val="auto"/>
        </w:rPr>
      </w:pPr>
    </w:p>
    <w:p>
      <w:pPr>
        <w:ind w:left="4" w:right="420" w:hanging="4"/>
        <w:spacing w:after="0" w:line="260" w:lineRule="auto"/>
        <w:tabs>
          <w:tab w:leader="none" w:pos="259"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of cash with the owner or lessor of premises leased and operated by the Borrower or any Restricted Subsidiary in the ordinary course of business to secure the performance of obligations under the terms of the lease for such premises;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4"/>
          </w:cols>
          <w:pgMar w:left="436" w:top="269" w:right="459" w:bottom="1440" w:gutter="0" w:footer="0" w:header="0"/>
        </w:sectPr>
      </w:pPr>
    </w:p>
    <w:bookmarkStart w:id="498" w:name="page499"/>
    <w:bookmarkEnd w:id="498"/>
    <w:p>
      <w:pPr>
        <w:ind w:firstLine="436"/>
        <w:spacing w:after="0" w:line="256" w:lineRule="auto"/>
        <w:tabs>
          <w:tab w:leader="none" w:pos="69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(i) solely on any Cash (or Cash Equivalent) earnest money deposits (including as part of any escrow arrangement) made by the Borrower and/or any of its Restricted Subsidiaries in connection with any letter of intent or purchase agreement with respect to any Investment permitted hereunder (or to secure letters of credit, bank guarantees or similar instruments posted in respect thereof), (ii) on advances of Cash or Cash Equivalents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to be applied against the purchase price for such Investment or (iii) consisting of (A) an agreement to Dispose of any property in a Disposition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and/or (B) the pledge of Cash or Cash Equivalents as part of an escrow or similar arrangement required in any Disposition permitted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precautionary or purported Liens evidenced by the filing of UCC financing statements or similar financing statements under applicable Requirements of Law relating solely to (i) operating leases or consignment or bailee arrangements entered into in the ordinary course of business, (ii) the sale of accounts receivable in the ordinary course of business for which a UCC financing statement or similar financing statement under applicable Requirements of Law is required and/or (iii) the sale of Receivables Facility Assets and related assets in connection with any Qualified Receivables Facility;</w:t>
      </w:r>
    </w:p>
    <w:p>
      <w:pPr>
        <w:spacing w:after="0" w:line="183" w:lineRule="exact"/>
        <w:rPr>
          <w:rFonts w:ascii="Times New Roman" w:cs="Times New Roman" w:eastAsia="Times New Roman" w:hAnsi="Times New Roman"/>
          <w:sz w:val="18"/>
          <w:szCs w:val="18"/>
          <w:color w:val="auto"/>
        </w:rPr>
      </w:pPr>
    </w:p>
    <w:p>
      <w:pPr>
        <w:ind w:right="620" w:firstLine="436"/>
        <w:spacing w:after="0" w:line="282" w:lineRule="auto"/>
        <w:tabs>
          <w:tab w:leader="none" w:pos="65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5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any zoning, building or similar Requirement of Law or right reserved to or vested in any Governmental Authority to control or regulate the use of any dimensions of real property or any structure thereon, including Liens in connection with any condemnation, expropriation or eminent domain proceeding or compulsory purchase order;</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(solely with respect to the permitted extension, refinancing, refunding or replacement of Indebtedness permitted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(nn)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asset not covered or required to be covered by the Lien securing the Indebtedness that is being refinanced other than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such extensions, refinancings, refundings or replacements of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and (ii) if the Indebtedness being refinanced was subject to intercreditor arrangements in respect of Liens on Collateral, then any refinancing Indebtedness in respect thereof secured by Liens on Collateral shall be subject to intercreditor arrangements not materially less favorable to the Secured Parties, taken as a whole, than the intercreditor arrangements governing the Indebtedness that is refinanced, or the intercreditor arrangements governing the relevant refinancing Indebtedness shall be set forth in an Acceptable Intercreditor Agreement;</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55"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or contractually committed or contemplated as of, the Closing Date and, with respect to each such Lien securing Indebtedness in an aggregate committed or principal amount in excess of $10,000,000, described on </w:t>
      </w:r>
      <w:r>
        <w:rPr>
          <w:rFonts w:ascii="Times New Roman" w:cs="Times New Roman" w:eastAsia="Times New Roman" w:hAnsi="Times New Roman"/>
          <w:sz w:val="18"/>
          <w:szCs w:val="18"/>
          <w:u w:val="single" w:color="auto"/>
          <w:color w:val="auto"/>
        </w:rPr>
        <w:t>Schedule 6.02</w:t>
      </w:r>
      <w:r>
        <w:rPr>
          <w:rFonts w:ascii="Times New Roman" w:cs="Times New Roman" w:eastAsia="Times New Roman" w:hAnsi="Times New Roman"/>
          <w:sz w:val="18"/>
          <w:szCs w:val="18"/>
          <w:color w:val="auto"/>
        </w:rPr>
        <w:t xml:space="preserve"> and in each case any modification, replacement, refinancing, renewal or extension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such Lien extends to any additional property other than property required to be covered thereby and (A) after-acquired property that is affixed or incorporated into the property covered by such Lien or financed by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(B) proceeds and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440" w:top="269" w:right="459" w:bottom="1440" w:gutter="0" w:footer="0" w:header="0"/>
        </w:sectPr>
      </w:pPr>
    </w:p>
    <w:bookmarkStart w:id="499" w:name="page500"/>
    <w:bookmarkEnd w:id="499"/>
    <w:p>
      <w:pPr>
        <w:ind w:left="744" w:hanging="304"/>
        <w:spacing w:after="0"/>
        <w:tabs>
          <w:tab w:leader="none" w:pos="744"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Liens arising out of Sale and Lease-Back Transactions permitted under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Lien shall encumber only the assets (including Capital Stock) acquired, constructed, repaired, replaced or improved with the proceeds of such Indebtedness, or the assets subject to the Sale and Lease-Back Transaction, as applicable, and proceeds and products thereof, replacements, accessions or additions thereto and improvements thereon and customary security deposits with respect thereto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w:t>
      </w:r>
    </w:p>
    <w:p>
      <w:pPr>
        <w:spacing w:after="0" w:line="183" w:lineRule="exact"/>
        <w:rPr>
          <w:rFonts w:ascii="Times New Roman" w:cs="Times New Roman" w:eastAsia="Times New Roman" w:hAnsi="Times New Roman"/>
          <w:sz w:val="18"/>
          <w:szCs w:val="18"/>
          <w:color w:val="auto"/>
        </w:rPr>
      </w:pPr>
    </w:p>
    <w:p>
      <w:pPr>
        <w:ind w:left="4" w:right="120" w:firstLine="436"/>
        <w:spacing w:after="0" w:line="256" w:lineRule="auto"/>
        <w:tabs>
          <w:tab w:leader="none" w:pos="699" w:val="left"/>
        </w:tabs>
        <w:numPr>
          <w:ilvl w:val="1"/>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(i) </w:t>
      </w:r>
      <w:r>
        <w:rPr>
          <w:rFonts w:ascii="Times New Roman" w:cs="Times New Roman" w:eastAsia="Times New Roman" w:hAnsi="Times New Roman"/>
          <w:sz w:val="18"/>
          <w:szCs w:val="18"/>
          <w:u w:val="single" w:color="auto"/>
          <w:color w:val="auto"/>
        </w:rPr>
        <w:t>Section 6.01(n)(1)</w:t>
      </w:r>
      <w:r>
        <w:rPr>
          <w:rFonts w:ascii="Times New Roman" w:cs="Times New Roman" w:eastAsia="Times New Roman" w:hAnsi="Times New Roman"/>
          <w:sz w:val="18"/>
          <w:szCs w:val="18"/>
          <w:color w:val="auto"/>
        </w:rPr>
        <w:t xml:space="preserve"> on the relevant acquired assets or on the Capital Stock and assets of the relevant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Lien (x) extends to or covers any other assets (other than the proceeds or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 or (y) was created in contemplation of the applicable acquisition of assets or Capital Stock and (ii)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 is on Collateral, the holders of such Indebtedness (or a representative thereof) shall be party to an Acceptable Intercreditor Agreement;</w:t>
      </w:r>
    </w:p>
    <w:p>
      <w:pPr>
        <w:spacing w:after="0" w:line="187" w:lineRule="exact"/>
        <w:rPr>
          <w:rFonts w:ascii="Times New Roman" w:cs="Times New Roman" w:eastAsia="Times New Roman" w:hAnsi="Times New Roman"/>
          <w:sz w:val="18"/>
          <w:szCs w:val="18"/>
          <w:color w:val="auto"/>
        </w:rPr>
      </w:pPr>
    </w:p>
    <w:p>
      <w:pPr>
        <w:ind w:left="4" w:right="120" w:firstLine="436"/>
        <w:spacing w:after="0" w:line="268" w:lineRule="auto"/>
        <w:tabs>
          <w:tab w:leader="none" w:pos="699" w:val="left"/>
        </w:tabs>
        <w:numPr>
          <w:ilvl w:val="1"/>
          <w:numId w:val="6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that are contractual rights of set-off or netting or pledge relating to (A) the establishment of depositary relations with banks or other financial institutions not granted in connection with the issuance of Indebtedness, (B) pooled deposit or sweep accounts of the Borrower and/or any Restricted Subsidiary to permit satisfaction of overdraft or similar obligations incurred in the ordinary course of business of the Borrower and/or any Restricted Subsidiary, (C) purchase orders and other agreements entered into with customers of the Borrower and/or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or similar accounts,</w:t>
      </w:r>
    </w:p>
    <w:p>
      <w:pPr>
        <w:spacing w:after="0" w:line="4" w:lineRule="exact"/>
        <w:rPr>
          <w:rFonts w:ascii="Times New Roman" w:cs="Times New Roman" w:eastAsia="Times New Roman" w:hAnsi="Times New Roman"/>
          <w:sz w:val="17"/>
          <w:szCs w:val="17"/>
          <w:color w:val="auto"/>
        </w:rPr>
      </w:pPr>
    </w:p>
    <w:p>
      <w:pPr>
        <w:ind w:left="4" w:hanging="4"/>
        <w:spacing w:after="0" w:line="251" w:lineRule="auto"/>
        <w:tabs>
          <w:tab w:leader="none" w:pos="309"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of a collection bank arising under Section 4-208 or Section 4-210 of the UCC (or any similar Requirement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 institution and that are within the general parameters customary in the banking industry or arising pursuant to such banking institution’s general terms and conditions and (vi) Liens on the proceeds of any Indebtedness permitted hereunder incurred in connection with any transaction permitted hereunder,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193" w:lineRule="exact"/>
        <w:rPr>
          <w:rFonts w:ascii="Times New Roman" w:cs="Times New Roman" w:eastAsia="Times New Roman" w:hAnsi="Times New Roman"/>
          <w:sz w:val="18"/>
          <w:szCs w:val="18"/>
          <w:color w:val="auto"/>
        </w:rPr>
      </w:pPr>
    </w:p>
    <w:p>
      <w:pPr>
        <w:ind w:left="4" w:right="420" w:firstLine="436"/>
        <w:spacing w:after="0" w:line="266" w:lineRule="auto"/>
        <w:tabs>
          <w:tab w:leader="none" w:pos="699" w:val="left"/>
        </w:tabs>
        <w:numPr>
          <w:ilvl w:val="1"/>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and Capital Stock of Restricted Subsidiaries that are not Loan Parties (including Capital Stock owned by such Persons) securing Indebtedness or other obligations of Restricted Subsidiaries that are not Loan Parties permitted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not prohibited under this Agreement);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4"/>
          </w:cols>
          <w:pgMar w:left="436" w:top="269" w:right="459" w:bottom="1440" w:gutter="0" w:footer="0" w:header="0"/>
        </w:sectPr>
      </w:pPr>
    </w:p>
    <w:bookmarkStart w:id="500" w:name="page501"/>
    <w:bookmarkEnd w:id="500"/>
    <w:p>
      <w:pPr>
        <w:ind w:right="360" w:firstLine="436"/>
        <w:spacing w:after="0" w:line="282" w:lineRule="auto"/>
        <w:tabs>
          <w:tab w:leader="none" w:pos="66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securing obligations (other than obligations representing Indebtedness for borrowed money) under operating, reciprocal easement or similar agreements entered into in the ordinary course of business of the Borrower and/or their Restricted Subsidiaries;</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7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disclosed in any Mortgage Policy delivered pursuant to </w:t>
      </w:r>
      <w:r>
        <w:rPr>
          <w:rFonts w:ascii="Times New Roman" w:cs="Times New Roman" w:eastAsia="Times New Roman" w:hAnsi="Times New Roman"/>
          <w:sz w:val="18"/>
          <w:szCs w:val="18"/>
          <w:u w:val="single" w:color="auto"/>
          <w:color w:val="auto"/>
        </w:rPr>
        <w:t>Sections 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(as applicable) with respect to any Material Real Estate Asset, and any replacement, extension or renewal of any such Lien;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replacement, extension or renewal Lien shall cover any property other than the property that was subject to such Lien prior to such replacement, extension or renewal (and additions thereto, improvements thereon and the proceeds thereof);</w:t>
      </w:r>
    </w:p>
    <w:p>
      <w:pPr>
        <w:spacing w:after="0" w:line="179" w:lineRule="exact"/>
        <w:rPr>
          <w:rFonts w:ascii="Times New Roman" w:cs="Times New Roman" w:eastAsia="Times New Roman" w:hAnsi="Times New Roman"/>
          <w:sz w:val="18"/>
          <w:szCs w:val="18"/>
          <w:color w:val="auto"/>
        </w:rPr>
      </w:pPr>
    </w:p>
    <w:p>
      <w:pPr>
        <w:ind w:right="820" w:firstLine="436"/>
        <w:spacing w:after="0" w:line="282" w:lineRule="auto"/>
        <w:tabs>
          <w:tab w:leader="none" w:pos="65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incurred pursuant to </w:t>
      </w:r>
      <w:r>
        <w:rPr>
          <w:rFonts w:ascii="Times New Roman" w:cs="Times New Roman" w:eastAsia="Times New Roman" w:hAnsi="Times New Roman"/>
          <w:sz w:val="18"/>
          <w:szCs w:val="18"/>
          <w:u w:val="single" w:color="auto"/>
          <w:color w:val="auto"/>
        </w:rPr>
        <w:t>Section 6.01(z)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Lien is on Collateral, the holders of such Indebtedness (or a representative thereof) shall be party to an Acceptable Intercreditor Agreement;</w:t>
      </w:r>
    </w:p>
    <w:p>
      <w:pPr>
        <w:spacing w:after="0" w:line="161" w:lineRule="exact"/>
        <w:rPr>
          <w:rFonts w:ascii="Times New Roman" w:cs="Times New Roman" w:eastAsia="Times New Roman" w:hAnsi="Times New Roman"/>
          <w:sz w:val="18"/>
          <w:szCs w:val="18"/>
          <w:color w:val="auto"/>
        </w:rPr>
      </w:pPr>
    </w:p>
    <w:p>
      <w:pPr>
        <w:ind w:right="20" w:firstLine="436"/>
        <w:spacing w:after="0" w:line="282" w:lineRule="auto"/>
        <w:tabs>
          <w:tab w:leader="none" w:pos="69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Indebtedness or other obligations in an aggregate principal amount outstanding at the time of incurrence not to exceed the greater of $787,500,000 and 35%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assets securing judgments, awards, attachments and/or decrees and notices of lis pendens and associated rights relating to litigation (including appeal bonds) being contested in good faith not constituting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 xml:space="preserve"> and (ii) any cash deposits securing any settlement of litigation;</w:t>
      </w:r>
    </w:p>
    <w:p>
      <w:pPr>
        <w:spacing w:after="0" w:line="175" w:lineRule="exact"/>
        <w:rPr>
          <w:rFonts w:ascii="Times New Roman" w:cs="Times New Roman" w:eastAsia="Times New Roman" w:hAnsi="Times New Roman"/>
          <w:sz w:val="18"/>
          <w:szCs w:val="18"/>
          <w:color w:val="auto"/>
        </w:rPr>
      </w:pPr>
    </w:p>
    <w:p>
      <w:pPr>
        <w:ind w:right="100" w:firstLine="436"/>
        <w:spacing w:after="0" w:line="258" w:lineRule="auto"/>
        <w:tabs>
          <w:tab w:leader="none" w:pos="73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(i) leases, licenses, subleases, sub-licenses or cross-licenses granted to others, (ii) assignments of IP Rights granted to a customer of the Borrower or any Restricted Subsidiary or otherwise in the ordinary course of business which do not secure any Indebtedness or (iii) the rights reserved or vested in any Person (including any Governmental Authority) by the terms of any lease, sub-lease, license, sub-license, franchise, grant or permit held by the Borrower or any of the Restricted Subsidiaries or by a statutory provision, to terminate any such lease, sub-lease, license, sub-license, franchise, grant or permit, or to require annual or periodic payments as a condition to the continuance thereof;</w:t>
      </w:r>
    </w:p>
    <w:p>
      <w:pPr>
        <w:spacing w:after="0" w:line="183"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Securities or other assets that are the subject of repurchase agreements constituting Investments permitted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arising out of such repurchase transaction;</w:t>
      </w:r>
    </w:p>
    <w:p>
      <w:pPr>
        <w:spacing w:after="0" w:line="161" w:lineRule="exact"/>
        <w:rPr>
          <w:rFonts w:ascii="Times New Roman" w:cs="Times New Roman" w:eastAsia="Times New Roman" w:hAnsi="Times New Roman"/>
          <w:sz w:val="18"/>
          <w:szCs w:val="18"/>
          <w:color w:val="auto"/>
        </w:rPr>
      </w:pPr>
    </w:p>
    <w:p>
      <w:pPr>
        <w:ind w:right="280" w:firstLine="436"/>
        <w:spacing w:after="0" w:line="282" w:lineRule="auto"/>
        <w:tabs>
          <w:tab w:leader="none" w:pos="69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letters of credit, bank guaranties, surety bonds, performance bonds or similar instruments permitted under </w:t>
      </w:r>
      <w:r>
        <w:rPr>
          <w:rFonts w:ascii="Times New Roman" w:cs="Times New Roman" w:eastAsia="Times New Roman" w:hAnsi="Times New Roman"/>
          <w:sz w:val="18"/>
          <w:szCs w:val="18"/>
          <w:u w:val="single" w:color="auto"/>
          <w:color w:val="auto"/>
        </w:rPr>
        <w:t>Sections 6.01(d)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(dd)</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 out of conditional sale, title retention, consignment or similar arrangements for the sale of any assets or property and bailee arrangements in the ordinary course of business and permitted by this Agreement or (ii) by operation of law under Article 2 of the UCC (or any similar Requirement of Law of any jurisdiction);</w:t>
      </w:r>
    </w:p>
    <w:p>
      <w:pPr>
        <w:spacing w:after="0" w:line="176" w:lineRule="exact"/>
        <w:rPr>
          <w:sz w:val="20"/>
          <w:szCs w:val="20"/>
          <w:color w:val="auto"/>
        </w:rPr>
      </w:pPr>
    </w:p>
    <w:p>
      <w:pPr>
        <w:ind w:right="180" w:firstLine="436"/>
        <w:spacing w:after="0" w:line="266" w:lineRule="auto"/>
        <w:tabs>
          <w:tab w:leader="none" w:pos="765"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in favor of any Loan Party and/or (ii) granted by any non-Loan Party in favor of any Restricted Subsidiary that is not a Loan Party,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securing intercompany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or securing other intercompany obligations not prohibited hereunder;</w:t>
      </w:r>
    </w:p>
    <w:p>
      <w:pPr>
        <w:spacing w:after="0" w:line="1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69" w:right="459" w:bottom="1440" w:gutter="0" w:footer="0" w:header="0"/>
        </w:sectPr>
      </w:pPr>
    </w:p>
    <w:bookmarkStart w:id="501" w:name="page502"/>
    <w:bookmarkEnd w:id="501"/>
    <w:p>
      <w:pPr>
        <w:ind w:left="4" w:right="180" w:firstLine="436"/>
        <w:spacing w:after="0" w:line="266" w:lineRule="auto"/>
        <w:tabs>
          <w:tab w:leader="none" w:pos="769"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175"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789"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 obligations under any Derivative Transaction of the type described in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 xml:space="preserve">, (ii) obligations of the type described in </w:t>
      </w:r>
      <w:r>
        <w:rPr>
          <w:rFonts w:ascii="Times New Roman" w:cs="Times New Roman" w:eastAsia="Times New Roman" w:hAnsi="Times New Roman"/>
          <w:sz w:val="18"/>
          <w:szCs w:val="18"/>
          <w:u w:val="single" w:color="auto"/>
          <w:color w:val="auto"/>
        </w:rPr>
        <w:t>Section 6.01(f)(i)</w:t>
      </w:r>
      <w:r>
        <w:rPr>
          <w:rFonts w:ascii="Times New Roman" w:cs="Times New Roman" w:eastAsia="Times New Roman" w:hAnsi="Times New Roman"/>
          <w:sz w:val="18"/>
          <w:szCs w:val="18"/>
          <w:color w:val="auto"/>
        </w:rPr>
        <w:t xml:space="preserve"> (other than Qualified Supply Chain Financings), (iii) obligations of the type described in </w:t>
      </w:r>
      <w:r>
        <w:rPr>
          <w:rFonts w:ascii="Times New Roman" w:cs="Times New Roman" w:eastAsia="Times New Roman" w:hAnsi="Times New Roman"/>
          <w:sz w:val="18"/>
          <w:szCs w:val="18"/>
          <w:u w:val="single" w:color="auto"/>
          <w:color w:val="auto"/>
        </w:rPr>
        <w:t>Section 6.01(f)(ii)</w:t>
      </w:r>
      <w:r>
        <w:rPr>
          <w:rFonts w:ascii="Times New Roman" w:cs="Times New Roman" w:eastAsia="Times New Roman" w:hAnsi="Times New Roman"/>
          <w:sz w:val="18"/>
          <w:szCs w:val="18"/>
          <w:color w:val="auto"/>
        </w:rPr>
        <w:t xml:space="preserve"> (for the avoidance of doubt, subject to the cap set forth in the definition of Qualified Supply Chain Financings) and/or (iv) obligations of the type described in </w:t>
      </w:r>
      <w:r>
        <w:rPr>
          <w:rFonts w:ascii="Times New Roman" w:cs="Times New Roman" w:eastAsia="Times New Roman" w:hAnsi="Times New Roman"/>
          <w:sz w:val="18"/>
          <w:szCs w:val="18"/>
          <w:u w:val="single" w:color="auto"/>
          <w:color w:val="auto"/>
        </w:rPr>
        <w:t>Section 6.01(r)</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which Liens (A) in each case under this </w:t>
      </w:r>
      <w:r>
        <w:rPr>
          <w:rFonts w:ascii="Times New Roman" w:cs="Times New Roman" w:eastAsia="Times New Roman" w:hAnsi="Times New Roman"/>
          <w:sz w:val="18"/>
          <w:szCs w:val="18"/>
          <w:u w:val="single" w:color="auto"/>
          <w:color w:val="auto"/>
        </w:rPr>
        <w:t>Section 6.02(dd)</w:t>
      </w:r>
      <w:r>
        <w:rPr>
          <w:rFonts w:ascii="Times New Roman" w:cs="Times New Roman" w:eastAsia="Times New Roman" w:hAnsi="Times New Roman"/>
          <w:sz w:val="18"/>
          <w:szCs w:val="18"/>
          <w:color w:val="auto"/>
        </w:rPr>
        <w:t xml:space="preserve">, may be (but are not required to be) secured by all or any of the Collateral so long as the Lien on the Collateral is subject to an Acceptable Intercreditor Agreement and (B) in the case of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(to the extent not secured as provided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other than Qualified Supply Chain Financings), may consist of pledges of Cash collateral in an amount not to exceed the greater of $562,500,000 and 25%of Consolidated Adjusted EBITDA as of the last day of the most recently ended Test Period;</w:t>
      </w:r>
    </w:p>
    <w:p>
      <w:pPr>
        <w:spacing w:after="0" w:line="188" w:lineRule="exact"/>
        <w:rPr>
          <w:rFonts w:ascii="Times New Roman" w:cs="Times New Roman" w:eastAsia="Times New Roman" w:hAnsi="Times New Roman"/>
          <w:sz w:val="18"/>
          <w:szCs w:val="18"/>
          <w:color w:val="auto"/>
        </w:rPr>
      </w:pPr>
    </w:p>
    <w:p>
      <w:pPr>
        <w:ind w:left="764" w:hanging="324"/>
        <w:spacing w:after="0"/>
        <w:tabs>
          <w:tab w:leader="none" w:pos="764" w:val="left"/>
        </w:tabs>
        <w:numPr>
          <w:ilvl w:val="1"/>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Capital Stock of Joint Ventures or Unrestricted Subsidiaries securing capital contributions to, or obligations of, such Persons and</w:t>
      </w:r>
    </w:p>
    <w:p>
      <w:pPr>
        <w:spacing w:after="0" w:line="27" w:lineRule="exact"/>
        <w:rPr>
          <w:rFonts w:ascii="Times New Roman" w:cs="Times New Roman" w:eastAsia="Times New Roman" w:hAnsi="Times New Roman"/>
          <w:sz w:val="18"/>
          <w:szCs w:val="18"/>
          <w:color w:val="auto"/>
        </w:rPr>
      </w:pPr>
    </w:p>
    <w:p>
      <w:pPr>
        <w:ind w:left="4" w:right="420" w:hanging="4"/>
        <w:spacing w:after="0" w:line="260" w:lineRule="auto"/>
        <w:tabs>
          <w:tab w:leader="none" w:pos="269"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rights of first refusal and tag, drag and similar rights in joint venture agreements and agreements with respect to non-Wholly-Owned Subsidiaries;</w:t>
      </w:r>
    </w:p>
    <w:p>
      <w:pPr>
        <w:spacing w:after="0" w:line="181" w:lineRule="exact"/>
        <w:rPr>
          <w:rFonts w:ascii="Times New Roman" w:cs="Times New Roman" w:eastAsia="Times New Roman" w:hAnsi="Times New Roman"/>
          <w:sz w:val="18"/>
          <w:szCs w:val="18"/>
          <w:color w:val="auto"/>
        </w:rPr>
      </w:pPr>
    </w:p>
    <w:p>
      <w:pPr>
        <w:ind w:left="724" w:hanging="284"/>
        <w:spacing w:after="0"/>
        <w:tabs>
          <w:tab w:leader="none" w:pos="724"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arising in connection with the defeasance, discharge or redemption of Indebtedness;</w:t>
      </w:r>
    </w:p>
    <w:p>
      <w:pPr>
        <w:spacing w:after="0" w:line="225"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789"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Pro Rata Facilities and Other Secured Debt, in each case, outstanding under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 xml:space="preserve"> (and any cash collateral deposited with respect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holders of such Indebtedness (or a representative thereof) shall be party to an Acceptable Intercreditor Agreement;</w:t>
      </w:r>
    </w:p>
    <w:p>
      <w:pPr>
        <w:spacing w:after="0" w:line="175"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not constituting Collateral;</w:t>
      </w:r>
    </w:p>
    <w:p>
      <w:pPr>
        <w:spacing w:after="0" w:line="225" w:lineRule="exact"/>
        <w:rPr>
          <w:rFonts w:ascii="Times New Roman" w:cs="Times New Roman" w:eastAsia="Times New Roman" w:hAnsi="Times New Roman"/>
          <w:sz w:val="18"/>
          <w:szCs w:val="18"/>
          <w:color w:val="auto"/>
        </w:rPr>
      </w:pPr>
    </w:p>
    <w:p>
      <w:pPr>
        <w:ind w:left="4" w:firstLine="436"/>
        <w:spacing w:after="0" w:line="261" w:lineRule="auto"/>
        <w:tabs>
          <w:tab w:leader="none" w:pos="709"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Receivables Facility Assets, and any other assets of any Receivables Subsidiary, incurred in connection with a Qualified Receivables Facility and (ii) Liens that may otherwise arise from (or in connection with) a Qualified Receivables Facility, including Liens existing under or by reason of Indebtedness or other contractual requirements of a Receivables Subsidiary or any Standard Securitization Undertaking, in each case in respect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connection with a Qualified Receivables Facility;</w:t>
      </w:r>
    </w:p>
    <w:p>
      <w:pPr>
        <w:spacing w:after="0" w:line="17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709"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175"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789"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Foreign Subsidiary, Liens and privileges arising mandatorily by any Requirement of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Liens and privileges extend only to the assets or Capital Stock of such Foreign Subsidiary;</w:t>
      </w:r>
    </w:p>
    <w:p>
      <w:pPr>
        <w:spacing w:after="0" w:line="161" w:lineRule="exact"/>
        <w:rPr>
          <w:rFonts w:ascii="Times New Roman" w:cs="Times New Roman" w:eastAsia="Times New Roman" w:hAnsi="Times New Roman"/>
          <w:sz w:val="18"/>
          <w:szCs w:val="18"/>
          <w:color w:val="auto"/>
        </w:rPr>
      </w:pPr>
    </w:p>
    <w:p>
      <w:pPr>
        <w:ind w:left="4" w:right="840" w:firstLine="436"/>
        <w:spacing w:after="0" w:line="282" w:lineRule="auto"/>
        <w:tabs>
          <w:tab w:leader="none" w:pos="709" w:val="left"/>
        </w:tabs>
        <w:numPr>
          <w:ilvl w:val="1"/>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or subleases in respect of real property on which facilities owned or leased by the Borrower or any of their Restricted Subsidiaries are located;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4"/>
          </w:cols>
          <w:pgMar w:left="436" w:top="269" w:right="459" w:bottom="1440" w:gutter="0" w:footer="0" w:header="0"/>
        </w:sectPr>
      </w:pPr>
    </w:p>
    <w:bookmarkStart w:id="502" w:name="page503"/>
    <w:bookmarkEnd w:id="502"/>
    <w:p>
      <w:pPr>
        <w:ind w:left="880" w:hanging="444"/>
        <w:spacing w:after="0"/>
        <w:tabs>
          <w:tab w:leader="none" w:pos="88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that are customary in the business of the Borrower and its Restricted Subsidiaries and that do not secure debt for borrowed money;</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given to a public or private utility or any Governmental Authority as required in the ordinary course of business;</w:t>
      </w:r>
    </w:p>
    <w:p>
      <w:pPr>
        <w:spacing w:after="0" w:line="225" w:lineRule="exact"/>
        <w:rPr>
          <w:rFonts w:ascii="Times New Roman" w:cs="Times New Roman" w:eastAsia="Times New Roman" w:hAnsi="Times New Roman"/>
          <w:sz w:val="18"/>
          <w:szCs w:val="18"/>
          <w:color w:val="auto"/>
        </w:rPr>
      </w:pPr>
    </w:p>
    <w:p>
      <w:pPr>
        <w:ind w:right="340" w:firstLine="436"/>
        <w:spacing w:after="0" w:line="282" w:lineRule="auto"/>
        <w:tabs>
          <w:tab w:leader="none" w:pos="785"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pursuant to Section 107(l) of the Comprehensive Environmental Response, Compensation and Liability Act or similar provision of any applicable law;</w:t>
      </w:r>
    </w:p>
    <w:p>
      <w:pPr>
        <w:spacing w:after="0" w:line="161" w:lineRule="exact"/>
        <w:rPr>
          <w:rFonts w:ascii="Times New Roman" w:cs="Times New Roman" w:eastAsia="Times New Roman" w:hAnsi="Times New Roman"/>
          <w:sz w:val="18"/>
          <w:szCs w:val="18"/>
          <w:color w:val="auto"/>
        </w:rPr>
      </w:pPr>
    </w:p>
    <w:p>
      <w:pPr>
        <w:ind w:right="140" w:firstLine="436"/>
        <w:spacing w:after="0" w:line="282" w:lineRule="auto"/>
        <w:tabs>
          <w:tab w:leader="none" w:pos="785"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the right of setoff in favor of counterparties to contractual agreements with the Borrower or any Restricted Subsidiary in the ordinary course of business;</w:t>
      </w:r>
    </w:p>
    <w:p>
      <w:pPr>
        <w:spacing w:after="0" w:line="161" w:lineRule="exact"/>
        <w:rPr>
          <w:rFonts w:ascii="Times New Roman" w:cs="Times New Roman" w:eastAsia="Times New Roman" w:hAnsi="Times New Roman"/>
          <w:sz w:val="18"/>
          <w:szCs w:val="18"/>
          <w:color w:val="auto"/>
        </w:rPr>
      </w:pPr>
    </w:p>
    <w:p>
      <w:pPr>
        <w:ind w:right="240" w:firstLine="436"/>
        <w:spacing w:after="0" w:line="266" w:lineRule="auto"/>
        <w:tabs>
          <w:tab w:leader="none" w:pos="725"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a security agreement between the Borrower or any Restricted Subsidiary and a licensee of IP Rights to secure the damages, if any, incurred by such licensee resulting from the rejection of the license of such licensee in a bankruptcy, insolvency, reorganization or similar proceeding with respect to the Borrower or such Restricted Subsidiary;</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745"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in connection with rights of dissenting equity holders pursuant to any Requirement of Law in respect of the Transactions, any Permitted Acquisition or other similar Investment;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Permitted Treasury Arrangements;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225" w:lineRule="exact"/>
        <w:rPr>
          <w:rFonts w:ascii="Times New Roman" w:cs="Times New Roman" w:eastAsia="Times New Roman" w:hAnsi="Times New Roman"/>
          <w:sz w:val="18"/>
          <w:szCs w:val="18"/>
          <w:color w:val="auto"/>
        </w:rPr>
      </w:pPr>
    </w:p>
    <w:p>
      <w:pPr>
        <w:ind w:left="860" w:hanging="424"/>
        <w:spacing w:after="0"/>
        <w:tabs>
          <w:tab w:leader="none" w:pos="86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negative pledges) on intellectual property arising from licenses or sublicenses of intellectual property; and</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the Parent and its Subsidiaries arising from Separation Agreements and not securing Indebtedness for borrowed money.</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set forth herein, the accrual of interest or dividends, the accretion of accreted value, the accretion of amortization of original issue discount and payment or accrual of interest or dividends in the form of additional secured Indebtedness shall not constitute the creation, incurrence, assumption, permission to exist or sufferance of any Lien on assets securing such Indebtedness, whether now owned or hereafter acquired, under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 Further Negative Pledges</w:t>
      </w:r>
      <w:r>
        <w:rPr>
          <w:rFonts w:ascii="Times New Roman" w:cs="Times New Roman" w:eastAsia="Times New Roman" w:hAnsi="Times New Roman"/>
          <w:sz w:val="18"/>
          <w:szCs w:val="18"/>
          <w:color w:val="auto"/>
        </w:rPr>
        <w:t>. The Borrower and each other Loan Party shall not, nor shall it permit any Restricted Subsidiary that is a Loan Party to, enter into any agreement prohibiting in any material respect the creation or assumption of any Lien upon any of its properties (other than Excluded Assets), whether now owned or hereafter acquired, for the benefit of the Secured Parties with respect to the Loan Document Obligations, except with respect to:</w:t>
      </w:r>
    </w:p>
    <w:p>
      <w:pPr>
        <w:spacing w:after="0" w:line="72" w:lineRule="exact"/>
        <w:rPr>
          <w:sz w:val="20"/>
          <w:szCs w:val="20"/>
          <w:color w:val="auto"/>
        </w:rPr>
      </w:pPr>
    </w:p>
    <w:p>
      <w:pPr>
        <w:ind w:right="100" w:firstLine="436"/>
        <w:spacing w:after="0" w:line="266" w:lineRule="auto"/>
        <w:tabs>
          <w:tab w:leader="none" w:pos="685"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relating to any asset (or all of the assets) of and/or the Capital Stock of the Borrower and/or any Restricted Subsidiary which are imposed pursuant to an agreement entered into in connection with any Disposition or other transfer, lease, sub-lease, license or sublicense of such asset (or assets) and/or all or a portion of the Capital Stock of the relevant Person that is permitted or not restricted by this Agreement;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0980"/>
          </w:cols>
          <w:pgMar w:left="440" w:top="269" w:right="479" w:bottom="1440" w:gutter="0" w:footer="0" w:header="0"/>
        </w:sectPr>
      </w:pPr>
    </w:p>
    <w:bookmarkStart w:id="503" w:name="page504"/>
    <w:bookmarkEnd w:id="503"/>
    <w:p>
      <w:pPr>
        <w:ind w:right="80" w:firstLine="436"/>
        <w:spacing w:after="0" w:line="266" w:lineRule="auto"/>
        <w:tabs>
          <w:tab w:leader="none" w:pos="695"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restrictions contained in the Loan Documents, any Incremental Equivalent Debt, any Qualified Receivables Facility, any Indebtedness permitted by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6.01(x)</w:t>
      </w:r>
      <w:r>
        <w:rPr>
          <w:rFonts w:ascii="Times New Roman" w:cs="Times New Roman" w:eastAsia="Times New Roman" w:hAnsi="Times New Roman"/>
          <w:sz w:val="18"/>
          <w:szCs w:val="18"/>
          <w:color w:val="auto"/>
        </w:rPr>
        <w:t xml:space="preserve"> or any Additional Letter of Credit Facility (and in any Indebtedness permitted under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to the extent relating to any extension, refinancing, refunding or replacement of any of the foregoing);</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contained in any documentation governing any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related Lien permitted under</w:t>
      </w:r>
    </w:p>
    <w:p>
      <w:pPr>
        <w:spacing w:after="0" w:line="2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to the extent that such restrictions (x) are, taken as a whole, in the good-faith judgment of the Borrower, not materially more restrictive as concerning the Borrower or any Restricted Subsidiary than customary market terms for Indebtedness of such type, (y) are not materially more restrictive, taken as a whole, than the restrictions contained in this Agreement (as determined by the Borrower in good faith) or (z) will not materially impair the Borrower’s obligation or ability to make any payments required hereunder (as determined by the Borrower in good faith);</w:t>
      </w:r>
    </w:p>
    <w:p>
      <w:pPr>
        <w:spacing w:after="0" w:line="189" w:lineRule="exact"/>
        <w:rPr>
          <w:sz w:val="20"/>
          <w:szCs w:val="20"/>
          <w:color w:val="auto"/>
        </w:rPr>
      </w:pPr>
    </w:p>
    <w:p>
      <w:pPr>
        <w:ind w:right="120" w:firstLine="436"/>
        <w:spacing w:after="0" w:line="258" w:lineRule="auto"/>
        <w:tabs>
          <w:tab w:leader="none" w:pos="695"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(each of the foregoing, a “</w:t>
      </w:r>
      <w:r>
        <w:rPr>
          <w:rFonts w:ascii="Times New Roman" w:cs="Times New Roman" w:eastAsia="Times New Roman" w:hAnsi="Times New Roman"/>
          <w:sz w:val="18"/>
          <w:szCs w:val="18"/>
          <w:b w:val="1"/>
          <w:bCs w:val="1"/>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restrictions are limited to the relevant Covered Agreement and/or the property or assets secured by such Liens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property or assets subject to such Covered Agreement);</w:t>
      </w:r>
    </w:p>
    <w:p>
      <w:pPr>
        <w:spacing w:after="0" w:line="183"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and restrictions in the agreements relating thereto that limit the right of the Borrower or any of their Restricted Subsidiaries to Dispose of or encumber the assets subject to such Liens;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limiting the Disposition, distribution or encumbrance of assets or property in joint venture agreements, sale and lease-back</w:t>
      </w:r>
    </w:p>
    <w:p>
      <w:pPr>
        <w:spacing w:after="0" w:line="27"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stock sale agreements and other similar agreements, which limitation is applicable only to the assets that are the subject of such agreements (or the Persons the Capital Stock of which is the subject of such agreement (or any “shell company” parent with respect thereto));</w:t>
      </w:r>
    </w:p>
    <w:p>
      <w:pPr>
        <w:spacing w:after="0" w:line="181" w:lineRule="exact"/>
        <w:rPr>
          <w:rFonts w:ascii="Times New Roman" w:cs="Times New Roman" w:eastAsia="Times New Roman" w:hAnsi="Times New Roman"/>
          <w:sz w:val="18"/>
          <w:szCs w:val="18"/>
          <w:color w:val="auto"/>
        </w:rPr>
      </w:pPr>
    </w:p>
    <w:p>
      <w:pPr>
        <w:ind w:right="20" w:firstLine="436"/>
        <w:spacing w:after="0" w:line="289" w:lineRule="auto"/>
        <w:tabs>
          <w:tab w:leader="none" w:pos="695" w:val="left"/>
        </w:tabs>
        <w:numPr>
          <w:ilvl w:val="0"/>
          <w:numId w:val="6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 or restriction assumed in connection with an acquisition of the property or Capital Stock of any Person, so long as such encumbrance or restriction relates solely to the Person and its subsidiaries (including the Capital Stock of the relevant Person or Persons) and/or property so acquired (or to the Person or Persons (and its or their subsidiaries) bound thereby) and was not created in contemplation of such acquisition;</w:t>
      </w:r>
    </w:p>
    <w:p>
      <w:pPr>
        <w:spacing w:after="0" w:line="157" w:lineRule="exact"/>
        <w:rPr>
          <w:rFonts w:ascii="Times New Roman" w:cs="Times New Roman" w:eastAsia="Times New Roman" w:hAnsi="Times New Roman"/>
          <w:sz w:val="17"/>
          <w:szCs w:val="17"/>
          <w:color w:val="auto"/>
        </w:rPr>
      </w:pPr>
    </w:p>
    <w:p>
      <w:pPr>
        <w:ind w:firstLine="436"/>
        <w:spacing w:after="0" w:line="261" w:lineRule="auto"/>
        <w:tabs>
          <w:tab w:leader="none" w:pos="695"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customary provisions in partnership agreements, limited liability company organizational governance documents, joint venture agreements and other similar agreements (i) relating to the transfer of the assets of, or ownership interests in, the relevant partnership, limited liability company, joint venture or any similar Person (or any “shell company” parent with respect thereto), (ii) relating to such joint venture or its members and/or (iii) otherwise entered into in the ordinary course of business;</w:t>
      </w:r>
    </w:p>
    <w:p>
      <w:pPr>
        <w:spacing w:after="0" w:line="179" w:lineRule="exact"/>
        <w:rPr>
          <w:rFonts w:ascii="Times New Roman" w:cs="Times New Roman" w:eastAsia="Times New Roman" w:hAnsi="Times New Roman"/>
          <w:sz w:val="18"/>
          <w:szCs w:val="18"/>
          <w:color w:val="auto"/>
        </w:rPr>
      </w:pPr>
    </w:p>
    <w:p>
      <w:pPr>
        <w:ind w:right="100" w:firstLine="436"/>
        <w:spacing w:after="0" w:line="266" w:lineRule="auto"/>
        <w:tabs>
          <w:tab w:leader="none" w:pos="655"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on Cash or other deposits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6.06</w:t>
      </w:r>
      <w:r>
        <w:rPr>
          <w:rFonts w:ascii="Times New Roman" w:cs="Times New Roman" w:eastAsia="Times New Roman" w:hAnsi="Times New Roman"/>
          <w:sz w:val="18"/>
          <w:szCs w:val="18"/>
          <w:color w:val="auto"/>
        </w:rPr>
        <w:t xml:space="preserve"> and any net worth or similar requirements, including such restrictions or requirements imposed by Persons under contracts entered into in the ordinary course of business or for whose benefit such Cash or other deposits or net worth requirements exist;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0960"/>
          </w:cols>
          <w:pgMar w:left="440" w:top="269" w:right="499" w:bottom="1440" w:gutter="0" w:footer="0" w:header="0"/>
        </w:sectPr>
      </w:pPr>
    </w:p>
    <w:bookmarkStart w:id="504" w:name="page505"/>
    <w:bookmarkEnd w:id="504"/>
    <w:p>
      <w:pPr>
        <w:ind w:right="100" w:firstLine="436"/>
        <w:spacing w:after="0" w:line="282" w:lineRule="auto"/>
        <w:tabs>
          <w:tab w:leader="none" w:pos="65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restrictions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set forth in documents which exist on the Closing Date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which are contemplated to exist as of the Closing Date and, in the case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set forth on </w:t>
      </w:r>
      <w:r>
        <w:rPr>
          <w:rFonts w:ascii="Times New Roman" w:cs="Times New Roman" w:eastAsia="Times New Roman" w:hAnsi="Times New Roman"/>
          <w:sz w:val="18"/>
          <w:szCs w:val="18"/>
          <w:u w:val="single" w:color="auto"/>
          <w:color w:val="auto"/>
        </w:rPr>
        <w:t>Schedule 6.03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documents governing Indebtedness of any Restricted Subsidiary that is not a Loan Party permitted hereunder;</w:t>
      </w:r>
    </w:p>
    <w:p>
      <w:pPr>
        <w:spacing w:after="0" w:line="225" w:lineRule="exact"/>
        <w:rPr>
          <w:rFonts w:ascii="Times New Roman" w:cs="Times New Roman" w:eastAsia="Times New Roman" w:hAnsi="Times New Roman"/>
          <w:sz w:val="18"/>
          <w:szCs w:val="18"/>
          <w:color w:val="auto"/>
        </w:rPr>
      </w:pPr>
    </w:p>
    <w:p>
      <w:pPr>
        <w:ind w:right="140" w:firstLine="436"/>
        <w:spacing w:after="0" w:line="282" w:lineRule="auto"/>
        <w:tabs>
          <w:tab w:leader="none" w:pos="65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in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that is secured by a Permitted Lien if the relevant restriction applies only to the Persons obligated under such Indebtedness and its Restricted Subsidiaries or the assets intended to secure such Indebtedness;</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74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restricting the granting of a security interest in IP Rights contained in licenses, sublicenses or cross-licenses by the Borrower and its Restricted Subsidiaries of such IP Rights, which licenses, sublicenses and cross-licenses were entered into in the ordinary course of business (in which case such restriction shall relate only to such IP Rights);</w:t>
      </w:r>
    </w:p>
    <w:p>
      <w:pPr>
        <w:spacing w:after="0" w:line="175" w:lineRule="exact"/>
        <w:rPr>
          <w:rFonts w:ascii="Times New Roman" w:cs="Times New Roman" w:eastAsia="Times New Roman" w:hAnsi="Times New Roman"/>
          <w:sz w:val="18"/>
          <w:szCs w:val="18"/>
          <w:color w:val="auto"/>
        </w:rPr>
      </w:pPr>
    </w:p>
    <w:p>
      <w:pPr>
        <w:ind w:right="400" w:firstLine="436"/>
        <w:spacing w:after="0" w:line="282" w:lineRule="auto"/>
        <w:tabs>
          <w:tab w:leader="none" w:pos="69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under or as a result of applicable Requirements of Law or the terms of any license, authorization, concession or permit issued or granted by a Governmental Authority;</w:t>
      </w:r>
    </w:p>
    <w:p>
      <w:pPr>
        <w:spacing w:after="0" w:line="161"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with respect to a Restricted Subsidiary that was previously an Unrestricted Subsidiary, pursuant to or by reason of an agreement that such Restricted Subsidiary is a party to or entered into before the date on which such Subsidiary became a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was not entered into in anticipation of an Unrestricted Subsidiary becoming a Restricted Subsidiary and any such restriction does not extend to any assets or property of the Borrower or any other Restricted Subsidiary other than the assets and property of such Subsidiary;</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in connection with any Qualified Receivables Facility or similar transaction permitted hereunder;</w:t>
      </w:r>
    </w:p>
    <w:p>
      <w:pPr>
        <w:spacing w:after="0" w:line="225" w:lineRule="exact"/>
        <w:rPr>
          <w:rFonts w:ascii="Times New Roman" w:cs="Times New Roman" w:eastAsia="Times New Roman" w:hAnsi="Times New Roman"/>
          <w:sz w:val="18"/>
          <w:szCs w:val="18"/>
          <w:color w:val="auto"/>
        </w:rPr>
      </w:pPr>
    </w:p>
    <w:p>
      <w:pPr>
        <w:ind w:right="620" w:firstLine="436"/>
        <w:spacing w:after="0" w:line="282" w:lineRule="auto"/>
        <w:tabs>
          <w:tab w:leader="none" w:pos="69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any Hedge Agreement, any agreement relating to Banking Services and/or any agreement relating to Permitted Treasury Arrangements; and</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65"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amendment, modification, restatement, renewal, increase, supplement, refunding, replacement or refinancing is, in the good faith judgment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Restricted Payments; Restricted Debt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pay or make, directly or indirectly, any Restricted Payment, except that: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69" w:right="459" w:bottom="1440" w:gutter="0" w:footer="0" w:header="0"/>
        </w:sectPr>
      </w:pPr>
    </w:p>
    <w:bookmarkStart w:id="505" w:name="page506"/>
    <w:bookmarkEnd w:id="505"/>
    <w:p>
      <w:pPr>
        <w:ind w:left="4" w:right="380" w:firstLine="419"/>
        <w:spacing w:after="0" w:line="282" w:lineRule="auto"/>
        <w:tabs>
          <w:tab w:leader="none" w:pos="691"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pay for the repurchase, redemption, retirement or other acquisition or retirement for value of Capital Stock of the Borrower or any subsidiary held by any Permitted Payee:</w:t>
      </w:r>
    </w:p>
    <w:p>
      <w:pPr>
        <w:spacing w:after="0" w:line="53" w:lineRule="exact"/>
        <w:rPr>
          <w:rFonts w:ascii="Times New Roman" w:cs="Times New Roman" w:eastAsia="Times New Roman" w:hAnsi="Times New Roman"/>
          <w:sz w:val="18"/>
          <w:szCs w:val="18"/>
          <w:color w:val="auto"/>
        </w:rPr>
      </w:pPr>
    </w:p>
    <w:p>
      <w:pPr>
        <w:ind w:left="544" w:right="260" w:firstLine="408"/>
        <w:spacing w:after="0" w:line="258" w:lineRule="auto"/>
        <w:tabs>
          <w:tab w:leader="none" w:pos="1239" w:val="left"/>
        </w:tabs>
        <w:numPr>
          <w:ilvl w:val="2"/>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Cash and Cash Equivalents (and including, to the extent constituting Restricted Payments, amounts paid in respect of promissory notes issued pursuant to </w:t>
      </w:r>
      <w:r>
        <w:rPr>
          <w:rFonts w:ascii="Times New Roman" w:cs="Times New Roman" w:eastAsia="Times New Roman" w:hAnsi="Times New Roman"/>
          <w:sz w:val="18"/>
          <w:szCs w:val="18"/>
          <w:u w:val="single" w:color="auto"/>
          <w:color w:val="auto"/>
        </w:rPr>
        <w:t>Section 6.01(o)</w:t>
      </w:r>
      <w:r>
        <w:rPr>
          <w:rFonts w:ascii="Times New Roman" w:cs="Times New Roman" w:eastAsia="Times New Roman" w:hAnsi="Times New Roman"/>
          <w:sz w:val="18"/>
          <w:szCs w:val="18"/>
          <w:color w:val="auto"/>
        </w:rPr>
        <w:t xml:space="preserve">), in an aggregate amount not to exceed (1) the greater of $450,000,000 and 20% of Consolidated Adjusted EBITDA as of the last day of the most recently ended Test Period in any Fiscal Year, which, if not used in any Fiscal Year, may be carried forward to subsequent Fiscal Years (until so applied) minus (2) any utilization of the Shared RP Amount in reliance on unused capacity under the immediately preceding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plus</w:t>
      </w:r>
    </w:p>
    <w:p>
      <w:pPr>
        <w:spacing w:after="0" w:line="75" w:lineRule="exact"/>
        <w:rPr>
          <w:rFonts w:ascii="Times New Roman" w:cs="Times New Roman" w:eastAsia="Times New Roman" w:hAnsi="Times New Roman"/>
          <w:sz w:val="18"/>
          <w:szCs w:val="18"/>
          <w:color w:val="auto"/>
        </w:rPr>
      </w:pPr>
    </w:p>
    <w:p>
      <w:pPr>
        <w:ind w:left="544" w:right="20" w:firstLine="408"/>
        <w:spacing w:after="0" w:line="261" w:lineRule="auto"/>
        <w:tabs>
          <w:tab w:leader="none" w:pos="1229" w:val="left"/>
        </w:tabs>
        <w:numPr>
          <w:ilvl w:val="2"/>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proceeds of any sale or issuance of, or of any capital contribution in respect of, the Capital Stock of the Borrower (to the extent such proceeds are contributed to the Borrower or any Restricted Subsidiary in respect of Qualified Capital Stock issued by the Borrower or such Restricted Subsidiary) (other than amounts constituting (x) a Cure Amount or (y) an Available Excluded Contribution Amount); plus</w:t>
      </w:r>
    </w:p>
    <w:p>
      <w:pPr>
        <w:spacing w:after="0" w:line="71"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net proceeds of any key-man life insurance policies; plus</w:t>
      </w:r>
    </w:p>
    <w:p>
      <w:pPr>
        <w:spacing w:after="0" w:line="117" w:lineRule="exact"/>
        <w:rPr>
          <w:rFonts w:ascii="Times New Roman" w:cs="Times New Roman" w:eastAsia="Times New Roman" w:hAnsi="Times New Roman"/>
          <w:sz w:val="18"/>
          <w:szCs w:val="18"/>
          <w:color w:val="auto"/>
        </w:rPr>
      </w:pPr>
    </w:p>
    <w:p>
      <w:pPr>
        <w:ind w:left="544" w:right="120" w:firstLine="408"/>
        <w:spacing w:after="0" w:line="282" w:lineRule="auto"/>
        <w:tabs>
          <w:tab w:leader="none" w:pos="1239" w:val="left"/>
        </w:tabs>
        <w:numPr>
          <w:ilvl w:val="2"/>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amount of any Cash bonuses otherwise payable to any Permitted Payee that are foregone in exchange for the receipt of Capital Stock of the Borrower pursuant to any compensation arrangement, including any deferred compensation plan;</w:t>
      </w:r>
    </w:p>
    <w:p>
      <w:pPr>
        <w:spacing w:after="0" w:line="53" w:lineRule="exact"/>
        <w:rPr>
          <w:rFonts w:ascii="Times New Roman" w:cs="Times New Roman" w:eastAsia="Times New Roman" w:hAnsi="Times New Roman"/>
          <w:sz w:val="18"/>
          <w:szCs w:val="18"/>
          <w:color w:val="auto"/>
        </w:rPr>
      </w:pPr>
    </w:p>
    <w:p>
      <w:pPr>
        <w:ind w:left="4" w:firstLine="419"/>
        <w:spacing w:after="0" w:line="256" w:lineRule="auto"/>
        <w:tabs>
          <w:tab w:leader="none" w:pos="741"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in an amount not to exceed (A)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(iii)(A)</w:t>
      </w:r>
      <w:r>
        <w:rPr>
          <w:rFonts w:ascii="Times New Roman" w:cs="Times New Roman" w:eastAsia="Times New Roman" w:hAnsi="Times New Roman"/>
          <w:sz w:val="18"/>
          <w:szCs w:val="18"/>
          <w:color w:val="auto"/>
        </w:rPr>
        <w:t xml:space="preserve"> plus (B)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(iii)(B)</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6.04(b)(vi)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6.06(r)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right="140" w:firstLine="419"/>
        <w:spacing w:after="0" w:line="253" w:lineRule="auto"/>
        <w:tabs>
          <w:tab w:leader="none" w:pos="731" w:val="left"/>
        </w:tabs>
        <w:numPr>
          <w:ilvl w:val="1"/>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(or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Borrower or any other issuer thereof) may (A) make payments in lieu of the issuance of fractional shares in connection with the exercise of warrants, options or other securities convertible into or exchangeable for Capital Stock of the Borrower, or in connection with dividends, share splits, reverse share splits (or any combination thereof) and mergers, consolidations, amalgamations or other business combinations, and acquisitions and other Investments permitted hereunder, (B) with respect to convertible or exchangeable Indebtedness, (i) make payments of interest and/or principal upon maturity thereof, upon any required repurchase thereof or upon any optional redemption thereof, (ii) make payments and/or deliveries to honor any conversion request by a holder thereof, (iii) make payments and/or deliveries in lieu of fractional shares in connection therewith and (iv) otherwise make payments and/or deliveries in respect thereof and</w:t>
      </w:r>
    </w:p>
    <w:p>
      <w:pPr>
        <w:spacing w:after="0" w:line="2" w:lineRule="exact"/>
        <w:rPr>
          <w:rFonts w:ascii="Times New Roman" w:cs="Times New Roman" w:eastAsia="Times New Roman" w:hAnsi="Times New Roman"/>
          <w:sz w:val="18"/>
          <w:szCs w:val="18"/>
          <w:color w:val="auto"/>
        </w:rPr>
      </w:pPr>
    </w:p>
    <w:p>
      <w:pPr>
        <w:ind w:left="4" w:right="60" w:hanging="4"/>
        <w:spacing w:after="0" w:line="255" w:lineRule="auto"/>
        <w:tabs>
          <w:tab w:leader="none" w:pos="288"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Restricted Payments consisting of (x) payments made or expected to be made in respect of withholding or similar Taxes payable by any Permitted Payee and/or (y) repurchases of Capital Stock in consideration of the payments described in </w:t>
      </w:r>
      <w:r>
        <w:rPr>
          <w:rFonts w:ascii="Times New Roman" w:cs="Times New Roman" w:eastAsia="Times New Roman" w:hAnsi="Times New Roman"/>
          <w:sz w:val="18"/>
          <w:szCs w:val="18"/>
          <w:u w:val="single" w:color="auto"/>
          <w:color w:val="auto"/>
        </w:rPr>
        <w:t>sub clause (x)</w:t>
      </w:r>
      <w:r>
        <w:rPr>
          <w:rFonts w:ascii="Times New Roman" w:cs="Times New Roman" w:eastAsia="Times New Roman" w:hAnsi="Times New Roman"/>
          <w:sz w:val="18"/>
          <w:szCs w:val="18"/>
          <w:color w:val="auto"/>
        </w:rPr>
        <w:t xml:space="preserve"> above, including demand repurchases in connection with the exercise of stock options and the issuance of restricted stock units or similar stock based awards;</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0544"/>
          </w:cols>
          <w:pgMar w:left="876" w:top="269" w:right="479" w:bottom="1440" w:gutter="0" w:footer="0" w:header="0"/>
        </w:sectPr>
      </w:pPr>
    </w:p>
    <w:bookmarkStart w:id="506" w:name="page507"/>
    <w:bookmarkEnd w:id="506"/>
    <w:p>
      <w:pPr>
        <w:ind w:firstLine="419"/>
        <w:spacing w:after="0" w:line="261" w:lineRule="auto"/>
        <w:tabs>
          <w:tab w:leader="none" w:pos="67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repurchase, redeem, acquire or retire Capital Stock upon (or make provisions for withholdings in connection with), the exercise or vesting of warrants, options or other securities convertible into or exchangeable for Capital Stock if such Capital Stock represents all or a portion of the exercise price of, or tax withholdings or similar taxes with respect to, such warrants, options or other securities convertible into or exchangeable for Capital Stock as part of a “cashless” exercise;</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Restricted Payments made as part of, or which are reasonably necessary or appropriate (as determined by the Borrower in good faith) to effect or facilitate, the Separation, including the Restructuring, the Borrower Distribution and the Distribution, or otherwise made pursuant to Separation Agreements and (ii) the payment of the Special Cash Payment and any Transaction Costs;</w:t>
      </w:r>
    </w:p>
    <w:p>
      <w:pPr>
        <w:spacing w:after="0" w:line="67" w:lineRule="exact"/>
        <w:rPr>
          <w:rFonts w:ascii="Times New Roman" w:cs="Times New Roman" w:eastAsia="Times New Roman" w:hAnsi="Times New Roman"/>
          <w:sz w:val="18"/>
          <w:szCs w:val="18"/>
          <w:color w:val="auto"/>
        </w:rPr>
      </w:pPr>
    </w:p>
    <w:p>
      <w:pPr>
        <w:jc w:val="both"/>
        <w:ind w:right="240" w:firstLine="419"/>
        <w:spacing w:after="0" w:line="261" w:lineRule="auto"/>
        <w:tabs>
          <w:tab w:leader="none" w:pos="77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Restricted Payments with respect to any Capital Stock in an amount not to exceed (A) the sum of (x) 7.00% per annum of the net Cash proceeds received by or contributed to the Borrower from any public offering and (y) an amount equal to 7.00% per annum of the Market Capitalization of the Borrower (or its direct or indirect parent company, as applicable) and its subsidiaries minus (B) any utilization of the Shared RP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40" w:firstLine="419"/>
        <w:spacing w:after="0" w:line="253" w:lineRule="auto"/>
        <w:tabs>
          <w:tab w:leader="none" w:pos="82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(i) redeem, repurchase, defease, discharge, retire or otherwise acquire any Capital Stock (“</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of the Borrower and/or any Restricted Subsidiary in exchange for, or out of the proceeds of the substantially concurrent sale (other than to the Borrower and/or any Restricted Subsidiary) of, Qualified Capital Stock of the Borrower to the extent any such proceeds are contributed to the capital of the Borrower and/or any Restricted Subsidiary in respect of Qualified Capital Stock (“</w:t>
      </w:r>
      <w:r>
        <w:rPr>
          <w:rFonts w:ascii="Times New Roman" w:cs="Times New Roman" w:eastAsia="Times New Roman" w:hAnsi="Times New Roman"/>
          <w:sz w:val="18"/>
          <w:szCs w:val="18"/>
          <w:b w:val="1"/>
          <w:bCs w:val="1"/>
          <w:color w:val="auto"/>
        </w:rPr>
        <w:t>Refunding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(ii) declare and pay dividends on any Treasury Capital Stock out of the proceeds of the substantially concurrent sale or issuance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(other than to the Borrower or a Restricted Subsidiary) of any Refunding Capital Stock and (iii) if, immediately prior to the retirement of Treasury Capital Stock, the declaration and payment of dividends thereon by the Borrower was permitted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declaration and payment of dividends on the Refunding Capital Stock in an aggregate amount no greater than the aggregate amount of dividends on such Treasury Capital Stock that was permitted under the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(other than in connection with the issuance of such Refunding Capital Stock) immediately prior to such redemption, repurchase, defeasance, discharge, retirement or other acquisition;</w:t>
      </w:r>
    </w:p>
    <w:p>
      <w:pPr>
        <w:spacing w:after="0" w:line="86" w:lineRule="exact"/>
        <w:rPr>
          <w:rFonts w:ascii="Times New Roman" w:cs="Times New Roman" w:eastAsia="Times New Roman" w:hAnsi="Times New Roman"/>
          <w:sz w:val="18"/>
          <w:szCs w:val="18"/>
          <w:color w:val="auto"/>
        </w:rPr>
      </w:pPr>
    </w:p>
    <w:p>
      <w:pPr>
        <w:ind w:right="260" w:firstLine="419"/>
        <w:spacing w:after="0" w:line="282" w:lineRule="auto"/>
        <w:tabs>
          <w:tab w:leader="none" w:pos="72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the Borrower may consummate any transaction permitted by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6.06(j)</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419"/>
        <w:spacing w:after="0" w:line="261" w:lineRule="auto"/>
        <w:tabs>
          <w:tab w:leader="none" w:pos="678"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in an aggregate amount not to exceed (A) the greater of $562,500,000 and 25% of Consolidated Adjusted EBITDA as of the last day of the most recently ended Test Period minus (B)(1) any utilization of the Shared RP Amount in reliance on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any utilization of unused capacity under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6.01(mm)</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560"/>
          </w:cols>
          <w:pgMar w:left="880" w:top="269" w:right="459" w:bottom="1440" w:gutter="0" w:footer="0" w:header="0"/>
        </w:sectPr>
      </w:pPr>
    </w:p>
    <w:bookmarkStart w:id="507" w:name="page508"/>
    <w:bookmarkEnd w:id="507"/>
    <w:p>
      <w:pPr>
        <w:ind w:right="40" w:firstLine="419"/>
        <w:spacing w:after="0" w:line="257" w:lineRule="auto"/>
        <w:tabs>
          <w:tab w:leader="none" w:pos="728"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pay 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the provisions of this</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80" w:firstLine="419"/>
        <w:spacing w:after="0" w:line="282" w:lineRule="auto"/>
        <w:tabs>
          <w:tab w:leader="none" w:pos="828"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additional Restricted Payments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Total Leverage Ratio would not exceed 2.00:1.00, calculated on a Pro Forma Basis;</w:t>
      </w:r>
    </w:p>
    <w:p>
      <w:pPr>
        <w:spacing w:after="0" w:line="53"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any Restricted Payment constituting the distribution or payment of Receivables Fees;</w:t>
      </w:r>
    </w:p>
    <w:p>
      <w:pPr>
        <w:spacing w:after="0" w:line="117"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taxable period for which the Borrower and/or any of its Subsidiaries are members of a consolidated, combined, affiliated, unitary or similar tax group for U.S. federal and/or applicable state, local or non-U.S. tax purposes of which a direct or indirect parent of the Borrower is the common parent, or for which the Borrower is a disregarded entity for U.S. federal income tax purposes that is wholly-owned (directly or indirectly) by a C corporation for U.S. federal and/or applicable state, local or foreign tax purposes, Restricted Payments to any direct or indirect parent of the Borrower in an amount not to exceed the amount of any U.S. federal, state, local and/or non-U.S. income taxes that the Borrower and/or its Subsidiaries, as applicable, would have paid for such taxable period had the Borrower and/or its Subsidiaries, as applicable, been a stand-alone corporate taxpayer or a stand-alone corporate group;</w:t>
      </w:r>
    </w:p>
    <w:p>
      <w:pPr>
        <w:spacing w:after="0" w:line="80"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additional Restricted Payments constituting any part of a Permitted Reorganization;</w:t>
      </w:r>
    </w:p>
    <w:p>
      <w:pPr>
        <w:spacing w:after="0" w:line="117" w:lineRule="exact"/>
        <w:rPr>
          <w:rFonts w:ascii="Times New Roman" w:cs="Times New Roman" w:eastAsia="Times New Roman" w:hAnsi="Times New Roman"/>
          <w:sz w:val="18"/>
          <w:szCs w:val="18"/>
          <w:color w:val="auto"/>
        </w:rPr>
      </w:pPr>
    </w:p>
    <w:p>
      <w:pPr>
        <w:ind w:right="60" w:firstLine="419"/>
        <w:spacing w:after="0" w:line="256" w:lineRule="auto"/>
        <w:tabs>
          <w:tab w:leader="none" w:pos="868"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make a distribution, by dividend or otherwise, of the Capital Stock of, or debt owed to any Loan Party or any Restricted Subsidiary by, any Unrestricted Subsidiary (or a Restricted Subsidiary that owns one or more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 and immaterial assets incidental to the ownership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Capital Stock or debt that represents an Investment by the Borrower or any Restricted Subsidiary shall be deemed to continue to charge (as utilization) the respective clause under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pursuant to which such Investment was made;</w:t>
      </w:r>
    </w:p>
    <w:p>
      <w:pPr>
        <w:spacing w:after="0" w:line="79" w:lineRule="exact"/>
        <w:rPr>
          <w:rFonts w:ascii="Times New Roman" w:cs="Times New Roman" w:eastAsia="Times New Roman" w:hAnsi="Times New Roman"/>
          <w:sz w:val="18"/>
          <w:szCs w:val="18"/>
          <w:color w:val="auto"/>
        </w:rPr>
      </w:pPr>
    </w:p>
    <w:p>
      <w:pPr>
        <w:ind w:right="20" w:firstLine="419"/>
        <w:spacing w:after="0" w:line="289" w:lineRule="auto"/>
        <w:tabs>
          <w:tab w:leader="none" w:pos="918" w:val="left"/>
        </w:tabs>
        <w:numPr>
          <w:ilvl w:val="0"/>
          <w:numId w:val="6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make payments and distributions to satisfy dissenters’ rights (including in connection with, or as a result of, the exercise of appraisal rights and the settlement of any claims or actions (whether actual, contingent or potential)), pursuant to or in connection with any acquisition, merger, consolidation, amalgamation or Disposition that complies with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or any other transaction permitted hereunder;</w:t>
      </w:r>
    </w:p>
    <w:p>
      <w:pPr>
        <w:spacing w:after="0" w:line="49" w:lineRule="exact"/>
        <w:rPr>
          <w:rFonts w:ascii="Times New Roman" w:cs="Times New Roman" w:eastAsia="Times New Roman" w:hAnsi="Times New Roman"/>
          <w:sz w:val="17"/>
          <w:szCs w:val="17"/>
          <w:color w:val="auto"/>
        </w:rPr>
      </w:pPr>
    </w:p>
    <w:p>
      <w:pPr>
        <w:ind w:left="820" w:hanging="401"/>
        <w:spacing w:after="0"/>
        <w:tabs>
          <w:tab w:leader="none" w:pos="820"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payments made for the benefit of the Borrower or any Restricted</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Subsidiary to the extent such payments could have been made by the Borrower or any Restricted Subsidiary because such payments (A) would not otherwise be Restricted Payments and (B) would be permitted by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560"/>
          </w:cols>
          <w:pgMar w:left="880" w:top="269" w:right="459" w:bottom="1440" w:gutter="0" w:footer="0" w:header="0"/>
        </w:sectPr>
      </w:pPr>
    </w:p>
    <w:bookmarkStart w:id="508" w:name="page509"/>
    <w:bookmarkEnd w:id="508"/>
    <w:p>
      <w:pPr>
        <w:ind w:left="400" w:right="100" w:firstLine="419"/>
        <w:spacing w:after="0" w:line="258" w:lineRule="auto"/>
        <w:tabs>
          <w:tab w:leader="none" w:pos="1168"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may make a Restricted Payment in respect of any payments or deliveries in connection with (a) a Permitted Bond Hedge Transaction or (b) Permitted Warrant Transaction or Packaged Rights (i) in cash, in the case of the payment of the premium in entering into any such Permitted Bond Hedge Transaction, and otherwise by delivery of shares of the Borrower’s Qualified Capital Stock or (ii) otherwise, to the extent of a payment or delivery received from a Permitted Bond Hedge Transaction (whether such payment or delivery on the Permitted Warrant Transaction is effected by netting, set-off or otherwise);</w:t>
      </w:r>
    </w:p>
    <w:p>
      <w:pPr>
        <w:spacing w:after="0" w:line="75" w:lineRule="exact"/>
        <w:rPr>
          <w:rFonts w:ascii="Times New Roman" w:cs="Times New Roman" w:eastAsia="Times New Roman" w:hAnsi="Times New Roman"/>
          <w:sz w:val="18"/>
          <w:szCs w:val="18"/>
          <w:color w:val="auto"/>
        </w:rPr>
      </w:pPr>
    </w:p>
    <w:p>
      <w:pPr>
        <w:ind w:left="400" w:right="240" w:firstLine="419"/>
        <w:spacing w:after="0" w:line="266" w:lineRule="auto"/>
        <w:tabs>
          <w:tab w:leader="none" w:pos="1218"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a Restricted Payment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w:t>
      </w:r>
    </w:p>
    <w:p>
      <w:pPr>
        <w:spacing w:after="0" w:line="67" w:lineRule="exact"/>
        <w:rPr>
          <w:rFonts w:ascii="Times New Roman" w:cs="Times New Roman" w:eastAsia="Times New Roman" w:hAnsi="Times New Roman"/>
          <w:sz w:val="18"/>
          <w:szCs w:val="18"/>
          <w:color w:val="auto"/>
        </w:rPr>
      </w:pPr>
    </w:p>
    <w:p>
      <w:pPr>
        <w:ind w:left="400" w:right="140" w:firstLine="419"/>
        <w:spacing w:after="0" w:line="282" w:lineRule="auto"/>
        <w:tabs>
          <w:tab w:leader="none" w:pos="1268"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or Event of Default has occurred and is continuing, the declaration and payment of dividends to holders of any class or series of Disqualified Stock of the Borrower or its Restricted Subsidiaries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00" w:right="720" w:firstLine="419"/>
        <w:spacing w:after="0" w:line="282" w:lineRule="auto"/>
        <w:tabs>
          <w:tab w:leader="none" w:pos="1318" w:val="left"/>
        </w:tabs>
        <w:numPr>
          <w:ilvl w:val="1"/>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class B common stock of the Borrower into class A common stock of the Borrower in accordance with its Organizational Documents.</w:t>
      </w:r>
    </w:p>
    <w:p>
      <w:pPr>
        <w:spacing w:after="0" w:line="161" w:lineRule="exact"/>
        <w:rPr>
          <w:rFonts w:ascii="Times New Roman" w:cs="Times New Roman" w:eastAsia="Times New Roman" w:hAnsi="Times New Roman"/>
          <w:sz w:val="18"/>
          <w:szCs w:val="18"/>
          <w:color w:val="auto"/>
        </w:rPr>
      </w:pPr>
    </w:p>
    <w:p>
      <w:pPr>
        <w:ind w:left="-40" w:right="120" w:firstLine="436"/>
        <w:spacing w:after="0" w:line="261" w:lineRule="auto"/>
        <w:tabs>
          <w:tab w:leader="none" w:pos="655" w:val="left"/>
        </w:tabs>
        <w:numPr>
          <w:ilvl w:val="0"/>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nor shall it permit any Restricted Subsidiary to, make any voluntary prepayment in Cash on or in respect of principal of or interest on any Restricted Debt, including any sinking fund or similar deposit, on account of the purchase, redemption, retirement, acquisition, cancellation or termination of any Restricted Debt more than one year prior to the scheduled maturity date thereof (collectively, “</w:t>
      </w:r>
      <w:r>
        <w:rPr>
          <w:rFonts w:ascii="Times New Roman" w:cs="Times New Roman" w:eastAsia="Times New Roman" w:hAnsi="Times New Roman"/>
          <w:sz w:val="18"/>
          <w:szCs w:val="18"/>
          <w:b w:val="1"/>
          <w:bCs w:val="1"/>
          <w:color w:val="auto"/>
        </w:rPr>
        <w:t>Restricted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Payments</w:t>
      </w:r>
      <w:r>
        <w:rPr>
          <w:rFonts w:ascii="Times New Roman" w:cs="Times New Roman" w:eastAsia="Times New Roman" w:hAnsi="Times New Roman"/>
          <w:sz w:val="18"/>
          <w:szCs w:val="18"/>
          <w:color w:val="auto"/>
        </w:rPr>
        <w:t>”), except:</w:t>
      </w:r>
    </w:p>
    <w:p>
      <w:pPr>
        <w:spacing w:after="0" w:line="71" w:lineRule="exact"/>
        <w:rPr>
          <w:rFonts w:ascii="Times New Roman" w:cs="Times New Roman" w:eastAsia="Times New Roman" w:hAnsi="Times New Roman"/>
          <w:sz w:val="18"/>
          <w:szCs w:val="18"/>
          <w:color w:val="auto"/>
        </w:rPr>
      </w:pPr>
    </w:p>
    <w:p>
      <w:pPr>
        <w:ind w:left="400" w:right="20" w:firstLine="419"/>
        <w:spacing w:after="0" w:line="282" w:lineRule="auto"/>
        <w:tabs>
          <w:tab w:leader="none" w:pos="103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refinancing, purchase, defeasance, redemption, repurchase, repayment or other acquisition or retirement of any Restricted Debt made by exchange for, or out of the proceeds of, Refinancing Indebtedness permitted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80" w:hanging="261"/>
        <w:spacing w:after="0"/>
        <w:tabs>
          <w:tab w:leader="none" w:pos="1080"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or to enable another Person to make, an “applicable high yield discount obligation” catch-up payment;</w:t>
      </w:r>
    </w:p>
    <w:p>
      <w:pPr>
        <w:spacing w:after="0" w:line="117" w:lineRule="exact"/>
        <w:rPr>
          <w:rFonts w:ascii="Times New Roman" w:cs="Times New Roman" w:eastAsia="Times New Roman" w:hAnsi="Times New Roman"/>
          <w:sz w:val="18"/>
          <w:szCs w:val="18"/>
          <w:color w:val="auto"/>
        </w:rPr>
      </w:pPr>
    </w:p>
    <w:p>
      <w:pPr>
        <w:ind w:left="400" w:firstLine="419"/>
        <w:spacing w:after="0" w:line="266" w:lineRule="auto"/>
        <w:tabs>
          <w:tab w:leader="none" w:pos="113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regularly scheduled principal and interest (including any penalty interest, if applicable) and payments of fees, expenses and indemnification obligations as and when due (other than payments with respect to Restricted Debt that are prohibited by the subordination provisions thereof);</w:t>
      </w:r>
    </w:p>
    <w:p>
      <w:pPr>
        <w:spacing w:after="0" w:line="67" w:lineRule="exact"/>
        <w:rPr>
          <w:rFonts w:ascii="Times New Roman" w:cs="Times New Roman" w:eastAsia="Times New Roman" w:hAnsi="Times New Roman"/>
          <w:sz w:val="18"/>
          <w:szCs w:val="18"/>
          <w:color w:val="auto"/>
        </w:rPr>
      </w:pPr>
    </w:p>
    <w:p>
      <w:pPr>
        <w:ind w:left="400" w:right="40" w:firstLine="419"/>
        <w:spacing w:after="0" w:line="266" w:lineRule="auto"/>
        <w:tabs>
          <w:tab w:leader="none" w:pos="112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Debt Payments in an aggregate amount not to exceed (A)(1) the greater of $562,500,000 and 25% of Consolidated Adjusted EBITDA as of the last day of the most recently ended Test Period minus (2) any utilization of unused capacity under the immediately preceding </w:t>
      </w:r>
      <w:r>
        <w:rPr>
          <w:rFonts w:ascii="Times New Roman" w:cs="Times New Roman" w:eastAsia="Times New Roman" w:hAnsi="Times New Roman"/>
          <w:sz w:val="18"/>
          <w:szCs w:val="18"/>
          <w:u w:val="single" w:color="auto"/>
          <w:color w:val="auto"/>
        </w:rPr>
        <w:t>clause (A)(1)</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6.06(q)(ii)</w:t>
      </w:r>
      <w:r>
        <w:rPr>
          <w:rFonts w:ascii="Times New Roman" w:cs="Times New Roman" w:eastAsia="Times New Roman" w:hAnsi="Times New Roman"/>
          <w:sz w:val="18"/>
          <w:szCs w:val="18"/>
          <w:color w:val="auto"/>
        </w:rPr>
        <w:t xml:space="preserve"> plus (B) the Shared RP Amount at such time;</w:t>
      </w:r>
    </w:p>
    <w:p>
      <w:pPr>
        <w:spacing w:after="0" w:line="67" w:lineRule="exact"/>
        <w:rPr>
          <w:rFonts w:ascii="Times New Roman" w:cs="Times New Roman" w:eastAsia="Times New Roman" w:hAnsi="Times New Roman"/>
          <w:sz w:val="18"/>
          <w:szCs w:val="18"/>
          <w:color w:val="auto"/>
        </w:rPr>
      </w:pPr>
    </w:p>
    <w:p>
      <w:pPr>
        <w:ind w:left="400" w:right="120" w:firstLine="419"/>
        <w:spacing w:after="0" w:line="261" w:lineRule="auto"/>
        <w:tabs>
          <w:tab w:leader="none" w:pos="1078" w:val="left"/>
        </w:tabs>
        <w:numPr>
          <w:ilvl w:val="1"/>
          <w:numId w:val="6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Debt Payments in exchange for, or with proceeds of any issuance of, Qualified Capital Stock of the Borrower and/or any Restricted Subsidiary and/or any capital contribution in respect of Qualified Capital Stock of the Borrower or any Restricted Subsidiary,</w:t>
      </w:r>
    </w:p>
    <w:p>
      <w:pPr>
        <w:ind w:left="40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Restricted Debt Payments as a result of the conversion of all or any portion of any Restricted Debt into Qualified Capital Stock of the Borrower and/or any Restricted Subsidiary and (C) to the extent constituting a Restricted Debt Payment, payment-in-kind interest with respect to any Restricted Debt that is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0940"/>
          </w:cols>
          <w:pgMar w:left="480" w:top="269" w:right="479" w:bottom="1440" w:gutter="0" w:footer="0" w:header="0"/>
        </w:sectPr>
      </w:pPr>
    </w:p>
    <w:bookmarkStart w:id="509" w:name="page510"/>
    <w:bookmarkEnd w:id="509"/>
    <w:p>
      <w:pPr>
        <w:ind w:left="440" w:firstLine="419"/>
        <w:spacing w:after="0" w:line="256" w:lineRule="auto"/>
        <w:tabs>
          <w:tab w:leader="none" w:pos="1168"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Restricted Debt Payments in an aggregate amount not to exceed (A)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(vi)(A)</w:t>
      </w:r>
      <w:r>
        <w:rPr>
          <w:rFonts w:ascii="Times New Roman" w:cs="Times New Roman" w:eastAsia="Times New Roman" w:hAnsi="Times New Roman"/>
          <w:sz w:val="18"/>
          <w:szCs w:val="18"/>
          <w:color w:val="auto"/>
        </w:rPr>
        <w:t xml:space="preserve"> plus (B)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(vi)(B)</w:t>
      </w:r>
      <w:r>
        <w:rPr>
          <w:rFonts w:ascii="Times New Roman" w:cs="Times New Roman" w:eastAsia="Times New Roman" w:hAnsi="Times New Roman"/>
          <w:sz w:val="18"/>
          <w:szCs w:val="18"/>
          <w:color w:val="auto"/>
        </w:rPr>
        <w:t xml:space="preserve"> (plus, without duplication of amounts previously referred to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6.06(r)</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218"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Restricted Debt Payments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the Total Leverage Ratio would not exceed 2.00:1.00, calculated on a Pro Forma Basis;</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268"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Debt Payments in exchange for, or with proceeds of any issuance of, Disqualified Capital Stock of the Borrower and/or any Restricted Subsidiary and/or any capital contribution in respect of Disqualified Capital Stock of the Borrower or any Restricted Subsidiary and/or (B) Restricted Debt Payments as a result of the conversion of all or any portion of any Restricted Debt into Disqualified Capital Stock of the Borrower and/or any Restricted Subsidiary;</w:t>
      </w:r>
    </w:p>
    <w:p>
      <w:pPr>
        <w:spacing w:after="0" w:line="71"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Debt Payments in connection with the Separation or otherwise pursuant to Separation Agreements to the extent consisting of prepayments of intercompany Indebtedness;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prepayments of Restricted Debt (and related payments of interest) made with Declined Proceeds;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6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Debt Payments in respect of Restricted Debt permitted to be assumed pursuant to </w:t>
      </w:r>
      <w:r>
        <w:rPr>
          <w:rFonts w:ascii="Times New Roman" w:cs="Times New Roman" w:eastAsia="Times New Roman" w:hAnsi="Times New Roman"/>
          <w:sz w:val="18"/>
          <w:szCs w:val="18"/>
          <w:u w:val="single" w:color="auto"/>
          <w:color w:val="auto"/>
        </w:rPr>
        <w:t>Section 6.01(n)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The Borrower and each other Loan Party shall not, nor shall it permit any Restricted Subsidiary to, make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 any other Person except:</w:t>
      </w:r>
    </w:p>
    <w:p>
      <w:pPr>
        <w:spacing w:after="0" w:line="99" w:lineRule="exact"/>
        <w:rPr>
          <w:sz w:val="20"/>
          <w:szCs w:val="20"/>
          <w:color w:val="auto"/>
        </w:rPr>
      </w:pPr>
    </w:p>
    <w:p>
      <w:pPr>
        <w:ind w:right="400" w:firstLine="436"/>
        <w:spacing w:after="0" w:line="282" w:lineRule="auto"/>
        <w:tabs>
          <w:tab w:leader="none" w:pos="68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Cash Equivalents or Investment Grade Securities, or investments that were Cash, Cash Equivalents or Investment Grade Securities at the time made;</w:t>
      </w:r>
    </w:p>
    <w:p>
      <w:pPr>
        <w:spacing w:after="0" w:line="161"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existing on the Closing Date in the Borrower, any Subsidiary and/or any Joint Venture and any modification, replacement, renewal or extension thereof so long as no such modification, replacement, renewal or extension thereof increases the amount of such Investment except by the terms thereof (including as a result of the accrual or accretion of interest or original issue discount or the issuance of payment-in-kind securities) or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(ii) Investments made after the Closing Date among the Borrower and/or one or more Restricted Subsidiaries or in any Person that will, upon such Investment, become a Restricted Subsidiary;</w:t>
      </w:r>
    </w:p>
    <w:p>
      <w:pPr>
        <w:spacing w:after="0" w:line="183" w:lineRule="exact"/>
        <w:rPr>
          <w:rFonts w:ascii="Times New Roman" w:cs="Times New Roman" w:eastAsia="Times New Roman" w:hAnsi="Times New Roman"/>
          <w:sz w:val="18"/>
          <w:szCs w:val="18"/>
          <w:color w:val="auto"/>
        </w:rPr>
      </w:pPr>
    </w:p>
    <w:p>
      <w:pPr>
        <w:ind w:firstLine="436"/>
        <w:spacing w:after="0" w:line="261" w:lineRule="auto"/>
        <w:tabs>
          <w:tab w:leader="none" w:pos="685" w:val="left"/>
        </w:tabs>
        <w:numPr>
          <w:ilvl w:val="0"/>
          <w:numId w:val="6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 constituting deposits, prepayments and/or other credits to suppliers or other trade counterparties, (ii) made in connection with obtaining, maintaining or renewing client and customer contracts and/or (iii) in the form of advances made to distributors, suppliers, licensors and licensees, in each case, in the ordinary course of business or, in the case of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to the extent necessary to maintain the ordinary course of supplies to the Borrower or any Restricted Subsidiary;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0"/>
          </w:cols>
          <w:pgMar w:left="440" w:top="269" w:right="459" w:bottom="1440" w:gutter="0" w:footer="0" w:header="0"/>
        </w:sectPr>
      </w:pPr>
    </w:p>
    <w:bookmarkStart w:id="510" w:name="page511"/>
    <w:bookmarkEnd w:id="510"/>
    <w:p>
      <w:pPr>
        <w:ind w:left="4" w:right="160" w:firstLine="436"/>
        <w:spacing w:after="0" w:line="266" w:lineRule="auto"/>
        <w:tabs>
          <w:tab w:leader="none" w:pos="699"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in (i) any Unrestricted Subsidiary (including any Joint Venture that is an Unrestricted Subsidiary) or (ii) any Similar Business (including any Joint Venture engaged in a Similar Business), in an outstanding amount in the aggregate for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not to exceed the greater of $562,500,000 and 25% of Consolidated Adjusted EBITDA as of the last day of the most recently ended Test Period;</w:t>
      </w:r>
    </w:p>
    <w:p>
      <w:pPr>
        <w:spacing w:after="0" w:line="175"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89" w:val="left"/>
        </w:tabs>
        <w:numPr>
          <w:ilvl w:val="1"/>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Permitted Acquisitions and (ii) any Investment in any Restricted Subsidiary that is not a Loan Party in an amount required to permit such Restricted Subsidiary to consummate a Permitted Acquisition;</w:t>
      </w:r>
    </w:p>
    <w:p>
      <w:pPr>
        <w:spacing w:after="0" w:line="161" w:lineRule="exact"/>
        <w:rPr>
          <w:rFonts w:ascii="Times New Roman" w:cs="Times New Roman" w:eastAsia="Times New Roman" w:hAnsi="Times New Roman"/>
          <w:sz w:val="18"/>
          <w:szCs w:val="18"/>
          <w:color w:val="auto"/>
        </w:rPr>
      </w:pPr>
    </w:p>
    <w:p>
      <w:pPr>
        <w:jc w:val="both"/>
        <w:ind w:left="4" w:right="140" w:firstLine="436"/>
        <w:spacing w:after="0" w:line="276" w:lineRule="auto"/>
        <w:tabs>
          <w:tab w:leader="none" w:pos="669" w:val="left"/>
        </w:tabs>
        <w:numPr>
          <w:ilvl w:val="1"/>
          <w:numId w:val="6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Investments existing on, or contractually committed to or contemplated as of, the Closing Date and, with respect to any such Investment in excess of $10,000,000, described on </w:t>
      </w:r>
      <w:r>
        <w:rPr>
          <w:rFonts w:ascii="Times New Roman" w:cs="Times New Roman" w:eastAsia="Times New Roman" w:hAnsi="Times New Roman"/>
          <w:sz w:val="17"/>
          <w:szCs w:val="17"/>
          <w:u w:val="single" w:color="auto"/>
          <w:color w:val="auto"/>
        </w:rPr>
        <w:t>Schedule 6.06</w:t>
      </w:r>
      <w:r>
        <w:rPr>
          <w:rFonts w:ascii="Times New Roman" w:cs="Times New Roman" w:eastAsia="Times New Roman" w:hAnsi="Times New Roman"/>
          <w:sz w:val="17"/>
          <w:szCs w:val="17"/>
          <w:color w:val="auto"/>
        </w:rPr>
        <w:t xml:space="preserve"> and (ii) any modification, replacement, renewal or extension of any Investment described in </w:t>
      </w:r>
      <w:r>
        <w:rPr>
          <w:rFonts w:ascii="Times New Roman" w:cs="Times New Roman" w:eastAsia="Times New Roman" w:hAnsi="Times New Roman"/>
          <w:sz w:val="17"/>
          <w:szCs w:val="17"/>
          <w:u w:val="single" w:color="auto"/>
          <w:color w:val="auto"/>
        </w:rPr>
        <w:t>clause</w:t>
      </w:r>
    </w:p>
    <w:p>
      <w:pPr>
        <w:ind w:left="4" w:hanging="4"/>
        <w:spacing w:after="0" w:line="255" w:lineRule="auto"/>
        <w:tabs>
          <w:tab w:leader="none" w:pos="219" w:val="left"/>
        </w:tabs>
        <w:numPr>
          <w:ilvl w:val="0"/>
          <w:numId w:val="6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so long as no such modification, renewal or extension thereof increases the amount of such Investment except by the terms thereof (including as a result of the accrual or accretion of interest or original issue discount or the issuance of payment-in-kind securities) or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u w:val="single" w:color="auto"/>
          <w:color w:val="auto"/>
        </w:rPr>
      </w:pPr>
    </w:p>
    <w:p>
      <w:pPr>
        <w:ind w:left="4" w:right="540" w:firstLine="436"/>
        <w:spacing w:after="0" w:line="282" w:lineRule="auto"/>
        <w:tabs>
          <w:tab w:leader="none" w:pos="69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received in lieu of Cash in connection with any Disposition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or any other disposition of assets not constituting a Disposition;</w:t>
      </w:r>
    </w:p>
    <w:p>
      <w:pPr>
        <w:spacing w:after="0" w:line="161"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9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Permitted Payees to the extent permitted by Requirements of Law, either (i) in an aggregate principal amount not to exceed the greater of $225,000,000 and 10% of Consolidated Adjusted EBITDA as of the last day of the most recently ended Test Period at any one time outstanding, (ii) so long as the proceeds of such loan or advance are substantially contemporaneously contributed to the Borrower for the purchase of such Capital Stock or (iii) so long as no Cash or Cash Equivalents are advanced in connection with such loan or advance;</w:t>
      </w:r>
    </w:p>
    <w:p>
      <w:pPr>
        <w:spacing w:after="0" w:line="179"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5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rebates and extensions of credit in the nature of accounts receivable or notes receivable arising from the grant of trade credit in the ordinary course of business;</w:t>
      </w:r>
    </w:p>
    <w:p>
      <w:pPr>
        <w:spacing w:after="0" w:line="161" w:lineRule="exact"/>
        <w:rPr>
          <w:rFonts w:ascii="Times New Roman" w:cs="Times New Roman" w:eastAsia="Times New Roman" w:hAnsi="Times New Roman"/>
          <w:sz w:val="18"/>
          <w:szCs w:val="18"/>
          <w:color w:val="auto"/>
        </w:rPr>
      </w:pPr>
    </w:p>
    <w:p>
      <w:pPr>
        <w:ind w:left="4" w:firstLine="436"/>
        <w:spacing w:after="0" w:line="258" w:lineRule="auto"/>
        <w:tabs>
          <w:tab w:leader="none" w:pos="65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(or resulting from) Indebtedness permitted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(including guarantees thereof) (other than Indebtedness permitted under </w:t>
      </w:r>
      <w:r>
        <w:rPr>
          <w:rFonts w:ascii="Times New Roman" w:cs="Times New Roman" w:eastAsia="Times New Roman" w:hAnsi="Times New Roman"/>
          <w:sz w:val="18"/>
          <w:szCs w:val="18"/>
          <w:u w:val="single" w:color="auto"/>
          <w:color w:val="auto"/>
        </w:rPr>
        <w:t>Sections 6.01(b)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Permitted Liens, Restricted Payments permitted under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Restricted Debt Payments permitted by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mergers, consolidations, amalgamations, liquidations, windings up, dissolutions or Dispositions permitted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6.07(a)</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sub-clause (ii)(y)</w:t>
      </w:r>
      <w:r>
        <w:rPr>
          <w:rFonts w:ascii="Times New Roman" w:cs="Times New Roman" w:eastAsia="Times New Roman" w:hAnsi="Times New Roman"/>
          <w:sz w:val="18"/>
          <w:szCs w:val="18"/>
          <w:color w:val="auto"/>
        </w:rPr>
        <w:t xml:space="preserve"> of the proviso thereto), </w:t>
      </w:r>
      <w:r>
        <w:rPr>
          <w:rFonts w:ascii="Times New Roman" w:cs="Times New Roman" w:eastAsia="Times New Roman" w:hAnsi="Times New Roman"/>
          <w:sz w:val="18"/>
          <w:szCs w:val="18"/>
          <w:u w:val="single" w:color="auto"/>
          <w:color w:val="auto"/>
        </w:rPr>
        <w:t>Section 6.07(c)(ii)</w:t>
      </w:r>
      <w:r>
        <w:rPr>
          <w:rFonts w:ascii="Times New Roman" w:cs="Times New Roman" w:eastAsia="Times New Roman" w:hAnsi="Times New Roman"/>
          <w:sz w:val="18"/>
          <w:szCs w:val="18"/>
          <w:color w:val="auto"/>
        </w:rPr>
        <w:t xml:space="preserve"> (if made in reliance on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therein) and </w:t>
      </w:r>
      <w:r>
        <w:rPr>
          <w:rFonts w:ascii="Times New Roman" w:cs="Times New Roman" w:eastAsia="Times New Roman" w:hAnsi="Times New Roman"/>
          <w:sz w:val="18"/>
          <w:szCs w:val="18"/>
          <w:u w:val="single" w:color="auto"/>
          <w:color w:val="auto"/>
        </w:rPr>
        <w:t>Section 6.07(g)</w:t>
      </w:r>
      <w:r>
        <w:rPr>
          <w:rFonts w:ascii="Times New Roman" w:cs="Times New Roman" w:eastAsia="Times New Roman" w:hAnsi="Times New Roman"/>
          <w:sz w:val="18"/>
          <w:szCs w:val="18"/>
          <w:color w:val="auto"/>
        </w:rPr>
        <w:t xml:space="preserve"> and transactions permitted by </w:t>
      </w:r>
      <w:r>
        <w:rPr>
          <w:rFonts w:ascii="Times New Roman" w:cs="Times New Roman" w:eastAsia="Times New Roman" w:hAnsi="Times New Roman"/>
          <w:sz w:val="18"/>
          <w:szCs w:val="18"/>
          <w:u w:val="single" w:color="auto"/>
          <w:color w:val="auto"/>
        </w:rPr>
        <w:t>Section 5.18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5.18(d)</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and customary trade arrangements with customers, vendors, suppliers, licensors, sublicensors, licensees and sublicensees;</w:t>
      </w:r>
    </w:p>
    <w:p>
      <w:pPr>
        <w:spacing w:after="0" w:line="161" w:lineRule="exact"/>
        <w:rPr>
          <w:rFonts w:ascii="Times New Roman" w:cs="Times New Roman" w:eastAsia="Times New Roman" w:hAnsi="Times New Roman"/>
          <w:sz w:val="18"/>
          <w:szCs w:val="18"/>
          <w:color w:val="auto"/>
        </w:rPr>
      </w:pPr>
    </w:p>
    <w:p>
      <w:pPr>
        <w:ind w:left="4" w:right="360" w:firstLine="436"/>
        <w:spacing w:after="0" w:line="266" w:lineRule="auto"/>
        <w:tabs>
          <w:tab w:leader="none" w:pos="659" w:val="left"/>
        </w:tabs>
        <w:numPr>
          <w:ilvl w:val="1"/>
          <w:numId w:val="6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Capital Stock) received (i) in connection with the bankruptcy, work-out, reorganization or recapitalization of any Person, (ii) in settlement or compromise of delinquent obligations of, or other disputes with or judgments against, customers, trade-creditors, suppliers, licensees and other account debtors arising in the ordinary course of business,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4"/>
          </w:cols>
          <w:pgMar w:left="436" w:top="269" w:right="459" w:bottom="1440" w:gutter="0" w:footer="0" w:header="0"/>
        </w:sectPr>
      </w:pPr>
    </w:p>
    <w:bookmarkStart w:id="511" w:name="page512"/>
    <w:bookmarkEnd w:id="511"/>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including pursuant to any plan of reorganization or similar arrangement upon bankruptcy or insolvency of any customer, trade creditor, supplier, licensee or other account debtor, (iii) in satisfaction of judgments against other Persons, (iv) as a result of foreclosure with respect to any secured Investment or other transfer of title with respect to any secured Investment and/or (v) in settlement, compromise or resolution of litigation, arbitration or other disputes;</w:t>
      </w:r>
    </w:p>
    <w:p>
      <w:pPr>
        <w:spacing w:after="0" w:line="180" w:lineRule="exact"/>
        <w:rPr>
          <w:sz w:val="20"/>
          <w:szCs w:val="20"/>
          <w:color w:val="auto"/>
        </w:rPr>
      </w:pPr>
    </w:p>
    <w:p>
      <w:pPr>
        <w:ind w:right="120" w:firstLine="436"/>
        <w:spacing w:after="0" w:line="282" w:lineRule="auto"/>
        <w:tabs>
          <w:tab w:leader="none" w:pos="745"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of payroll payments or other compensation to present or former employees, directors, members of management, officers, managers or consultants of the Borrower and/or any subsidiary in the ordinary course of business;</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therefor is made solely with Qualified Capital Stock of the Borrower or any Restricted Subsidiary, in each case, to the extent not resulting in a Change of Control;</w:t>
      </w:r>
    </w:p>
    <w:p>
      <w:pPr>
        <w:spacing w:after="0" w:line="161"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of any Restricted Subsidiary acquired after the Closing Date, or of any Person acquired by, or merged into or consolidated or amalgamated with, the Borrower or any Restricted Subsidiary after the Closing Date, in each case permitted hereunder to the extent that such Investments were not made in contemplation of or in connection with such acquisition, merger, amalgamation or consolidation and were in existence on the date of the relevant acquisition, merger, amalgamation or consolidation and (ii) any modification, replacement, renewal or extension of any Investment permitted under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6.06(o)</w:t>
      </w:r>
      <w:r>
        <w:rPr>
          <w:rFonts w:ascii="Times New Roman" w:cs="Times New Roman" w:eastAsia="Times New Roman" w:hAnsi="Times New Roman"/>
          <w:sz w:val="18"/>
          <w:szCs w:val="18"/>
          <w:color w:val="auto"/>
        </w:rPr>
        <w:t xml:space="preserve"> so long as no such modification, replacement, renewal or extension thereof increases the amount of such Investment except as otherwise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right="140" w:firstLine="436"/>
        <w:spacing w:after="0" w:line="312" w:lineRule="auto"/>
        <w:tabs>
          <w:tab w:leader="none" w:pos="695" w:val="left"/>
        </w:tabs>
        <w:numPr>
          <w:ilvl w:val="0"/>
          <w:numId w:val="6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made as part of, or which are reasonably necessary or appropriate (as determined by the Borrower in good faith) to effect or facilitate, the Separation, including the Restructuring, the Borrower Distribution and the Distribution, or otherwise pursuant to Separation Agreements;</w:t>
      </w:r>
    </w:p>
    <w:p>
      <w:pPr>
        <w:spacing w:after="0" w:line="139" w:lineRule="exact"/>
        <w:rPr>
          <w:rFonts w:ascii="Times New Roman" w:cs="Times New Roman" w:eastAsia="Times New Roman" w:hAnsi="Times New Roman"/>
          <w:sz w:val="17"/>
          <w:szCs w:val="17"/>
          <w:color w:val="auto"/>
        </w:rPr>
      </w:pPr>
    </w:p>
    <w:p>
      <w:pPr>
        <w:ind w:right="660" w:firstLine="436"/>
        <w:spacing w:after="0" w:line="282" w:lineRule="auto"/>
        <w:tabs>
          <w:tab w:leader="none" w:pos="695"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after the Closing Date by the Borrower and/or any of its Restricted Subsidiaries in an aggregate amount at any time outstanding not to exceed: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$900,000,000 and 40% of Consolidated Adjusted EBITDA as of the last day of the most recently ended Test Period, plus</w:t>
      </w:r>
    </w:p>
    <w:p>
      <w:pPr>
        <w:spacing w:after="0" w:line="117"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28" w:val="left"/>
        </w:tabs>
        <w:numPr>
          <w:ilvl w:val="1"/>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Shared RP Amount, plus the amount of Restricted Debt Payments that may be made at the time of determination pursuant to </w:t>
      </w:r>
      <w:r>
        <w:rPr>
          <w:rFonts w:ascii="Times New Roman" w:cs="Times New Roman" w:eastAsia="Times New Roman" w:hAnsi="Times New Roman"/>
          <w:sz w:val="18"/>
          <w:szCs w:val="18"/>
          <w:u w:val="single" w:color="auto"/>
          <w:color w:val="auto"/>
        </w:rPr>
        <w:t>Section 6.04(b)(iv)</w:t>
      </w:r>
      <w:r>
        <w:rPr>
          <w:rFonts w:ascii="Times New Roman" w:cs="Times New Roman" w:eastAsia="Times New Roman" w:hAnsi="Times New Roman"/>
          <w:sz w:val="18"/>
          <w:szCs w:val="18"/>
          <w:color w:val="auto"/>
        </w:rPr>
        <w:t>, plus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78" w:val="left"/>
        </w:tabs>
        <w:numPr>
          <w:ilvl w:val="1"/>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the Borrower or any of its Restricted Subsidiaries makes any Investment after the Closing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175" w:lineRule="exact"/>
        <w:rPr>
          <w:rFonts w:ascii="Times New Roman" w:cs="Times New Roman" w:eastAsia="Times New Roman" w:hAnsi="Times New Roman"/>
          <w:sz w:val="18"/>
          <w:szCs w:val="18"/>
          <w:color w:val="auto"/>
        </w:rPr>
      </w:pPr>
    </w:p>
    <w:p>
      <w:pPr>
        <w:ind w:right="200" w:firstLine="436"/>
        <w:spacing w:after="0" w:line="256" w:lineRule="auto"/>
        <w:tabs>
          <w:tab w:leader="none" w:pos="665" w:val="left"/>
        </w:tabs>
        <w:numPr>
          <w:ilvl w:val="0"/>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after the Closing Date by the Borrower and/or any of its Restricted Subsidiaries in an aggregate outstanding amount not to exceed (i) the portion, if any, of the Available Amount on such date that the Borrower elects to apply to this </w:t>
      </w:r>
      <w:r>
        <w:rPr>
          <w:rFonts w:ascii="Times New Roman" w:cs="Times New Roman" w:eastAsia="Times New Roman" w:hAnsi="Times New Roman"/>
          <w:sz w:val="18"/>
          <w:szCs w:val="18"/>
          <w:u w:val="single" w:color="auto"/>
          <w:color w:val="auto"/>
        </w:rPr>
        <w:t>clause (r)(i)</w:t>
      </w:r>
      <w:r>
        <w:rPr>
          <w:rFonts w:ascii="Times New Roman" w:cs="Times New Roman" w:eastAsia="Times New Roman" w:hAnsi="Times New Roman"/>
          <w:sz w:val="18"/>
          <w:szCs w:val="18"/>
          <w:color w:val="auto"/>
        </w:rPr>
        <w:t xml:space="preserve"> plus (ii) the portion, if any, of the Available Excluded Contribution Amount on such date that the Borrower elects to apply to this </w:t>
      </w:r>
      <w:r>
        <w:rPr>
          <w:rFonts w:ascii="Times New Roman" w:cs="Times New Roman" w:eastAsia="Times New Roman" w:hAnsi="Times New Roman"/>
          <w:sz w:val="18"/>
          <w:szCs w:val="18"/>
          <w:u w:val="single" w:color="auto"/>
          <w:color w:val="auto"/>
        </w:rPr>
        <w:t>clause (r)(ii)</w:t>
      </w:r>
      <w:r>
        <w:rPr>
          <w:rFonts w:ascii="Times New Roman" w:cs="Times New Roman" w:eastAsia="Times New Roman" w:hAnsi="Times New Roman"/>
          <w:sz w:val="18"/>
          <w:szCs w:val="18"/>
          <w:color w:val="auto"/>
        </w:rPr>
        <w:t xml:space="preserve"> (plus, without duplication of amounts referred to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in an amount equal to the Net Proceeds from a Disposition of property or assets acquired after the Closing Date, if the acquisition of such property or assets was financed with Available Excluded Contribution Amounts up to the amount of such Available Excluded Contribution Amount, less any application thereof under </w:t>
      </w:r>
      <w:r>
        <w:rPr>
          <w:rFonts w:ascii="Times New Roman" w:cs="Times New Roman" w:eastAsia="Times New Roman" w:hAnsi="Times New Roman"/>
          <w:sz w:val="18"/>
          <w:szCs w:val="18"/>
          <w:u w:val="single" w:color="auto"/>
          <w:color w:val="auto"/>
        </w:rPr>
        <w:t>Section 6.04(a)(iii)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6.04(b)(vi)</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0"/>
          </w:cols>
          <w:pgMar w:left="440" w:top="269" w:right="459" w:bottom="1440" w:gutter="0" w:footer="0" w:header="0"/>
        </w:sectPr>
      </w:pPr>
    </w:p>
    <w:bookmarkStart w:id="512" w:name="page513"/>
    <w:bookmarkEnd w:id="512"/>
    <w:p>
      <w:pPr>
        <w:ind w:left="684" w:hanging="244"/>
        <w:spacing w:after="0"/>
        <w:tabs>
          <w:tab w:leader="none" w:pos="684"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Guarantees of leases or subleases (in each case other than Finance Leases) or of other obligations not constituting Indebtedness,</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69"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lease obligations of suppliers, customers, franchisees and licensees of the Borrower and/or its Restricted Subsidiaries, in each case, in the ordinary course of business and (iii) Investments consisting of Guarantees of any supplier’s obligations in respect of commodity contracts, including Derivative Transactions, solely to the extent such commodities related to the materials or products to be purchased by the Borrower or any Restricted Subsidiary;</w:t>
      </w:r>
    </w:p>
    <w:p>
      <w:pPr>
        <w:spacing w:after="0" w:line="188" w:lineRule="exact"/>
        <w:rPr>
          <w:rFonts w:ascii="Times New Roman" w:cs="Times New Roman" w:eastAsia="Times New Roman" w:hAnsi="Times New Roman"/>
          <w:sz w:val="18"/>
          <w:szCs w:val="18"/>
          <w:color w:val="auto"/>
        </w:rPr>
      </w:pPr>
    </w:p>
    <w:p>
      <w:pPr>
        <w:ind w:left="4" w:right="240" w:firstLine="436"/>
        <w:spacing w:after="0" w:line="266" w:lineRule="auto"/>
        <w:tabs>
          <w:tab w:leader="none" w:pos="659"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any Person in amounts and for purposes for which Restricted Payments to such Person are permitted under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Investment made as provided above in lieu of any such Restricted Payment shall reduce availability under the applicable Restricted Payment basket under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4" w:right="60" w:firstLine="436"/>
        <w:spacing w:after="0" w:line="258" w:lineRule="auto"/>
        <w:tabs>
          <w:tab w:leader="none" w:pos="699"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subsidiaries and Joint Ventures in connection with reorganizations and/or restructurings, including any Permitted Reorganization and/or activities related to tax planning (including Investments in non-Cash or non-Cash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effect to any such reorganization, restructuring and/or related activity, the security interest of the Collateral Agent in the Collateral, taken as a whole, is not materially impaired (including by a material portion of the assets that constitute Collateral immediately prior to such reorganization, restructuring or tax planning activities no longer constituting Collateral) as a result of such reorganization, restructuring or tax planning activities;</w:t>
      </w:r>
    </w:p>
    <w:p>
      <w:pPr>
        <w:spacing w:after="0" w:line="18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arising under or in connection with any Derivative Transaction of the type permitted under </w:t>
      </w:r>
      <w:r>
        <w:rPr>
          <w:rFonts w:ascii="Times New Roman" w:cs="Times New Roman" w:eastAsia="Times New Roman" w:hAnsi="Times New Roman"/>
          <w:sz w:val="18"/>
          <w:szCs w:val="18"/>
          <w:u w:val="single" w:color="auto"/>
          <w:color w:val="auto"/>
        </w:rPr>
        <w:t>Section 6.01(s)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 in Joint Ventures, (B) in connection with the creation, formation and/or acquisition of any Joint Venture or (C) in any Restricted Subsidiary to enable such Restricted Subsidiary to create, form and/or acquire any Joint Venture, in an aggregate outstanding amount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not to exceed in any Fiscal Year the greater of $562,500,000 and 25% of Consolidated Adjusted EBITDA as of the last day of the most recently ended Test Period (with unused amounts, if not used in any Fiscal Year, carried forward to subsequent Fiscal Years (until so applied));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is made in any Person that is not a Restricted Subsidiary at the date of making of such Investment and such Person becomes a Restricted Subsidiary after such date, such Investment shall, at the election of the Borrower, be deemed to have been made pursuant to </w:t>
      </w:r>
      <w:r>
        <w:rPr>
          <w:rFonts w:ascii="Times New Roman" w:cs="Times New Roman" w:eastAsia="Times New Roman" w:hAnsi="Times New Roman"/>
          <w:sz w:val="18"/>
          <w:szCs w:val="18"/>
          <w:u w:val="single" w:color="auto"/>
          <w:color w:val="auto"/>
        </w:rPr>
        <w:t>clause (b)(ii)</w:t>
      </w:r>
      <w:r>
        <w:rPr>
          <w:rFonts w:ascii="Times New Roman" w:cs="Times New Roman" w:eastAsia="Times New Roman" w:hAnsi="Times New Roman"/>
          <w:sz w:val="18"/>
          <w:szCs w:val="18"/>
          <w:color w:val="auto"/>
        </w:rPr>
        <w:t xml:space="preserve"> above and shall cease to have been made under this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joint ventures as required by, or made pursuant to, buy/sell arrangements between the joint venture parties set forth in joint venture agreements and similar binding arrangements;</w:t>
      </w:r>
    </w:p>
    <w:p>
      <w:pPr>
        <w:spacing w:after="0" w:line="161" w:lineRule="exact"/>
        <w:rPr>
          <w:rFonts w:ascii="Times New Roman" w:cs="Times New Roman" w:eastAsia="Times New Roman" w:hAnsi="Times New Roman"/>
          <w:sz w:val="18"/>
          <w:szCs w:val="18"/>
          <w:color w:val="auto"/>
        </w:rPr>
      </w:pPr>
    </w:p>
    <w:p>
      <w:pPr>
        <w:ind w:left="4" w:right="380" w:firstLine="436"/>
        <w:spacing w:after="0" w:line="282" w:lineRule="auto"/>
        <w:tabs>
          <w:tab w:leader="none" w:pos="689"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they are permitted to remain unfunded under applicable Requirements of Law;</w:t>
      </w:r>
    </w:p>
    <w:p>
      <w:pPr>
        <w:spacing w:after="0" w:line="162" w:lineRule="exact"/>
        <w:rPr>
          <w:sz w:val="20"/>
          <w:szCs w:val="20"/>
          <w:color w:val="auto"/>
        </w:rPr>
      </w:pPr>
    </w:p>
    <w:p>
      <w:pPr>
        <w:ind w:left="4" w:right="440" w:firstLine="436"/>
        <w:spacing w:after="0" w:line="282" w:lineRule="auto"/>
        <w:tabs>
          <w:tab w:leader="none" w:pos="769"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Borrower, any subsidiary and/or any Joint Venture in connection with (i) Permitted Treasury Arrangements and other intercompany cash management arrangements and (ii) related activities in the ordinary course of business;</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1004"/>
          </w:cols>
          <w:pgMar w:left="436" w:top="269" w:right="459" w:bottom="1440" w:gutter="0" w:footer="0" w:header="0"/>
        </w:sectPr>
      </w:pPr>
    </w:p>
    <w:bookmarkStart w:id="513" w:name="page514"/>
    <w:bookmarkEnd w:id="513"/>
    <w:p>
      <w:pPr>
        <w:ind w:left="780" w:hanging="344"/>
        <w:spacing w:after="0"/>
        <w:tabs>
          <w:tab w:leader="none" w:pos="78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Investments made in connection with any nonqualified deferred compensation plan or arrangement for any Permitted Payee;</w:t>
      </w:r>
    </w:p>
    <w:p>
      <w:pPr>
        <w:spacing w:after="0" w:line="225" w:lineRule="exact"/>
        <w:rPr>
          <w:rFonts w:ascii="Times New Roman" w:cs="Times New Roman" w:eastAsia="Times New Roman" w:hAnsi="Times New Roman"/>
          <w:sz w:val="18"/>
          <w:szCs w:val="18"/>
          <w:color w:val="auto"/>
        </w:rPr>
      </w:pPr>
    </w:p>
    <w:p>
      <w:pPr>
        <w:ind w:right="200" w:firstLine="436"/>
        <w:spacing w:after="0" w:line="266" w:lineRule="auto"/>
        <w:tabs>
          <w:tab w:leader="none" w:pos="765"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made by any Unrestricted Subsidiary prior to the date on which such Unrestricted Subsidiary is designated as a Restricted Subsidiary (but for the avoidance of doubt, after such subsidiary was designated as an Unrestricted Subsidiary) so long as the relevant Investment was not made in contemplation of the designation of such Unrestricted Subsidiary as a Restricted Subsidiary;</w:t>
      </w:r>
    </w:p>
    <w:p>
      <w:pPr>
        <w:spacing w:after="0" w:line="175" w:lineRule="exact"/>
        <w:rPr>
          <w:rFonts w:ascii="Times New Roman" w:cs="Times New Roman" w:eastAsia="Times New Roman" w:hAnsi="Times New Roman"/>
          <w:sz w:val="18"/>
          <w:szCs w:val="18"/>
          <w:color w:val="auto"/>
        </w:rPr>
      </w:pPr>
    </w:p>
    <w:p>
      <w:pPr>
        <w:ind w:right="260" w:firstLine="436"/>
        <w:spacing w:after="0" w:line="282" w:lineRule="auto"/>
        <w:tabs>
          <w:tab w:leader="none" w:pos="785"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so long as, as measured at the time provided for in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on a Pro Forma Basis, the Total Leverage Ratio does not exceed 2.00:1.00;</w:t>
      </w:r>
    </w:p>
    <w:p>
      <w:pPr>
        <w:spacing w:after="0" w:line="161" w:lineRule="exact"/>
        <w:rPr>
          <w:rFonts w:ascii="Times New Roman" w:cs="Times New Roman" w:eastAsia="Times New Roman" w:hAnsi="Times New Roman"/>
          <w:sz w:val="18"/>
          <w:szCs w:val="18"/>
          <w:color w:val="auto"/>
        </w:rPr>
      </w:pPr>
    </w:p>
    <w:p>
      <w:pPr>
        <w:ind w:right="780" w:firstLine="436"/>
        <w:spacing w:after="0" w:line="282" w:lineRule="auto"/>
        <w:tabs>
          <w:tab w:leader="none" w:pos="765"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sublicensing or contribution of any intellectual property or other IP Rights pursuant to joint marketing, collaboration or other similar arrangements with other Persons;</w:t>
      </w:r>
    </w:p>
    <w:p>
      <w:pPr>
        <w:spacing w:after="0" w:line="161" w:lineRule="exact"/>
        <w:rPr>
          <w:rFonts w:ascii="Times New Roman" w:cs="Times New Roman" w:eastAsia="Times New Roman" w:hAnsi="Times New Roman"/>
          <w:sz w:val="18"/>
          <w:szCs w:val="18"/>
          <w:color w:val="auto"/>
        </w:rPr>
      </w:pPr>
    </w:p>
    <w:p>
      <w:pPr>
        <w:ind w:right="20" w:firstLine="436"/>
        <w:spacing w:after="0" w:line="256" w:lineRule="auto"/>
        <w:tabs>
          <w:tab w:leader="none" w:pos="722"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or relating to any Receivables Subsidiary that, in the good faith determination of the Borrower, are necessary or advisable to effect a Qualified Receivables Facility (including any contribution of replacement or substitute assets to such Subsidiary) or any repurchases in connection therewith (including the contribution or lending of Cash or Cash Equivalents to Subsidiaries to finance the purchase of such assets from the Borrower or any Restricted Subsidiary or to otherwise fund required reserves and Investments of funds held in accounts permitted or required by the arrangements governing such Qualified Receivables Facility or any related Indebtedness) and (ii) any Investment by a Receivables Subsidiary in any other Person, in each case in connection with a Qualified Receivables Facility;</w:t>
      </w:r>
    </w:p>
    <w:p>
      <w:pPr>
        <w:spacing w:after="0" w:line="18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to Qualified Capital Stock of any Indebtedness owed by the Borrower or any Restricted Subsidiary and permitted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firstLine="436"/>
        <w:spacing w:after="0" w:line="255" w:lineRule="auto"/>
        <w:tabs>
          <w:tab w:leader="none" w:pos="785"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Subsidiaries of the Borrower may be established or created (including pursuant to a Delaware LLC Division) if such Borrower and such Restricted Subsidiary comply with the requirements of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to the extent such new Restricted Subsidiary is created solely for the purpose of consummating a transaction pursuant to an acquisition or other Investment permitted by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such new Restricted Subsidiary at no time holds any assets or liabilities other than any acquisition or Investment consideration contributed to it contemporaneously with the closing of such transaction, such new Restricted Subsidiary shall not be required to take the actions set forth in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until the respective acquisition is consummated (at which time the surviving entity of the respective transaction shall be required to so comply in accordance with the provisions thereof);</w:t>
      </w:r>
    </w:p>
    <w:p>
      <w:pPr>
        <w:spacing w:after="0" w:line="188"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705"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Borrower or any of their Restricted Subsidiaries;</w:t>
      </w:r>
    </w:p>
    <w:p>
      <w:pPr>
        <w:spacing w:after="0" w:line="175" w:lineRule="exact"/>
        <w:rPr>
          <w:rFonts w:ascii="Times New Roman" w:cs="Times New Roman" w:eastAsia="Times New Roman" w:hAnsi="Times New Roman"/>
          <w:sz w:val="18"/>
          <w:szCs w:val="18"/>
          <w:color w:val="auto"/>
        </w:rPr>
      </w:pPr>
    </w:p>
    <w:p>
      <w:pPr>
        <w:jc w:val="both"/>
        <w:ind w:right="400" w:firstLine="436"/>
        <w:spacing w:after="0" w:line="266" w:lineRule="auto"/>
        <w:tabs>
          <w:tab w:leader="none" w:pos="705"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Borrower or any of its Restricted Subsidiaries;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440" w:top="269" w:right="459" w:bottom="1440" w:gutter="0" w:footer="0" w:header="0"/>
        </w:sectPr>
      </w:pPr>
    </w:p>
    <w:bookmarkStart w:id="514" w:name="page515"/>
    <w:bookmarkEnd w:id="514"/>
    <w:p>
      <w:pPr>
        <w:ind w:right="460" w:firstLine="436"/>
        <w:spacing w:after="0" w:line="282" w:lineRule="auto"/>
        <w:tabs>
          <w:tab w:leader="none" w:pos="785"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Investments consisting of earnest money deposits required in connection with purchase agreements or other acquisitions or Investments otherwise permitted under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and any other pledges or deposits permitted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60" w:firstLine="436"/>
        <w:spacing w:after="0" w:line="266" w:lineRule="auto"/>
        <w:tabs>
          <w:tab w:leader="none" w:pos="705"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Loans repurchased by the Borrower or a Restricted Subsidiary pursuant to and subject to immediate cancellation in accordance with this Agreement and, to the extent permitted (or not prohibited) by </w:t>
      </w:r>
      <w:r>
        <w:rPr>
          <w:rFonts w:ascii="Times New Roman" w:cs="Times New Roman" w:eastAsia="Times New Roman" w:hAnsi="Times New Roman"/>
          <w:sz w:val="18"/>
          <w:szCs w:val="18"/>
          <w:u w:val="single" w:color="auto"/>
          <w:color w:val="auto"/>
        </w:rPr>
        <w:t>Section 6.04(b)</w:t>
      </w:r>
      <w:r>
        <w:rPr>
          <w:rFonts w:ascii="Times New Roman" w:cs="Times New Roman" w:eastAsia="Times New Roman" w:hAnsi="Times New Roman"/>
          <w:sz w:val="18"/>
          <w:szCs w:val="18"/>
          <w:color w:val="auto"/>
        </w:rPr>
        <w:t>, loans or other Indebtedness repurchased, redeemed or retired by the Borrower or a Restricted Subsidiary pursuant to and subject to immediate cancellation in accordance with the terms of such other Indebtedness;</w:t>
      </w:r>
    </w:p>
    <w:p>
      <w:pPr>
        <w:spacing w:after="0" w:line="175"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885"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 obligations of the Borrower or any Restricted Subsidiary in respect of letters of support, guarantees or similar obligations issued, made or incurred for the benefit of any Restricted Subsidiary of the Borrower to the extent required by law or in connection with any statutory filing or the delivery of audit opinions performed in jurisdictions other than within the United States;</w:t>
      </w:r>
    </w:p>
    <w:p>
      <w:pPr>
        <w:spacing w:after="0" w:line="1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acquisitions of inventory, supplies, materials, services, equipment or similar assets in the ordinary course of business; and</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162"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any Investment in the form of a transfer of actual legal title (or transfer of similar effect) or an exclusive license of Material Intellectual Property by the Borrower or any Restricted Subsidiary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Borrower in good faith) that is only exclusive with respect to a particular type or field (or types or fields) of usage or a certain territory or group of territories.</w:t>
      </w:r>
    </w:p>
    <w:p>
      <w:pPr>
        <w:spacing w:after="0" w:line="189"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Fundamental Changes; Disposition of Assets</w:t>
      </w:r>
      <w:r>
        <w:rPr>
          <w:rFonts w:ascii="Times New Roman" w:cs="Times New Roman" w:eastAsia="Times New Roman" w:hAnsi="Times New Roman"/>
          <w:sz w:val="18"/>
          <w:szCs w:val="18"/>
          <w:color w:val="auto"/>
        </w:rPr>
        <w:t>. The Borrower and each other Loan Party shall not, nor shall it permit any Restricted Subsidiary to, enter into any transaction of merger, consolidation or amalgamation, or liquidate, wind up or dissolve themselves (or suffer any liquidation or dissolution), or make any Disposition of assets having a fair market value in excess of the greater of $112,500,000 and 5% of Consolidated Adjusted EBITDA as of the last day of the most recently ended Test Period in a single transaction or in a series of related transactions, except:</w:t>
      </w:r>
    </w:p>
    <w:p>
      <w:pPr>
        <w:spacing w:after="0" w:line="75" w:lineRule="exact"/>
        <w:rPr>
          <w:sz w:val="20"/>
          <w:szCs w:val="20"/>
          <w:color w:val="auto"/>
        </w:rPr>
      </w:pPr>
    </w:p>
    <w:p>
      <w:pPr>
        <w:ind w:firstLine="436"/>
        <w:spacing w:after="0" w:line="255" w:lineRule="auto"/>
        <w:tabs>
          <w:tab w:leader="none" w:pos="685"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or Restricted Subsidiary may be merged, consolidated or amalgamated with or into (including pursuant to any successive mergers, consolidations or amalgamations of entities) any other Person (the continuing or surviving person after giving effect to such transaction or successive transactions, the “</w:t>
      </w:r>
      <w:r>
        <w:rPr>
          <w:rFonts w:ascii="Times New Roman" w:cs="Times New Roman" w:eastAsia="Times New Roman" w:hAnsi="Times New Roman"/>
          <w:sz w:val="18"/>
          <w:szCs w:val="18"/>
          <w:b w:val="1"/>
          <w:bCs w:val="1"/>
          <w:color w:val="auto"/>
        </w:rPr>
        <w:t>Surviving Person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any such merger, consolidation or amalgamation by, with or into the Borrower either (A) a Borrower shall be the continuing or surviving Person or a Person that continues as an amalgamated corporation or (B) if the Person formed by or surviving any such merger, consolidation or amalgamation (including any immediate and successive mergers, consolidations or amalgamations of entities) is not the Borrower, either (1) (w) “know your customer” information reasonably requested by the Administrative Agent shall have been delivered by the Borrower (including if such Person qualifies as a “legal entity customer” under the Beneficial Ownership</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0"/>
          </w:cols>
          <w:pgMar w:left="440" w:top="269" w:right="459" w:bottom="1440" w:gutter="0" w:footer="0" w:header="0"/>
        </w:sectPr>
      </w:pPr>
    </w:p>
    <w:bookmarkStart w:id="515" w:name="page516"/>
    <w:bookmarkEnd w:id="515"/>
    <w:p>
      <w:pPr>
        <w:ind w:left="4" w:right="2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 a Beneficial Ownership Certificate as to such Successor Borrower), (x) the Successor Borrower shall be an entity organized or existing under the law of the U.S., any state thereof, the District of Columbia, the jurisdiction of organization of a Borrower or a political subdivision thereof,</w:t>
      </w:r>
    </w:p>
    <w:p>
      <w:pPr>
        <w:spacing w:after="0" w:line="1" w:lineRule="exact"/>
        <w:rPr>
          <w:sz w:val="20"/>
          <w:szCs w:val="20"/>
          <w:color w:val="auto"/>
        </w:rPr>
      </w:pPr>
    </w:p>
    <w:p>
      <w:pPr>
        <w:ind w:left="4" w:hanging="4"/>
        <w:spacing w:after="0" w:line="267" w:lineRule="auto"/>
        <w:tabs>
          <w:tab w:leader="none" w:pos="259" w:val="left"/>
        </w:tabs>
        <w:numPr>
          <w:ilvl w:val="0"/>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Successor Borrower shall expressly assume the applicable Loan Document Obligations of the Borrower, in a manner reasonably satisfactory to the Administrative Agent, and (z) except as the Administrative Agent may otherwise agree, each Guarantor, unless it is the other party to such merger, consolidation or amalgamation, shall have executed and delivered a reaffirmation agreement with respect to its obligations under the Loan Guarantee and the other Loan Documents; it being understood and agreed that if the foregoing conditions under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(z)</w:t>
      </w:r>
      <w:r>
        <w:rPr>
          <w:rFonts w:ascii="Times New Roman" w:cs="Times New Roman" w:eastAsia="Times New Roman" w:hAnsi="Times New Roman"/>
          <w:sz w:val="17"/>
          <w:szCs w:val="17"/>
          <w:color w:val="auto"/>
        </w:rPr>
        <w:t xml:space="preserve"> are satisfied, the Successor Borrower will succeed to, and be substituted for, the Borrower under this Agreement and the other Loan Documents, or (2) in the case of a merger, consolidation or amalgamation of an Additional Borrower, such Additional Borrower resigns as a Borrower prior to or substantially concurrently with the consummation of such merger, consolidation or amalgamation in accordance with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and (ii) in the case of any such merger, consolidation or amalgamation with or into any Subsidiary Guarantor, either (x) a Borrower or Subsidiary Guarantor shall be the continuing or surviving Person or the continuing or surviving Person shall expressly assume the guarantee obligations of the Subsidiary Guarantor in a manner reasonably satisfactory to the Administrative Agent or (y) the relevant transaction shall be treated as an Investment and otherwise be made in compliance with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w:t>
      </w:r>
    </w:p>
    <w:p>
      <w:pPr>
        <w:spacing w:after="0" w:line="182"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of Capital Stock) among the Borrower and/or any Restricted Subsidiary (upon voluntary liquidation or otherwise);</w:t>
      </w:r>
    </w:p>
    <w:p>
      <w:pPr>
        <w:spacing w:after="0" w:line="225" w:lineRule="exact"/>
        <w:rPr>
          <w:rFonts w:ascii="Times New Roman" w:cs="Times New Roman" w:eastAsia="Times New Roman" w:hAnsi="Times New Roman"/>
          <w:sz w:val="18"/>
          <w:szCs w:val="18"/>
          <w:color w:val="auto"/>
        </w:rPr>
      </w:pPr>
    </w:p>
    <w:p>
      <w:pPr>
        <w:ind w:left="4" w:right="20" w:firstLine="436"/>
        <w:spacing w:after="0" w:line="274" w:lineRule="auto"/>
        <w:tabs>
          <w:tab w:leader="none" w:pos="689" w:val="left"/>
        </w:tabs>
        <w:numPr>
          <w:ilvl w:val="1"/>
          <w:numId w:val="6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the liquidation or dissolution of any Restricted Subsidiary if the Borrower determines in good faith that such liquidation or dissolution is in the best interests of the Borrower, is not materially disadvantageous to the Lenders, and the Borrower or any Restricted Subsidiary receives any assets of the relevant dissolved or liquidated Restricted Subsidiary; (ii) any merger, amalgamation, dissolution, liquidation or consolidation, the purpose of which is to effect (A) any Disposition otherwise permitted under this </w:t>
      </w:r>
      <w:r>
        <w:rPr>
          <w:rFonts w:ascii="Times New Roman" w:cs="Times New Roman" w:eastAsia="Times New Roman" w:hAnsi="Times New Roman"/>
          <w:sz w:val="17"/>
          <w:szCs w:val="17"/>
          <w:u w:val="single" w:color="auto"/>
          <w:color w:val="auto"/>
        </w:rPr>
        <w:t>Section 6.07</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or (B) any Investment permitted under </w:t>
      </w:r>
      <w:r>
        <w:rPr>
          <w:rFonts w:ascii="Times New Roman" w:cs="Times New Roman" w:eastAsia="Times New Roman" w:hAnsi="Times New Roman"/>
          <w:sz w:val="17"/>
          <w:szCs w:val="17"/>
          <w:u w:val="single" w:color="auto"/>
          <w:color w:val="auto"/>
        </w:rPr>
        <w:t>Section 6.06</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clause (j)</w:t>
      </w:r>
      <w:r>
        <w:rPr>
          <w:rFonts w:ascii="Times New Roman" w:cs="Times New Roman" w:eastAsia="Times New Roman" w:hAnsi="Times New Roman"/>
          <w:sz w:val="17"/>
          <w:szCs w:val="17"/>
          <w:color w:val="auto"/>
        </w:rPr>
        <w:t xml:space="preserve"> thereof); and (iii) the Borrower or any Restricted Subsidiary may be converted into another form of entity, in each case, so long as such conversion does not adversely affect the value of the Loan Guarantee or the Collateral, taken as a whole;</w:t>
      </w:r>
    </w:p>
    <w:p>
      <w:pPr>
        <w:spacing w:after="0" w:line="172" w:lineRule="exact"/>
        <w:rPr>
          <w:rFonts w:ascii="Times New Roman" w:cs="Times New Roman" w:eastAsia="Times New Roman" w:hAnsi="Times New Roman"/>
          <w:sz w:val="17"/>
          <w:szCs w:val="17"/>
          <w:color w:val="auto"/>
        </w:rPr>
      </w:pPr>
    </w:p>
    <w:p>
      <w:pPr>
        <w:ind w:left="4" w:right="1000" w:firstLine="436"/>
        <w:spacing w:after="0" w:line="282" w:lineRule="auto"/>
        <w:tabs>
          <w:tab w:leader="none" w:pos="699"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Dispositions of inventory or goods held for sale, equipment or other assets in the ordinary course of business (including on an intercompany basis) and (y) the leasing or subleasing of real property in the ordinary course of business;</w:t>
      </w:r>
    </w:p>
    <w:p>
      <w:pPr>
        <w:spacing w:after="0" w:line="161" w:lineRule="exact"/>
        <w:rPr>
          <w:rFonts w:ascii="Times New Roman" w:cs="Times New Roman" w:eastAsia="Times New Roman" w:hAnsi="Times New Roman"/>
          <w:sz w:val="18"/>
          <w:szCs w:val="18"/>
          <w:color w:val="auto"/>
        </w:rPr>
      </w:pPr>
    </w:p>
    <w:p>
      <w:pPr>
        <w:jc w:val="both"/>
        <w:ind w:left="4" w:right="20" w:firstLine="436"/>
        <w:spacing w:after="0" w:line="266" w:lineRule="auto"/>
        <w:tabs>
          <w:tab w:leader="none" w:pos="689"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surplus, obsolete, used or worn out property or other property that, in the good faith judgment of the Borrower, is (A) no longer useful in its business (or in the business of any Restricted Subsidiary of the Borrower) or (B) otherwise economically impracticable or not commercially reasonable to maintain;</w:t>
      </w:r>
    </w:p>
    <w:p>
      <w:pPr>
        <w:spacing w:after="0" w:line="17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669"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Cash Equivalents and/or Investment Grade Securities or other assets that were Cash, Cash Equivalents and/or Investment Grade Securities when the relevant original Investment was made;</w:t>
      </w:r>
    </w:p>
    <w:p>
      <w:pPr>
        <w:spacing w:after="0" w:line="161"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mergers, amalgamations, consolidations or conveyances that constitute (or if structured as such would constitute, or are made in order to effectuate) Investments permitted pursuant to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6.06(j)</w:t>
      </w:r>
      <w:r>
        <w:rPr>
          <w:rFonts w:ascii="Times New Roman" w:cs="Times New Roman" w:eastAsia="Times New Roman" w:hAnsi="Times New Roman"/>
          <w:sz w:val="18"/>
          <w:szCs w:val="18"/>
          <w:color w:val="auto"/>
        </w:rPr>
        <w:t xml:space="preserve">), Permitted Liens, Restricted Payments permitted by </w:t>
      </w:r>
      <w:r>
        <w:rPr>
          <w:rFonts w:ascii="Times New Roman" w:cs="Times New Roman" w:eastAsia="Times New Roman" w:hAnsi="Times New Roman"/>
          <w:sz w:val="18"/>
          <w:szCs w:val="18"/>
          <w:u w:val="single" w:color="auto"/>
          <w:color w:val="auto"/>
        </w:rPr>
        <w:t>Section 6.04(a)</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6.04(a)(ix)</w:t>
      </w:r>
      <w:r>
        <w:rPr>
          <w:rFonts w:ascii="Times New Roman" w:cs="Times New Roman" w:eastAsia="Times New Roman" w:hAnsi="Times New Roman"/>
          <w:sz w:val="18"/>
          <w:szCs w:val="18"/>
          <w:color w:val="auto"/>
        </w:rPr>
        <w:t xml:space="preserve">) and Sale and Lease-Back Transactions permitted by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04"/>
          </w:cols>
          <w:pgMar w:left="436" w:top="269" w:right="459" w:bottom="1440" w:gutter="0" w:footer="0" w:header="0"/>
        </w:sectPr>
      </w:pPr>
    </w:p>
    <w:bookmarkStart w:id="516" w:name="page517"/>
    <w:bookmarkEnd w:id="516"/>
    <w:p>
      <w:pPr>
        <w:ind w:left="4" w:firstLine="436"/>
        <w:spacing w:after="0" w:line="252" w:lineRule="auto"/>
        <w:tabs>
          <w:tab w:leader="none" w:pos="699" w:val="left"/>
        </w:tabs>
        <w:numPr>
          <w:ilvl w:val="1"/>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Dispositions for fair market value;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(1) any single Disposition transaction or a series of related Disposition transactions with respect to assets having a fair market value in excess of the greater of $112,500,000 and 5% of Consolidated Adjusted EBITDA as of the last day of the most recently ended Test Period or (2) any other Disposition transactions not excluded from the requirements of this proviso pursuant to the preceding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with respect to assets having a fair market value in excess of the greater of $337,500,000 and 15% of Consolidated Adjusted EBITDA as of the last day of the most recently ended Test Period, for all such transactions on an aggregate basis in any Fiscal Year (in each case other than any Permitted Asset Swap), at least 75% of the consideration for such Disposition (other than the portion of any such Disposition consisting of a Permitted Asset Swap), together with all other Dispositions undertaken pursuant to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since the Closing Date (on a cumulative basis), shall consist of Cash or Cash Equivalents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the 75% Cash consideration requirement, (u) the amount of any Indebtedness or other liabilities (other than Indebtedness or other liabilities that are expressly subordinated in right of payment to the Loan Document Obligations or that are owed to the Borrower or any Restricted Subsidiary) of the Borrower or any Restricted Subsidiary (as shown on such Person’s most recent balance sheet (or in the notes thereto), or if the incurrence of such Indebtedness or other liability took place after the date of such balance sheet, that would have been shown on such balance sheet or in the notes thereto, as determined in good faith by the Borrower) that are (i) assumed by the transferee of any such assets and for which the Borrower and/or its applicable Restricted Subsidiary have been validly released by all relevant creditors in writing or</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cancelled or terminated in connection with such Disposition, (v) the amount of any trade-in value applied to the purchase price of any replacement assets acquired in connection with such Disposition, (w) future payments to be made in cash or Cash Equivalents owed to the Borrower or a Restricted Subsidiary in the form of licensing, royalty, earnout or milestone payment (or similar deferred cash payments), (x) any Securities or other obligations or assets received by the Borrower or any Restricted Subsidiary from such transferee (including earn-outs or similar obligations) that are converted by such Person into Cash or Cash Equivalents, or by their terms are required to be satisfied for Cash or Cash Equivalents (to the extent of the Cash or Cash Equivalents received) within 180 days following the closing of the applicable Disposition, (y) any Designated Non-Cash Consideration received in respect of such Disposition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(B)(1)</w:t>
      </w:r>
      <w:r>
        <w:rPr>
          <w:rFonts w:ascii="Times New Roman" w:cs="Times New Roman" w:eastAsia="Times New Roman" w:hAnsi="Times New Roman"/>
          <w:sz w:val="18"/>
          <w:szCs w:val="18"/>
          <w:color w:val="auto"/>
        </w:rPr>
        <w:t xml:space="preserve"> of the proviso to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that is at that time outstanding, not in excess of the greater of $1,687,500,000 and 75% of Consolidated Adjusted EBITDA as of the last day of the most recently ended Test Period and (z) any Investment, Capital Stock, assets, property or capital or other expenditure of the kind referred to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in each case shall be deemed to be Cash);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Net Proceeds of such Disposition shall be applied and/or reinvested as (and to the extent) required by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59"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161" w:lineRule="exact"/>
        <w:rPr>
          <w:rFonts w:ascii="Times New Roman" w:cs="Times New Roman" w:eastAsia="Times New Roman" w:hAnsi="Times New Roman"/>
          <w:sz w:val="18"/>
          <w:szCs w:val="18"/>
          <w:color w:val="auto"/>
        </w:rPr>
      </w:pPr>
    </w:p>
    <w:p>
      <w:pPr>
        <w:ind w:left="4" w:right="200" w:firstLine="436"/>
        <w:spacing w:after="0" w:line="261" w:lineRule="auto"/>
        <w:tabs>
          <w:tab w:leader="none" w:pos="659"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(or assets of) Joint Ventures or other non-Wholly-Owned Subsidiaries to the extent required by, or made pursuant to, buy/sell arrangements between joint venture or similar parties set forth in the relevant joint venture arrangements and/or similar binding arrangements, or made on a pro rata basis to the owners thereof (or on a greater than pro rata basis to the extent the recipient of such greater amount is the Borrower or a Restricted Subsidiary);</w:t>
      </w:r>
    </w:p>
    <w:p>
      <w:pPr>
        <w:spacing w:after="0" w:line="179"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99"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notes receivable or accounts receivable in the ordinary course of business (including any discount and/or forgiveness thereof) or in connection with the collection or compromise thereof, or as part of any bankruptcy or similar proceeding;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1004"/>
          </w:cols>
          <w:pgMar w:left="436" w:top="269" w:right="459" w:bottom="1440" w:gutter="0" w:footer="0" w:header="0"/>
        </w:sectPr>
      </w:pPr>
    </w:p>
    <w:bookmarkStart w:id="517" w:name="page518"/>
    <w:bookmarkEnd w:id="517"/>
    <w:p>
      <w:pPr>
        <w:ind w:left="4" w:right="80" w:firstLine="436"/>
        <w:spacing w:after="0" w:line="289" w:lineRule="auto"/>
        <w:tabs>
          <w:tab w:leader="none" w:pos="659" w:val="left"/>
        </w:tabs>
        <w:numPr>
          <w:ilvl w:val="1"/>
          <w:numId w:val="6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and/or terminations of, or constituting, leases, subleases, licenses, sublicenses or cross-licenses (including the provision of software under any open source license), the Dispositions or terminations of which (i) do not materially interfere with the business of the Borrower and its Restricted Subsidiaries, (ii) relate to closed facilities or the discontinuation of any product line or (iii) are made in the ordinary course of business;</w:t>
      </w:r>
    </w:p>
    <w:p>
      <w:pPr>
        <w:spacing w:after="0" w:line="157" w:lineRule="exact"/>
        <w:rPr>
          <w:rFonts w:ascii="Times New Roman" w:cs="Times New Roman" w:eastAsia="Times New Roman" w:hAnsi="Times New Roman"/>
          <w:sz w:val="17"/>
          <w:szCs w:val="17"/>
          <w:color w:val="auto"/>
        </w:rPr>
      </w:pPr>
    </w:p>
    <w:p>
      <w:pPr>
        <w:ind w:left="744" w:hanging="304"/>
        <w:spacing w:after="0"/>
        <w:tabs>
          <w:tab w:leader="none" w:pos="744"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termination of any lease, sublease, license or sub-license in the ordinary course of business (and any related Disposition of</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improvements made to leased real property resulting therefrom), (ii) any expiration of any option agreement in respect of real or personal property and</w:t>
      </w:r>
    </w:p>
    <w:p>
      <w:pPr>
        <w:spacing w:after="0" w:line="9" w:lineRule="exact"/>
        <w:rPr>
          <w:rFonts w:ascii="Times New Roman" w:cs="Times New Roman" w:eastAsia="Times New Roman" w:hAnsi="Times New Roman"/>
          <w:sz w:val="18"/>
          <w:szCs w:val="18"/>
          <w:color w:val="auto"/>
        </w:rPr>
      </w:pPr>
    </w:p>
    <w:p>
      <w:pPr>
        <w:ind w:left="4" w:right="20" w:hanging="4"/>
        <w:spacing w:after="0" w:line="260" w:lineRule="auto"/>
        <w:tabs>
          <w:tab w:leader="none" w:pos="319"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the settlement, release or surrender of contractual rights or litigation claims (including in tort) in the ordinary course of business;</w:t>
      </w:r>
    </w:p>
    <w:p>
      <w:pPr>
        <w:spacing w:after="0" w:line="181"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foreclosure, expropriation, forced disposition, casualty, eminent domain, expropriation or condemnation proceedings (including in lieu thereof or any similar proceeding);</w:t>
      </w:r>
    </w:p>
    <w:p>
      <w:pPr>
        <w:spacing w:after="0" w:line="161" w:lineRule="exact"/>
        <w:rPr>
          <w:rFonts w:ascii="Times New Roman" w:cs="Times New Roman" w:eastAsia="Times New Roman" w:hAnsi="Times New Roman"/>
          <w:sz w:val="18"/>
          <w:szCs w:val="18"/>
          <w:color w:val="auto"/>
        </w:rPr>
      </w:pPr>
    </w:p>
    <w:p>
      <w:pPr>
        <w:ind w:left="4" w:right="340" w:firstLine="436"/>
        <w:spacing w:after="0" w:line="266" w:lineRule="auto"/>
        <w:tabs>
          <w:tab w:leader="none" w:pos="699"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consignments of equipment, inventory or other assets (including leasehold or licensed interests and Settlement Assets, but excluding intellectual property or other IP Rights) (x) with respect to facilities that are temporarily not in use, held for sale or closed or (y) in the ordinary course of business;</w:t>
      </w:r>
    </w:p>
    <w:p>
      <w:pPr>
        <w:spacing w:after="0" w:line="175" w:lineRule="exact"/>
        <w:rPr>
          <w:rFonts w:ascii="Times New Roman" w:cs="Times New Roman" w:eastAsia="Times New Roman" w:hAnsi="Times New Roman"/>
          <w:sz w:val="18"/>
          <w:szCs w:val="18"/>
          <w:color w:val="auto"/>
        </w:rPr>
      </w:pPr>
    </w:p>
    <w:p>
      <w:pPr>
        <w:ind w:left="4" w:right="100" w:firstLine="436"/>
        <w:spacing w:after="0" w:line="312" w:lineRule="auto"/>
        <w:tabs>
          <w:tab w:leader="none" w:pos="699" w:val="left"/>
        </w:tabs>
        <w:numPr>
          <w:ilvl w:val="1"/>
          <w:numId w:val="6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transactions made as part of, or which are reasonably necessary or appropriate (as determined by the Borrower in good faith) to effect or facilitate, the Separation, including the Restructuring, the Borrower Distribution and the Distribution, or otherwise pursuant to Separation Agreements;</w:t>
      </w:r>
    </w:p>
    <w:p>
      <w:pPr>
        <w:spacing w:after="0" w:line="139" w:lineRule="exact"/>
        <w:rPr>
          <w:rFonts w:ascii="Times New Roman" w:cs="Times New Roman" w:eastAsia="Times New Roman" w:hAnsi="Times New Roman"/>
          <w:sz w:val="17"/>
          <w:szCs w:val="17"/>
          <w:color w:val="auto"/>
        </w:rPr>
      </w:pPr>
    </w:p>
    <w:p>
      <w:pPr>
        <w:ind w:left="4" w:firstLine="436"/>
        <w:spacing w:after="0" w:line="256" w:lineRule="auto"/>
        <w:tabs>
          <w:tab w:leader="none" w:pos="699"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non-core assets and sales of Real Estate Assets, in each case acquired in any acquisition or other Investment permitted hereunder, (II) Dispositions (x) made in order to obtain the approval of any anti-trust authority or otherwise necessary or advisable in the good faith determination of the Borrower to consummate any acquisition or other Investment permitted hereunder or (y) which, within 180 days of the date of such acquisition or Investment, are designated in writing to the Administrative Agent as being held for sale and not for the continued operation of the Borrower or any of their Restricted Subsidiaries or any of their respective businesses or (III) Dispositions of immaterial assets (considered in the aggregate and as reasonably determined by the Borrower in good faith);</w:t>
      </w:r>
    </w:p>
    <w:p>
      <w:pPr>
        <w:spacing w:after="0" w:line="187"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69"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exchanges or swaps, including transactions covered by Section 1031 of the Code (or any comparable provision of any foreign jurisdiction), of property or assets so long as any such exchange or swap is made for fair value (as determined by the Borrower in good faith) for like property or assets or property, assets or services of greater value or usefulness to the business of the Borrower and its Restricted Subsidiaries as a whole, as determined in good faith by 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consummation of any such exchange or swap by any Loan Party, to the extent the property received does not constitute an Excluded Asset, the Collateral Agent has a perfected Lien with the same priority as the Lien held on the property or assets so exchanged or swapped;</w:t>
      </w:r>
    </w:p>
    <w:p>
      <w:pPr>
        <w:spacing w:after="0" w:line="18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that do not constitute Collateral having a fair market value of not more than, in any Fiscal Year, the greater of</w:t>
      </w:r>
    </w:p>
    <w:p>
      <w:pPr>
        <w:spacing w:after="0" w:line="27" w:lineRule="exact"/>
        <w:rPr>
          <w:sz w:val="20"/>
          <w:szCs w:val="20"/>
          <w:color w:val="auto"/>
        </w:rPr>
      </w:pPr>
    </w:p>
    <w:p>
      <w:pPr>
        <w:ind w:left="4" w:right="160"/>
        <w:spacing w:after="0" w:line="260" w:lineRule="auto"/>
        <w:rPr>
          <w:sz w:val="20"/>
          <w:szCs w:val="20"/>
          <w:color w:val="auto"/>
        </w:rPr>
      </w:pPr>
      <w:r>
        <w:rPr>
          <w:rFonts w:ascii="Times New Roman" w:cs="Times New Roman" w:eastAsia="Times New Roman" w:hAnsi="Times New Roman"/>
          <w:sz w:val="18"/>
          <w:szCs w:val="18"/>
          <w:color w:val="auto"/>
        </w:rPr>
        <w:t>$337,500,000 and 15% of Consolidated Adjusted EBITDA as of the last day of the most recently ended Test Period, which amounts if not used in any Fiscal Year may be carried forward to subsequent Fiscal Years (until so applied);</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964"/>
          </w:cols>
          <w:pgMar w:left="436" w:top="269" w:right="499" w:bottom="1440" w:gutter="0" w:footer="0" w:header="0"/>
        </w:sectPr>
      </w:pPr>
    </w:p>
    <w:bookmarkStart w:id="518" w:name="page519"/>
    <w:bookmarkEnd w:id="518"/>
    <w:p>
      <w:pPr>
        <w:ind w:left="-40" w:right="40" w:firstLine="436"/>
        <w:spacing w:after="0" w:line="255" w:lineRule="auto"/>
        <w:tabs>
          <w:tab w:leader="none" w:pos="615"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licensing and cross-licensing (including sub-licensing) arrangements involving any technology, intellectual property or other IP Rights of the Borrower or any Restricted Subsidiary in the ordinary course of business, (ii) Dispositions, abandonments, cancellations or lapses of intellectual property or other IP Rights, including issuances or registrations thereof, or applications for issuances or registrations thereof, in accordance with their statutory terms, or in the ordinary course of business or which, in the good faith determination of the Borrower, are not necessary to the conduct of the business of the Borrower or its Restricted Subsidiaries or are obsolete or no longer economical to maintain in light of their use, and (iii) Dispositions of any technology, intellectual property or other IP Rights of the Borrower or any Restricted Subsidiary involving their customers in the ordinary course of business;</w:t>
      </w:r>
    </w:p>
    <w:p>
      <w:pPr>
        <w:spacing w:after="0" w:line="188" w:lineRule="exact"/>
        <w:rPr>
          <w:rFonts w:ascii="Times New Roman" w:cs="Times New Roman" w:eastAsia="Times New Roman" w:hAnsi="Times New Roman"/>
          <w:sz w:val="18"/>
          <w:szCs w:val="18"/>
          <w:color w:val="auto"/>
        </w:rPr>
      </w:pPr>
    </w:p>
    <w:p>
      <w:pPr>
        <w:ind w:left="660" w:hanging="264"/>
        <w:spacing w:after="0"/>
        <w:tabs>
          <w:tab w:leader="none" w:pos="66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terminations or unwinds of Derivative Transactions;</w:t>
      </w:r>
    </w:p>
    <w:p>
      <w:pPr>
        <w:spacing w:after="0" w:line="225" w:lineRule="exact"/>
        <w:rPr>
          <w:rFonts w:ascii="Times New Roman" w:cs="Times New Roman" w:eastAsia="Times New Roman" w:hAnsi="Times New Roman"/>
          <w:sz w:val="18"/>
          <w:szCs w:val="18"/>
          <w:color w:val="auto"/>
        </w:rPr>
      </w:pPr>
    </w:p>
    <w:p>
      <w:pPr>
        <w:ind w:left="-40" w:right="180" w:firstLine="436"/>
        <w:spacing w:after="0" w:line="266" w:lineRule="auto"/>
        <w:tabs>
          <w:tab w:leader="none" w:pos="655"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Capital Stock of, or sales of Indebtedness or other Securities of, Unrestricted Subsidiaries (or any Restricted Subsidiary that owns one or more Unrestricted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w:t>
      </w:r>
    </w:p>
    <w:p>
      <w:pPr>
        <w:spacing w:after="0" w:line="175" w:lineRule="exact"/>
        <w:rPr>
          <w:rFonts w:ascii="Times New Roman" w:cs="Times New Roman" w:eastAsia="Times New Roman" w:hAnsi="Times New Roman"/>
          <w:sz w:val="18"/>
          <w:szCs w:val="18"/>
          <w:color w:val="auto"/>
        </w:rPr>
      </w:pPr>
    </w:p>
    <w:p>
      <w:pPr>
        <w:ind w:left="-40" w:right="200" w:firstLine="436"/>
        <w:spacing w:after="0" w:line="282" w:lineRule="auto"/>
        <w:tabs>
          <w:tab w:leader="none" w:pos="695"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Estate Assets and related assets in the ordinary course of business in connection with relocation activities for directors, officers, employees, members of management, managers or consultants, the Borrower and/or any Restricted Subsidiary;</w:t>
      </w:r>
    </w:p>
    <w:p>
      <w:pPr>
        <w:spacing w:after="0" w:line="161" w:lineRule="exact"/>
        <w:rPr>
          <w:rFonts w:ascii="Times New Roman" w:cs="Times New Roman" w:eastAsia="Times New Roman" w:hAnsi="Times New Roman"/>
          <w:sz w:val="18"/>
          <w:szCs w:val="18"/>
          <w:color w:val="auto"/>
        </w:rPr>
      </w:pPr>
    </w:p>
    <w:p>
      <w:pPr>
        <w:ind w:left="-40" w:right="640" w:firstLine="436"/>
        <w:spacing w:after="0" w:line="282" w:lineRule="auto"/>
        <w:tabs>
          <w:tab w:leader="none" w:pos="655"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made to comply with any order or other directive of any Governmental Authority or any applicable Requirement of Law, including Dispositions of any Restricted Subsidiary’s Capital Stock required to qualify directors;</w:t>
      </w:r>
    </w:p>
    <w:p>
      <w:pPr>
        <w:spacing w:after="0" w:line="161" w:lineRule="exact"/>
        <w:rPr>
          <w:rFonts w:ascii="Times New Roman" w:cs="Times New Roman" w:eastAsia="Times New Roman" w:hAnsi="Times New Roman"/>
          <w:sz w:val="18"/>
          <w:szCs w:val="18"/>
          <w:color w:val="auto"/>
        </w:rPr>
      </w:pPr>
    </w:p>
    <w:p>
      <w:pPr>
        <w:ind w:left="-40" w:firstLine="436"/>
        <w:spacing w:after="0" w:line="266" w:lineRule="auto"/>
        <w:tabs>
          <w:tab w:leader="none" w:pos="655"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Disposition or conveyance the sole purpose of which is to reincorporate or reorganize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Restricted Subsidiary is a Loan Party it must satisfy the Collateral and Guarantee Requirement in such other jurisdiction to the extent otherwise required hereunder);</w:t>
      </w:r>
    </w:p>
    <w:p>
      <w:pPr>
        <w:spacing w:after="0" w:line="175" w:lineRule="exact"/>
        <w:rPr>
          <w:rFonts w:ascii="Times New Roman" w:cs="Times New Roman" w:eastAsia="Times New Roman" w:hAnsi="Times New Roman"/>
          <w:sz w:val="18"/>
          <w:szCs w:val="18"/>
          <w:color w:val="auto"/>
        </w:rPr>
      </w:pPr>
    </w:p>
    <w:p>
      <w:pPr>
        <w:ind w:left="640" w:hanging="244"/>
        <w:spacing w:after="0"/>
        <w:tabs>
          <w:tab w:leader="none" w:pos="640"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any part of a Permitted Reorganization;</w:t>
      </w:r>
    </w:p>
    <w:p>
      <w:pPr>
        <w:spacing w:after="0" w:line="225" w:lineRule="exact"/>
        <w:rPr>
          <w:sz w:val="20"/>
          <w:szCs w:val="20"/>
          <w:color w:val="auto"/>
        </w:rPr>
      </w:pPr>
    </w:p>
    <w:p>
      <w:pPr>
        <w:ind w:left="720" w:hanging="324"/>
        <w:spacing w:after="0"/>
        <w:tabs>
          <w:tab w:leader="none" w:pos="720"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motor vehicles and information technology equipment purchased at the end of an operating lease and resold thereafter;</w:t>
      </w:r>
    </w:p>
    <w:p>
      <w:pPr>
        <w:spacing w:after="0" w:line="225" w:lineRule="exact"/>
        <w:rPr>
          <w:rFonts w:ascii="Times New Roman" w:cs="Times New Roman" w:eastAsia="Times New Roman" w:hAnsi="Times New Roman"/>
          <w:sz w:val="18"/>
          <w:szCs w:val="18"/>
          <w:color w:val="auto"/>
        </w:rPr>
      </w:pPr>
    </w:p>
    <w:p>
      <w:pPr>
        <w:ind w:left="-40" w:right="320" w:firstLine="436"/>
        <w:spacing w:after="0" w:line="282" w:lineRule="auto"/>
        <w:tabs>
          <w:tab w:leader="none" w:pos="745"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Dispositions involving assets having a fair market value of not more than, in the aggregate, the greater of $562,500,000 and 25% of Consolidated Adjusted EBITDA as of the last day of the most recently ended Test Period;</w:t>
      </w:r>
    </w:p>
    <w:p>
      <w:pPr>
        <w:spacing w:after="0" w:line="161" w:lineRule="exact"/>
        <w:rPr>
          <w:rFonts w:ascii="Times New Roman" w:cs="Times New Roman" w:eastAsia="Times New Roman" w:hAnsi="Times New Roman"/>
          <w:sz w:val="18"/>
          <w:szCs w:val="18"/>
          <w:color w:val="auto"/>
        </w:rPr>
      </w:pPr>
    </w:p>
    <w:p>
      <w:pPr>
        <w:ind w:left="-40" w:right="260" w:firstLine="436"/>
        <w:spacing w:after="0" w:line="282" w:lineRule="auto"/>
        <w:tabs>
          <w:tab w:leader="none" w:pos="725"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contemplated on the Closing Date and, with respect to any such Disposition in excess of $10,000,000, described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6.07</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40" w:right="100" w:firstLine="436"/>
        <w:spacing w:after="0" w:line="266" w:lineRule="auto"/>
        <w:tabs>
          <w:tab w:leader="none" w:pos="745"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or participations therein, or Receivables Facility Assets, or any disposition of the Capital Stock in a Subsidiary all or substantially all of the assets of which are Receivables Facility Assets, or other rights to payment and related assets, in each case in connection with any Qualified Receivables Facility;</w:t>
      </w:r>
    </w:p>
    <w:p>
      <w:pPr>
        <w:spacing w:after="0" w:line="175" w:lineRule="exact"/>
        <w:rPr>
          <w:rFonts w:ascii="Times New Roman" w:cs="Times New Roman" w:eastAsia="Times New Roman" w:hAnsi="Times New Roman"/>
          <w:sz w:val="18"/>
          <w:szCs w:val="18"/>
          <w:color w:val="auto"/>
        </w:rPr>
      </w:pPr>
    </w:p>
    <w:p>
      <w:pPr>
        <w:ind w:left="-40" w:right="140" w:firstLine="436"/>
        <w:spacing w:after="0" w:line="282" w:lineRule="auto"/>
        <w:tabs>
          <w:tab w:leader="none" w:pos="725" w:val="left"/>
        </w:tabs>
        <w:numPr>
          <w:ilvl w:val="0"/>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940"/>
          </w:cols>
          <w:pgMar w:left="480" w:top="269" w:right="479" w:bottom="1440" w:gutter="0" w:footer="0" w:header="0"/>
        </w:sectPr>
      </w:pPr>
    </w:p>
    <w:bookmarkStart w:id="519" w:name="page520"/>
    <w:bookmarkEnd w:id="519"/>
    <w:p>
      <w:pPr>
        <w:ind w:right="620" w:firstLine="436"/>
        <w:spacing w:after="0" w:line="282" w:lineRule="auto"/>
        <w:tabs>
          <w:tab w:leader="none" w:pos="722"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netting arrangement of accounts receivable between or among the Borrower and their Restricted Subsidiaries or among Restricted Subsidiaries of the Borrower made in the ordinary course of business;</w:t>
      </w:r>
    </w:p>
    <w:p>
      <w:pPr>
        <w:spacing w:after="0" w:line="161" w:lineRule="exact"/>
        <w:rPr>
          <w:rFonts w:ascii="Times New Roman" w:cs="Times New Roman" w:eastAsia="Times New Roman" w:hAnsi="Times New Roman"/>
          <w:sz w:val="18"/>
          <w:szCs w:val="18"/>
          <w:color w:val="auto"/>
        </w:rPr>
      </w:pPr>
    </w:p>
    <w:p>
      <w:pPr>
        <w:ind w:right="620" w:firstLine="436"/>
        <w:spacing w:after="0" w:line="282" w:lineRule="auto"/>
        <w:tabs>
          <w:tab w:leader="none" w:pos="785"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or in connection with, any Convertible Indebtedness, any Permitted Bond Hedge Transaction, any Permitted Warrant Transaction or any Packaged Right (including upon settlement, repurchase, exchange, termination or unwind thereof);</w:t>
      </w:r>
    </w:p>
    <w:p>
      <w:pPr>
        <w:spacing w:after="0" w:line="161" w:lineRule="exact"/>
        <w:rPr>
          <w:rFonts w:ascii="Times New Roman" w:cs="Times New Roman" w:eastAsia="Times New Roman" w:hAnsi="Times New Roman"/>
          <w:sz w:val="18"/>
          <w:szCs w:val="18"/>
          <w:color w:val="auto"/>
        </w:rPr>
      </w:pPr>
    </w:p>
    <w:p>
      <w:pPr>
        <w:jc w:val="both"/>
        <w:ind w:right="580" w:firstLine="436"/>
        <w:spacing w:after="0" w:line="312" w:lineRule="auto"/>
        <w:tabs>
          <w:tab w:leader="none" w:pos="785" w:val="left"/>
        </w:tabs>
        <w:numPr>
          <w:ilvl w:val="0"/>
          <w:numId w:val="6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 in lieu” or other Disposition of assets to any Governmental Authority that continue in use by the Borrower or any Restricted Subsidiary, so long as such Borrower or any Restricted Subsidiary may obtain title to such asset upon reasonable notice by paying a nominal fee;</w:t>
      </w:r>
    </w:p>
    <w:p>
      <w:pPr>
        <w:spacing w:after="0" w:line="139" w:lineRule="exact"/>
        <w:rPr>
          <w:rFonts w:ascii="Times New Roman" w:cs="Times New Roman" w:eastAsia="Times New Roman" w:hAnsi="Times New Roman"/>
          <w:sz w:val="17"/>
          <w:szCs w:val="17"/>
          <w:color w:val="auto"/>
        </w:rPr>
      </w:pPr>
    </w:p>
    <w:p>
      <w:pPr>
        <w:jc w:val="both"/>
        <w:ind w:right="240" w:firstLine="436"/>
        <w:spacing w:after="0" w:line="261" w:lineRule="auto"/>
        <w:tabs>
          <w:tab w:leader="none" w:pos="705"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formation, dissolution, liquidation or Disposition of any Subsidiary that is a Delaware Divided LLC and (ii) any Disposition to effect the formation of any Restricted Subsidiary that is a Delaware Divided LLC which Disposition is not otherwise prohibited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each case upon formation of a Delaware Divided LLC, the Borrower complies with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xml:space="preserve"> with respect to such Delaware Divided LLC to the extent applicable; and</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or assets financed with the Available Excluded Contribution Amount or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of the Available Amount.</w:t>
      </w:r>
    </w:p>
    <w:p>
      <w:pPr>
        <w:spacing w:after="0" w:line="225"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that any Collateral is Disposed of as expressly permitted by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to any Person other than a Loan Party, such Collateral shall automatically be sold free and clear of the Liens created by the Loan Documents (which Liens shall be automatically released upon the consummation of such Disposition) and the Collateral Agent and the Administrative Agent shall be authorized to take, and shall take, any actions reasonably requested by the Borrower or otherwise deemed appropriate in order to effect the foregoing.</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any Disposition (or other disposition) in the form of a transfer of actual legal title (or transfer of similar effect) or an exclusive license of Material Intellectual Property by the Borrower or any Restricted Subsidiary to Unrestricted Subsidiaries shall not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Borrower in good faith) that is only exclusive with respect to a particular type or field (or types or fields) of usage or a certain territory or group of territories.</w:t>
      </w:r>
    </w:p>
    <w:p>
      <w:pPr>
        <w:spacing w:after="0" w:line="18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Sale and Lease-Back Transactions</w:t>
      </w:r>
      <w:r>
        <w:rPr>
          <w:rFonts w:ascii="Times New Roman" w:cs="Times New Roman" w:eastAsia="Times New Roman" w:hAnsi="Times New Roman"/>
          <w:sz w:val="18"/>
          <w:szCs w:val="18"/>
          <w:color w:val="auto"/>
        </w:rPr>
        <w:t>. The Borrower and each other Loan Party shall not, nor shall it permit any Restricted Subsidiary to, directly or indirectly, become or remain liable as lessee or as a guarantor or other surety with respect to any lease of any property (whether real, personal or mixed), whether now owned or hereafter acquired, which the Borrower or the relevant Loan Party or Restricted Subsidiary (a) has sold or transferred or is to sell or to transfer to any other Person (other than the Borrower or any of their Restricted Subsidiaries) and (b) intends to use for substantially the same purpose as the property which has been or is to be sold or transferred by the Borrower or such Loan Party or Restricted Subsidiary to any Person (other than the Borrower or any of their Restricted Subsidiaries) in connection with such lease (such a transaction described herein, a “</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Sale and Lease-Back Transaction shall be permitted so long as either (A) the resulting Indebtedness, if any, is permitted by </w:t>
      </w:r>
      <w:r>
        <w:rPr>
          <w:rFonts w:ascii="Times New Roman" w:cs="Times New Roman" w:eastAsia="Times New Roman" w:hAnsi="Times New Roman"/>
          <w:sz w:val="18"/>
          <w:szCs w:val="18"/>
          <w:u w:val="single" w:color="auto"/>
          <w:color w:val="auto"/>
        </w:rPr>
        <w:t>Section 6.01(m)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6.01(n)(2)</w:t>
      </w:r>
      <w:r>
        <w:rPr>
          <w:rFonts w:ascii="Times New Roman" w:cs="Times New Roman" w:eastAsia="Times New Roman" w:hAnsi="Times New Roman"/>
          <w:sz w:val="18"/>
          <w:szCs w:val="18"/>
          <w:color w:val="auto"/>
        </w:rPr>
        <w:t xml:space="preserve"> and/or the aggregate outstanding principal amount thereof does not exceed the amount available for Incremental Equivalent Debt (it being</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69" w:right="459" w:bottom="1440" w:gutter="0" w:footer="0" w:header="0"/>
        </w:sectPr>
      </w:pPr>
    </w:p>
    <w:bookmarkStart w:id="520" w:name="page521"/>
    <w:bookmarkEnd w:id="52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understood that if such Indebtedness is incurred in reliance on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of the Incremental Cap, the Borrower must be in compliance with the applicable ratio set forth in clause (e) of the definition of Incremental Cap based on whether such Indebtedness is secured by a first priority Lien on the Collateral or a Lien on the Collateral other than on a first priority basis or is unsecured or secured by a Lien on assets not constituting Collateral, calculated on a Pro Forma Basis as of the last day of the most recently ended Test Period) or (B) (1) such Sale and Lease-Back Transaction is made in exchange for Cash consideration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Cash consideration requirements set forth in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shall apply in determining whether or not the Cash consideration requirements in this clause are satisfied; it being understood that any Designated Non-Cash Consideration received in respect of the relevant Sale and Lease-Back Transaction having an aggregate fair market value, taken together with all other Designated Non-Cash Consideration received pursuant to this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of the proviso to </w:t>
      </w:r>
      <w:r>
        <w:rPr>
          <w:rFonts w:ascii="Times New Roman" w:cs="Times New Roman" w:eastAsia="Times New Roman" w:hAnsi="Times New Roman"/>
          <w:sz w:val="18"/>
          <w:szCs w:val="18"/>
          <w:u w:val="single" w:color="auto"/>
          <w:color w:val="auto"/>
        </w:rPr>
        <w:t>Section 6.07(h)</w:t>
      </w:r>
      <w:r>
        <w:rPr>
          <w:rFonts w:ascii="Times New Roman" w:cs="Times New Roman" w:eastAsia="Times New Roman" w:hAnsi="Times New Roman"/>
          <w:sz w:val="18"/>
          <w:szCs w:val="18"/>
          <w:color w:val="auto"/>
        </w:rPr>
        <w:t xml:space="preserve"> that is at that time outstanding, not in excess of the greater of $1,687,500,000 and 75% of Consolidated Adjusted EBITDA as of the last day of the most recently ended Test Period, in each case, shall be deemed to be Cash), (2) the Borrower or Loan Party or its applicable Restricted Subsidiary would otherwise be permitted to enter into, and remain liable under, the applicable underlying lease and (3) the aggregate fair market value of the assets sold subject to all Sale and Lease-Back Transactions under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exceed (i) the greater of $675,000,000 and 30% of Consolidated Adjusted EBITDA as of the last day of the most recently ended Test Period plus (ii) an unlimited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Cash proceeds received in connection therewith are applied to prepay the Loan Document Obligations hereunder as set forth in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Amendments of or Waivers with Respect to Restricted Debt</w:t>
      </w:r>
      <w:r>
        <w:rPr>
          <w:rFonts w:ascii="Times New Roman" w:cs="Times New Roman" w:eastAsia="Times New Roman" w:hAnsi="Times New Roman"/>
          <w:sz w:val="18"/>
          <w:szCs w:val="18"/>
          <w:color w:val="auto"/>
        </w:rPr>
        <w:t xml:space="preserve">. The Borrower and each other Loan Party shall not, nor shall it permit any Restricted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xml:space="preserve"> to, amend or otherwise modify the terms of any Restricted Debt (or the documentation governing any Restricted Debt) if the effect of such amendment or modification is expressly prohibited by any subordination provisions set forth therein or in any other stand-alone subordination or intercreditor agreement applicable thereto, without first obtaining the consent of the Administrative Agent (which consent shall not be unreasonably withheld, delayed or conditioned;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clarity, it is understood and agreed that the foregoing limitation shall not otherwise prohibit any Refinancing Indebtedness or any other replacement, refinancing, amendment, supplement, modification, extension, renewal, restatement or refunding of any Restricted Debt, in each case, that is permitted under this Agreement in respect thereof.</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LOAN GUARANTEE</w:t>
      </w:r>
    </w:p>
    <w:p>
      <w:pPr>
        <w:spacing w:after="0" w:line="207"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Guarantee of the Loan Document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terms of each Counterpart Agreement, the Guarantors jointly and severally hereby irrevocably and unconditionally guarantee to the Collateral Agent for the ratable benefit of the Secured Parties the due and punctual payment in full of all Obligations (other than Excluded Swap Obligations) when the same shall become due, whether at stated maturity, by required prepayment, declaration, acceleration, demand or otherwise (including amounts that would become due but for the operation of the automatic stay under Section 362(a) of the Bankruptcy Code or other Debtor Relief Laws) (collectively, the “</w:t>
      </w:r>
      <w:r>
        <w:rPr>
          <w:rFonts w:ascii="Times New Roman" w:cs="Times New Roman" w:eastAsia="Times New Roman" w:hAnsi="Times New Roman"/>
          <w:sz w:val="18"/>
          <w:szCs w:val="18"/>
          <w:b w:val="1"/>
          <w:bCs w:val="1"/>
          <w:color w:val="auto"/>
        </w:rPr>
        <w:t>Guaranteed Obligations</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980"/>
          </w:cols>
          <w:pgMar w:left="440" w:top="269" w:right="479" w:bottom="1440" w:gutter="0" w:footer="0" w:header="0"/>
        </w:sectPr>
      </w:pPr>
    </w:p>
    <w:bookmarkStart w:id="521" w:name="page522"/>
    <w:bookmarkEnd w:id="5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Contribution by Guarantors; Indemnification; Subordination</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80" w:firstLine="436"/>
        <w:spacing w:after="0" w:line="255" w:lineRule="auto"/>
        <w:tabs>
          <w:tab w:leader="none" w:pos="685"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Guarantors desire to allocate among themselves (collectively, the “</w:t>
      </w:r>
      <w:r>
        <w:rPr>
          <w:rFonts w:ascii="Times New Roman" w:cs="Times New Roman" w:eastAsia="Times New Roman" w:hAnsi="Times New Roman"/>
          <w:sz w:val="18"/>
          <w:szCs w:val="18"/>
          <w:b w:val="1"/>
          <w:bCs w:val="1"/>
          <w:color w:val="auto"/>
        </w:rPr>
        <w:t>Contributing Guarantors</w:t>
      </w:r>
      <w:r>
        <w:rPr>
          <w:rFonts w:ascii="Times New Roman" w:cs="Times New Roman" w:eastAsia="Times New Roman" w:hAnsi="Times New Roman"/>
          <w:sz w:val="18"/>
          <w:szCs w:val="18"/>
          <w:color w:val="auto"/>
        </w:rPr>
        <w:t>”), in a fair and equitable manner, their obligations arising under the Loan Guarantee. Accordingly, in the event any payment or distribution (including the sale of any assets) is made on any date by a Guarantor (a “</w:t>
      </w:r>
      <w:r>
        <w:rPr>
          <w:rFonts w:ascii="Times New Roman" w:cs="Times New Roman" w:eastAsia="Times New Roman" w:hAnsi="Times New Roman"/>
          <w:sz w:val="18"/>
          <w:szCs w:val="18"/>
          <w:b w:val="1"/>
          <w:bCs w:val="1"/>
          <w:color w:val="auto"/>
        </w:rPr>
        <w:t>Funding Guarantor</w:t>
      </w:r>
      <w:r>
        <w:rPr>
          <w:rFonts w:ascii="Times New Roman" w:cs="Times New Roman" w:eastAsia="Times New Roman" w:hAnsi="Times New Roman"/>
          <w:sz w:val="18"/>
          <w:szCs w:val="18"/>
          <w:color w:val="auto"/>
        </w:rPr>
        <w:t xml:space="preserve">”) under the Loan Guarantee or any other Loan Document such that its Aggregate Payments exceeds its Fair Share as of such date, such Funding Guarantor shall be entitled to a contribution from each of the other Contributing Guarantors in an amount sufficient to cause each Contributing Guarantor’s Aggregate Payments to equal its Fair Share as of such date. The allocation among Contributing Guarantors of their obligations as set forth in this Agreement shall not be construed in any way to limit the liability of any Contributing Guarantor hereunder or under any other Loan Document. Any Contributing Guarantor making a payment under this </w:t>
      </w:r>
      <w:r>
        <w:rPr>
          <w:rFonts w:ascii="Times New Roman" w:cs="Times New Roman" w:eastAsia="Times New Roman" w:hAnsi="Times New Roman"/>
          <w:sz w:val="18"/>
          <w:szCs w:val="18"/>
          <w:u w:val="single" w:color="auto"/>
          <w:color w:val="auto"/>
        </w:rPr>
        <w:t>Section 7.02(a)</w:t>
      </w:r>
      <w:r>
        <w:rPr>
          <w:rFonts w:ascii="Times New Roman" w:cs="Times New Roman" w:eastAsia="Times New Roman" w:hAnsi="Times New Roman"/>
          <w:sz w:val="18"/>
          <w:szCs w:val="18"/>
          <w:color w:val="auto"/>
        </w:rPr>
        <w:t xml:space="preserve"> shall be subrogated to the rights of the Funding Guarantor under </w:t>
      </w:r>
      <w:r>
        <w:rPr>
          <w:rFonts w:ascii="Times New Roman" w:cs="Times New Roman" w:eastAsia="Times New Roman" w:hAnsi="Times New Roman"/>
          <w:sz w:val="18"/>
          <w:szCs w:val="18"/>
          <w:u w:val="single" w:color="auto"/>
          <w:color w:val="auto"/>
        </w:rPr>
        <w:t>Section 7.02(b)</w:t>
      </w:r>
      <w:r>
        <w:rPr>
          <w:rFonts w:ascii="Times New Roman" w:cs="Times New Roman" w:eastAsia="Times New Roman" w:hAnsi="Times New Roman"/>
          <w:sz w:val="18"/>
          <w:szCs w:val="18"/>
          <w:color w:val="auto"/>
        </w:rPr>
        <w:t xml:space="preserve"> below to the extent of such payment.</w:t>
      </w:r>
    </w:p>
    <w:p>
      <w:pPr>
        <w:spacing w:after="0" w:line="188"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all such rights of indemnity and subrogation as the Guarantors may have under applicable law, the Borrower agrees that (i) in the event a payment in respect of any Obligation of such Borrower shall be made by any Guarantor under the Loan Guarantee, such Borrower shall indemnify such Guarantor for the full amount of such payment and such Guarantor shall be subrogated to the rights of the Person to whom such payment shall have been made to the extent of such payment and (ii) in the event any assets of any Guarantor shall be sold pursuant to any Loan Document to satisfy in whole or in part an Obligation owed to any Secured Party by such Borrower, such Borrower shall indemnify such Guarantor in an amount equal to the greater of the book value or the fair market value of the assets so sold.</w:t>
      </w:r>
    </w:p>
    <w:p>
      <w:pPr>
        <w:spacing w:after="0" w:line="187" w:lineRule="exact"/>
        <w:rPr>
          <w:rFonts w:ascii="Times New Roman" w:cs="Times New Roman" w:eastAsia="Times New Roman" w:hAnsi="Times New Roman"/>
          <w:sz w:val="18"/>
          <w:szCs w:val="18"/>
          <w:color w:val="auto"/>
        </w:rPr>
      </w:pPr>
    </w:p>
    <w:p>
      <w:pPr>
        <w:ind w:right="120" w:firstLine="436"/>
        <w:spacing w:after="0" w:line="257" w:lineRule="auto"/>
        <w:tabs>
          <w:tab w:leader="none" w:pos="685"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of this Agreement to the contrary, all rights of the Guarantors under </w:t>
      </w:r>
      <w:r>
        <w:rPr>
          <w:rFonts w:ascii="Times New Roman" w:cs="Times New Roman" w:eastAsia="Times New Roman" w:hAnsi="Times New Roman"/>
          <w:sz w:val="18"/>
          <w:szCs w:val="18"/>
          <w:u w:val="single" w:color="auto"/>
          <w:color w:val="auto"/>
        </w:rPr>
        <w:t>Sections 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hereof and all other rights of the Guarantors of indemnity, contribution or subrogation under applicable law or otherwise shall be fully subordinated to the payment in full in cash of the Loan Document Obligations. No failure on the part of the Borrower or any Guarantor to make the payments required by </w:t>
      </w:r>
      <w:r>
        <w:rPr>
          <w:rFonts w:ascii="Times New Roman" w:cs="Times New Roman" w:eastAsia="Times New Roman" w:hAnsi="Times New Roman"/>
          <w:sz w:val="18"/>
          <w:szCs w:val="18"/>
          <w:u w:val="single" w:color="auto"/>
          <w:color w:val="auto"/>
        </w:rPr>
        <w:t>Sections</w:t>
      </w:r>
    </w:p>
    <w:p>
      <w:pPr>
        <w:spacing w:after="0" w:line="1" w:lineRule="exact"/>
        <w:rPr>
          <w:rFonts w:ascii="Times New Roman" w:cs="Times New Roman" w:eastAsia="Times New Roman" w:hAnsi="Times New Roman"/>
          <w:sz w:val="18"/>
          <w:szCs w:val="18"/>
          <w:color w:val="auto"/>
        </w:rPr>
      </w:pPr>
    </w:p>
    <w:p>
      <w:pPr>
        <w:ind w:right="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7.02(a)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any other payments required under Requirements of Law or otherwise) shall in any respect limit the obligations and liabilities of any Guarantor with respect to its obligations hereunder, and each Guarantor shall remain liable for the full amount of the obligations of such Guarantor hereunder.</w:t>
      </w:r>
    </w:p>
    <w:p>
      <w:pPr>
        <w:spacing w:after="0" w:line="186"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Payment by Subsidiary Guarantors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the terms of each Counterpart Agreement, the Subsidiary Guarantors hereby jointly and severally agree, in furtherance of the foregoing and not in limitation of any other right which any Secured Party may have at law or in equity against any Subsidiary Guarantor by virtue hereof, that upon the failure of the Borrower to pay any of the Guaranteed Obligations when and as the same shall become due, whether at stated maturity, by required prepayment, declaration, acceleration, demand or otherwise (including amounts that would become due but for the operation of the automatic stay under Section 362(a) of the Bankruptcy Code or analogous provisions of other Debtor Relief Laws), the Subsidiary Guarantors will upon demand pay, or cause to be paid, in Cash, to the Collateral Agent for the benefit of the Secured Parties, an amount equal to the sum of the unpaid principal amount of all Guaranteed Obligations then due as aforesaid, accrued and unpaid interest on such Guaranteed Obligations (including interest which, but for the Borrower’s becoming the subject of a case or proceeding under any Debtor Relief Law, would have accrued on such Guaranteed Obligations, whether or not a claim is allowed against the Borrower for such interest in the related bankruptcy case) and all other Guaranteed Obligations then owed to Secured Parties as aforesaid.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1000"/>
          </w:cols>
          <w:pgMar w:left="440" w:top="269" w:right="459" w:bottom="1440" w:gutter="0" w:footer="0" w:header="0"/>
        </w:sectPr>
      </w:pPr>
    </w:p>
    <w:bookmarkStart w:id="522" w:name="page523"/>
    <w:bookmarkEnd w:id="522"/>
    <w:p>
      <w:pPr>
        <w:jc w:val="both"/>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Liability of Guarantors Absolute</w:t>
      </w:r>
      <w:r>
        <w:rPr>
          <w:rFonts w:ascii="Times New Roman" w:cs="Times New Roman" w:eastAsia="Times New Roman" w:hAnsi="Times New Roman"/>
          <w:sz w:val="18"/>
          <w:szCs w:val="18"/>
          <w:color w:val="auto"/>
        </w:rPr>
        <w:t>. To the extent permitted under applicable law, each Guarantor agrees that its obligations hereunder are irrevocable, absolute, independent and unconditional and shall not be affected by any circumstance which constitutes a legal or equitable discharge of a guarantor or surety other than satisfaction in full of the Guaranteed Obligations. In furtherance of the foregoing and without limiting the generality thereof, each Guarantor agrees as follows:</w:t>
      </w:r>
    </w:p>
    <w:p>
      <w:pPr>
        <w:spacing w:after="0" w:line="72" w:lineRule="exact"/>
        <w:rPr>
          <w:sz w:val="20"/>
          <w:szCs w:val="20"/>
          <w:color w:val="auto"/>
        </w:rPr>
      </w:pPr>
    </w:p>
    <w:p>
      <w:pPr>
        <w:ind w:left="4" w:right="100" w:firstLine="436"/>
        <w:spacing w:after="0" w:line="282" w:lineRule="auto"/>
        <w:tabs>
          <w:tab w:leader="none" w:pos="689"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Guarantee is a guarantee of payment and performance when due and not of collection. This Loan Guarantee is a primary obligation of each Guarantor and not merely a contract of surety;</w:t>
      </w:r>
    </w:p>
    <w:p>
      <w:pPr>
        <w:spacing w:after="0" w:line="161"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699"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under Requirements of Law, the Collateral Agent may enforce this Loan Guarantee upon the occurrence of an Event of Default notwithstanding the existence of any dispute between the Borrower and any Secured Party with respect to the existence of such Event of Default;</w:t>
      </w:r>
    </w:p>
    <w:p>
      <w:pPr>
        <w:spacing w:after="0" w:line="175"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689"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each Guarantor hereunder are independent of the obligations of the Borrower and the obligations of any other guarantor (including any other Guarantor) of the obligations of the Borrower, and a separate action or actions may be brought and prosecuted against such Guarantor whether or not any action is brought against the Borrower or any of such other guarantors and whether or not the Borrower is joined in any such action or actions;</w:t>
      </w:r>
    </w:p>
    <w:p>
      <w:pPr>
        <w:spacing w:after="0" w:line="179" w:lineRule="exact"/>
        <w:rPr>
          <w:rFonts w:ascii="Times New Roman" w:cs="Times New Roman" w:eastAsia="Times New Roman" w:hAnsi="Times New Roman"/>
          <w:sz w:val="18"/>
          <w:szCs w:val="18"/>
          <w:color w:val="auto"/>
        </w:rPr>
      </w:pPr>
    </w:p>
    <w:p>
      <w:pPr>
        <w:ind w:left="4" w:right="300" w:firstLine="436"/>
        <w:spacing w:after="0" w:line="256" w:lineRule="auto"/>
        <w:tabs>
          <w:tab w:leader="none" w:pos="699" w:val="left"/>
        </w:tabs>
        <w:numPr>
          <w:ilvl w:val="1"/>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by any Guarantor of a portion, but not all, of the Guaranteed Obligations shall in no way limit, affect, modify or abridge any Guarantor’s liability for any portion of the Guaranteed Obligations which has not been paid. Without limiting the generality of the foregoing, if the Collateral Agent or the Administrative Agent is awarded a judgment in any suit brought to enforce any Guarantor’s covenant to pay a portion of the Guaranteed Obligations, such judgment shall not be deemed to release such Guarantor from its covenant to pay the portion of the Guaranteed Obligations that is not the subject of such suit, and such judgment shall not, except to the extent satisfied by such Guarantor, limit, affect, modify or abridge any other Guarantor’s liability hereunder in respect of the Guaranteed Obligations;</w:t>
      </w:r>
    </w:p>
    <w:p>
      <w:pPr>
        <w:spacing w:after="0" w:line="187" w:lineRule="exact"/>
        <w:rPr>
          <w:rFonts w:ascii="Times New Roman" w:cs="Times New Roman" w:eastAsia="Times New Roman" w:hAnsi="Times New Roman"/>
          <w:sz w:val="18"/>
          <w:szCs w:val="18"/>
          <w:color w:val="auto"/>
        </w:rPr>
      </w:pPr>
    </w:p>
    <w:p>
      <w:pPr>
        <w:ind w:left="4" w:right="240" w:firstLine="436"/>
        <w:spacing w:after="0" w:line="276" w:lineRule="auto"/>
        <w:tabs>
          <w:tab w:leader="none" w:pos="689" w:val="left"/>
        </w:tabs>
        <w:numPr>
          <w:ilvl w:val="1"/>
          <w:numId w:val="7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Secured Party, upon such terms as it deems appropriate, without notice or demand and without affecting the validity or enforceability hereof or giving rise to any reduction, limitation, impairment, discharge or termination of any Guarantor’s liability hereunder, from time to time may</w:t>
      </w:r>
    </w:p>
    <w:p>
      <w:pPr>
        <w:ind w:left="4" w:right="560" w:hanging="4"/>
        <w:spacing w:after="0" w:line="265" w:lineRule="auto"/>
        <w:tabs>
          <w:tab w:leader="none" w:pos="219" w:val="left"/>
        </w:tabs>
        <w:numPr>
          <w:ilvl w:val="0"/>
          <w:numId w:val="7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 extend, accelerate, increase the rate of interest on, or otherwise change the time, place, manner or terms of payment of the Guaranteed Obligations; (ii) settle, compromise, release or discharge, or accept or refuse any offer of performance with respect to, or substitutions for, the Guaranteed Obligations or any agreement relating thereto and/or subordinate the payment of the same to the payment of any other obligations;</w:t>
      </w:r>
    </w:p>
    <w:p>
      <w:pPr>
        <w:ind w:left="324" w:hanging="324"/>
        <w:spacing w:after="0"/>
        <w:tabs>
          <w:tab w:leader="none" w:pos="324" w:val="left"/>
        </w:tabs>
        <w:numPr>
          <w:ilvl w:val="0"/>
          <w:numId w:val="7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request and accept other guaranties of the Guaranteed Obligations and take and hold security for the payment hereof or the Guaranteed Obligations;</w:t>
      </w:r>
    </w:p>
    <w:p>
      <w:pPr>
        <w:spacing w:after="0" w:line="20" w:lineRule="exact"/>
        <w:rPr>
          <w:rFonts w:ascii="Times New Roman" w:cs="Times New Roman" w:eastAsia="Times New Roman" w:hAnsi="Times New Roman"/>
          <w:sz w:val="17"/>
          <w:szCs w:val="17"/>
          <w:color w:val="auto"/>
        </w:rPr>
      </w:pPr>
    </w:p>
    <w:p>
      <w:pPr>
        <w:ind w:left="4" w:hanging="4"/>
        <w:spacing w:after="0" w:line="251" w:lineRule="auto"/>
        <w:tabs>
          <w:tab w:leader="none" w:pos="309"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surrender, exchange, substitute, compromise, settle, rescind, waive, alter, subordinate or modify, with or without consideration, any security for payment of the Guaranteed Obligations, any other guaranties of the Guaranteed Obligations, or any other obligation of any Person (including any other Guarantor) with respect to the Guaranteed Obligations; (v) enforce and apply any security now or hereafter held by or for the benefit of such Secured Party in respect hereof or the Guaranteed Obligations and direct the order or manner of sale thereof, or exercise any other right or remedy that such Secured Party may have against any such security, in each case as such Secured Party in its discretion may determine consistent herewith or the applicable Hedge Agreement or agreement relating to Banking Services Obligations and any applicable security agreement, including foreclosure on any such security pursuant to one or more judicial or nonjudicial sales, whether or not every aspect of any such sale is commercially reasonable, and even though such</w:t>
      </w:r>
    </w:p>
    <w:p>
      <w:pPr>
        <w:spacing w:after="0" w:line="12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944"/>
          </w:cols>
          <w:pgMar w:left="436" w:top="269" w:right="519" w:bottom="1440" w:gutter="0" w:footer="0" w:header="0"/>
        </w:sectPr>
      </w:pPr>
    </w:p>
    <w:bookmarkStart w:id="523" w:name="page524"/>
    <w:bookmarkEnd w:id="523"/>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action operates to impair or extinguish any right of reimbursement or subrogation or other right or remedy of any Guarantor against the Borrower or any security for the Guaranteed Obligations; and (vi) exercise any other rights available to it under the Loan Documents or any agreement relating to Derivative Transactions or Banking Services Obligations; and</w:t>
      </w:r>
    </w:p>
    <w:p>
      <w:pPr>
        <w:spacing w:after="0" w:line="176" w:lineRule="exact"/>
        <w:rPr>
          <w:sz w:val="20"/>
          <w:szCs w:val="20"/>
          <w:color w:val="auto"/>
        </w:rPr>
      </w:pPr>
    </w:p>
    <w:p>
      <w:pPr>
        <w:ind w:firstLine="436"/>
        <w:spacing w:after="0" w:line="251" w:lineRule="auto"/>
        <w:tabs>
          <w:tab w:leader="none" w:pos="665" w:val="left"/>
        </w:tabs>
        <w:numPr>
          <w:ilvl w:val="0"/>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Loan Guarantee and the obligations of the Guarantors hereunder shall be valid and enforceable and shall not be subject to any reduction, limitation, impairment, discharge or termination for any reason (other than payment in full of the Guaranteed Obligations), including the occurrence of any of the following, whether or not any Guarantor shall have had notice or knowledge of any of them: (i) any failure or omission to assert or enforce or agreement or election not to assert or enforce, or the stay or enjoining, by order of court, by operation of law or otherwise, of the exercise or enforcement of, any claim or demand or any right, power or remedy (whether arising under the Loan Documents or any agreements relating to Derivative Transactions or Banking Services, at law, in equity or otherwise) with respect to the Guaranteed Obligations or any agreement relating thereto, or with respect to any other guarantee of or security for the payment or performance of the Guaranteed Obligations; (ii) any rescission, waiver, amendment or modification of, or any consent to departure from, any of the terms or provisions (including provisions relating to events of default) hereof, any of the other Loan Documents, any agreements relating to Derivative Transactions or Banking Services or any agreement or instrument executed pursuant thereto, or of any other guarantee or security for the Guaranteed Obligations, in each case whether or not in accordance with the terms hereof or such Loan Document, such agreement relating to Derivatives Transactions or Banking Services or any agreement relating to such other guarantee or security; (iii) to the extent permitted by applicable law, the Guaranteed Obligations, or any agreement relating thereto, at any time being found to be illegal, invalid or unenforceable in any respect; (iv) the application of payments received from any source (other than payments received pursuant to the other Loan Documents, any agreements relating to Derivative Transactions or Banking Services or from the proceeds of any security for the Guaranteed Obligations, except to the extent such security also serves as collateral for indebtedness other than the Guaranteed Obligations) to the payment of indebtedness other than the Guaranteed Obligations, even though any Secured Party might have elected to apply such payment to any part or all of the Guaranteed Obligations; (v) any Secured Party’s consent to the change, reorganization or termination of the corporate structure or existence of the Borrower or any of its Subsidiaries and to any corresponding restructuring of the Guaranteed Obligations; (vi) any failure to perfect or continue perfection of a security interest in any collateral which secures any of the Guaranteed Obligations; (vii) to the extent permitted by applicable law, any defenses, set-offs or counterclaims which the Borrower may allege or assert against any Secured Party in respect of the Guaranteed Obligations, including failure of consideration, breach of warranty, payment, statute of frauds, statute of limitations, accord and satisfaction and usury; and (viii) any other act or thing or omission, or delay to do any other act or thing, which may or might in any manner or to any extent vary the risk of any Guarantor as an obligor in respect of the Guaranteed Obligations.</w:t>
      </w:r>
    </w:p>
    <w:p>
      <w:pPr>
        <w:spacing w:after="0" w:line="20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Waivers by Guarantors</w:t>
      </w:r>
      <w:r>
        <w:rPr>
          <w:rFonts w:ascii="Times New Roman" w:cs="Times New Roman" w:eastAsia="Times New Roman" w:hAnsi="Times New Roman"/>
          <w:sz w:val="18"/>
          <w:szCs w:val="18"/>
          <w:color w:val="auto"/>
        </w:rPr>
        <w:t>. To the extent permitted by applicable law, each Guarantor hereby waives, for the benefit of the Secured Parties: (a) any right to require any Secured Party, as a condition of payment or performance by such Guarantor, to (i) proceed against the Borrower, any other guarantor (including any other Guarantor) of the Guaranteed Obligations or any other Person, (ii) proceed against or exhaust any security held from the Borrower, any such other guarantor or any other Person, (iii) proceed against or have resort to any balance of any Deposit Account or credit on the books of any Secured Party in favor of the Borrower or any other Person, or (iv) pursue any other remedy in the power of any Secured Party whatsoever; (b) any defense arising by reason of the incapacity, lack of authority or any disability or other defense of the Borrower or any other Guarantor including any defense based on or arising out of the lack of validity or the unenforceability of the Guaranteed Obligations or any agreement or instrument relating thereto or by reason of the cessation of the liability of the Borrower or any other Guarantor from any cause other than satisfaction in full of the Guaranteed Obligations; (c) any</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1000"/>
          </w:cols>
          <w:pgMar w:left="440" w:top="269" w:right="459" w:bottom="1440" w:gutter="0" w:footer="0" w:header="0"/>
        </w:sectPr>
      </w:pPr>
    </w:p>
    <w:bookmarkStart w:id="524" w:name="page525"/>
    <w:bookmarkEnd w:id="52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defense based upon any statute or rule of law which provides that the obligation of a surety must be neither larger in amount nor in other respects more burdensome than that of the principal; (d) any defense based upon any Secured Party’s errors or omissions in the administration of the Guaranteed Obligations, except behavior which amounts to gross negligence, willful misconduct or bad faith; (e) (i) any principles or provisions of law, statutory or otherwise, which are or might be in conflict with the terms hereof and any legal or equitable discharge of such Guarantor’s obligations hereunder, (ii) the benefit of any statute of limitations affecting such Guarantor’s liability hereunder or the enforcement hereof, (iii) any rights to set-offs, recoupments and counterclaims, and (iv) promptness, diligence and any requirement that any Secured Party protect, secure, perfect or insure any security interest or lien or any property subject thereto; (f) notices, demands, presentments, protests, notices of protest, notices of dishonor and notices of any action or inaction, including acceptance hereof, notices of default hereunder, agreements relating to Derivative Transactions or Banking Services or any agreement or instrument related thereto, notices of any renewal, extension or modification of the Guaranteed Obligations or any agreement related thereto, notices of any extension of credit to the Borrower and notices of any of the matters referred to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and any right to consent to any thereof; and (g) any defenses or benefits that may be derived from or afforded by law which limit the liability of or exonerate guarantors or sureties, or which may conflict with the terms hereof.</w:t>
      </w:r>
    </w:p>
    <w:p>
      <w:pPr>
        <w:spacing w:after="0" w:line="19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Guarantors’ Rights of Subrogation, Contribution, etc.</w:t>
      </w:r>
      <w:r>
        <w:rPr>
          <w:rFonts w:ascii="Times New Roman" w:cs="Times New Roman" w:eastAsia="Times New Roman" w:hAnsi="Times New Roman"/>
          <w:sz w:val="18"/>
          <w:szCs w:val="18"/>
          <w:color w:val="auto"/>
        </w:rPr>
        <w:t xml:space="preserve"> Until the Termination Date, each Guarantor hereby waives, to the extent permitted by applicable law, any claim, right or remedy, direct or indirect, that such Guarantor now has or may hereafter have against the Borrower or any other Guarantor or any of its assets in connection with this Loan Guarantee or the performance by such Guarantor of its obligations hereunder, in each case whether such claim, right or remedy arises in equity, under contract, by statute, under common law or otherwise and including (a) any right of subrogation, reimbursement or indemnification that such Guarantor now has or may hereafter have against the Borrower with respect to the Guaranteed Obligations, (b) any right to enforce, or to participate in, any claim, right or remedy that any Secured Party now has or may hereafter have against the Borrower, and (c) any benefit of, and any right to participate in, any collateral or security now or hereafter held by any Secured Party. In addition, until the Termination Date, each Guarantor shall withhold exercise of any right of contribution such Guarantor may have against any other guarantor (including any other Guarantor) of the Guaranteed Obligations, including any such right of contribution set forth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hereof. Each Guarantor further agrees that, to the extent the waiver or agreement to withhold the exercise of its rights of subrogation, reimbursement, indemnification and contribution as set forth herein is found by a court of competent jurisdiction to be void or voidable for any reason, any rights of subrogation, reimbursement or indemnification such Guarantor may have against any other Guarantor or against any collateral or security, and any rights of contribution such Guarantor may have against any such other guarantor, shall be junior and subordinate to any rights any Secured Party may have against the Borrower, to all right, title and interest any Secured Party may have in any such collateral or security, and to any right any Secured Party may have against such other guarantor. If any amount shall be paid to any Guarantor on account of any such subrogation, reimbursement, indemnification or contribution rights at any time prior to the Termination Date, such amount shall be held in trust for the Collateral Agent on behalf of the Secured Parties and shall forthwith be paid over to the Collateral Agent for the benefit of the Secured Parties to be credited and applied against the Guaranteed Obligations, whether matured or unmatured, in accordance with the terms hereof.</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Subordination of Other Obligations</w:t>
      </w:r>
      <w:r>
        <w:rPr>
          <w:rFonts w:ascii="Times New Roman" w:cs="Times New Roman" w:eastAsia="Times New Roman" w:hAnsi="Times New Roman"/>
          <w:sz w:val="18"/>
          <w:szCs w:val="18"/>
          <w:color w:val="auto"/>
        </w:rPr>
        <w:t>. Any Indebtedness of the Borrower or any Subsidiary Guarantor now or hereafter owed to any Guarantor (the “</w:t>
      </w:r>
      <w:r>
        <w:rPr>
          <w:rFonts w:ascii="Times New Roman" w:cs="Times New Roman" w:eastAsia="Times New Roman" w:hAnsi="Times New Roman"/>
          <w:sz w:val="18"/>
          <w:szCs w:val="18"/>
          <w:b w:val="1"/>
          <w:bCs w:val="1"/>
          <w:color w:val="auto"/>
        </w:rPr>
        <w:t>Obligee Guarantor</w:t>
      </w:r>
      <w:r>
        <w:rPr>
          <w:rFonts w:ascii="Times New Roman" w:cs="Times New Roman" w:eastAsia="Times New Roman" w:hAnsi="Times New Roman"/>
          <w:sz w:val="18"/>
          <w:szCs w:val="18"/>
          <w:color w:val="auto"/>
        </w:rPr>
        <w:t>”) is hereby subordinated in right of payment to the Guaranteed Obligations, and any such Indebtedness collected or received by the Obligee Guarantor after an Event of Default has occurred and is continuing shall be held in trust for the Collateral Agent on behalf of the Secured Parties and shall forthwith be paid over to the Collateral Agent for the benefit of the Secured Parties to be credited and applied against the Guaranteed Obligations but without affecting, impairing or limiting in any manner the liability of the Obligee Guarantor under any other provision hereof.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1000"/>
          </w:cols>
          <w:pgMar w:left="440" w:top="269" w:right="459" w:bottom="1440" w:gutter="0" w:footer="0" w:header="0"/>
        </w:sectPr>
      </w:pPr>
    </w:p>
    <w:bookmarkStart w:id="525" w:name="page526"/>
    <w:bookmarkEnd w:id="525"/>
    <w:p>
      <w:pPr>
        <w:ind w:right="2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7.08. </w:t>
      </w:r>
      <w:r>
        <w:rPr>
          <w:rFonts w:ascii="Times New Roman" w:cs="Times New Roman" w:eastAsia="Times New Roman" w:hAnsi="Times New Roman"/>
          <w:sz w:val="17"/>
          <w:szCs w:val="17"/>
          <w:u w:val="single" w:color="auto"/>
          <w:color w:val="auto"/>
        </w:rPr>
        <w:t>Continuing Guarantee</w:t>
      </w:r>
      <w:r>
        <w:rPr>
          <w:rFonts w:ascii="Times New Roman" w:cs="Times New Roman" w:eastAsia="Times New Roman" w:hAnsi="Times New Roman"/>
          <w:sz w:val="17"/>
          <w:szCs w:val="17"/>
          <w:color w:val="auto"/>
        </w:rPr>
        <w:t>. This Loan Guarantee is a continuing guarantee and shall remain in effect until the Termination Date. Each Guarantor hereby irrevocably waives any right to revoke this Loan Guarantee as to future transactions giving rise to any Guaranteed Obligations.</w:t>
      </w:r>
    </w:p>
    <w:p>
      <w:pPr>
        <w:spacing w:after="0" w:line="14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Authority of Subsidiary Guarantors or Borrower</w:t>
      </w:r>
      <w:r>
        <w:rPr>
          <w:rFonts w:ascii="Times New Roman" w:cs="Times New Roman" w:eastAsia="Times New Roman" w:hAnsi="Times New Roman"/>
          <w:sz w:val="18"/>
          <w:szCs w:val="18"/>
          <w:color w:val="auto"/>
        </w:rPr>
        <w:t>. It is not necessary for any Secured Party to inquire into the capacity or powers of any Subsidiary Guarantor or the Borrower or the officers, directors or any Agents acting or purporting to act on behalf of any of them.</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Financial Condition of Borrower</w:t>
      </w:r>
      <w:r>
        <w:rPr>
          <w:rFonts w:ascii="Times New Roman" w:cs="Times New Roman" w:eastAsia="Times New Roman" w:hAnsi="Times New Roman"/>
          <w:sz w:val="18"/>
          <w:szCs w:val="18"/>
          <w:color w:val="auto"/>
        </w:rPr>
        <w:t>. Any Credit Extension may be made to the Borrower or continued from time to time, and any agreements relating to Derivative Transactions or Banking Services may be entered into from time to time, in each case without notice to or authorization from any Guarantor regardless of the financial or other condition of the Borrower at the time of any such grant or continuation or at the time such agreement relating to Derivatives Transactions or Banking Services is entered into, as the case may be. No Secured Party shall have any obligation to disclose or discuss with any Subsidiary Guarantor its assessment, or any Subsidiary Guarantor’s assessment, of the financial condition of the Borrower. Each Subsidiary Guarantor has adequate means to obtain information from the Borrower on a continuing basis concerning the financial condition of such Borrower and its ability to perform its obligations under the Loan Documents and agreements relating to Derivative Transactions and Banking Services, and each Subsidiary Guarantor assumes the responsibility for being and keeping informed of the financial condition of such Borrower and of all circumstances bearing upon the risk of nonpayment of the Guaranteed Obligations. Each Subsidiary Guarantor hereby waives and relinquishes any duty on the part of any Secured Party to disclose any matter, fact or thing relating to the business, operations or conditions of the Borrower now known or hereafter known by any Secured Party.</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Bankruptcy,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2" w:lineRule="auto"/>
        <w:tabs>
          <w:tab w:leader="none" w:pos="685"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Termination Date, no Subsidiary Guarantor shall, without the prior written consent of the Collateral Agent acting pursuant to the instructions of the Required Lenders, commence or join with any other Person in commencing any bankruptcy, reorganization or insolvency case, application or proceeding of or against the Borrower or any other Subsidiary Guarantor. The obligations of the Subsidiary Guarantors hereunder shall not be reduced, limited, impaired, discharged, deferred, suspended or terminated by any case, application or proceeding, voluntary or involuntary, involving the bankruptcy, insolvency, receivership, reorganization, liquidation or arrangement of the Borrower or any other Subsidiary Guarantor or by any defense which the Borrower or any other Subsidiary Guarantor may have by reason of the order, decree or decision of any court or administrative body resulting from any such proceeding. Each Guarantor acknowledges and agrees that any interest on any portion of the Guaranteed Obligations which accrues after the commencement of any case, application or proceeding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(or, if interest on any portion of the Guaranteed Obligations ceases to accrue by operation of law by reason of the commencement of such case, application or proceeding, such interest as would have accrued on such portion of the Guaranteed Obligations if such case, application or proceeding had not been commenced) shall be included in the Guaranteed Obligations because it is the intention of the Guarantors and the Secured Parties that the Guaranteed Obligations which are guaranteed by Guarantors pursuant hereto should be determined without regard to any rule of law or order which may relieve the Borrower of any portion of such Guaranteed Obligations. The Guarantors will permit any trustee in bankruptcy, receiver, debtor in possession, assignee for the benefit of creditors or similar Person to pay the Collateral Agent, or allow the claim of the Collateral Agent in respect of, any such interest accruing after the date on which such case, application or proceeding is commenced.</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0"/>
          </w:cols>
          <w:pgMar w:left="440" w:top="269" w:right="459" w:bottom="1440" w:gutter="0" w:footer="0" w:header="0"/>
        </w:sectPr>
      </w:pPr>
    </w:p>
    <w:bookmarkStart w:id="526" w:name="page527"/>
    <w:bookmarkEnd w:id="526"/>
    <w:p>
      <w:pPr>
        <w:ind w:right="100" w:firstLine="436"/>
        <w:spacing w:after="0" w:line="261" w:lineRule="auto"/>
        <w:tabs>
          <w:tab w:leader="none" w:pos="685"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that all or any portion of the Guaranteed Obligations are paid by the Borrower, the obligations of the Subsidiary Guarantors hereunder shall continue and remain in full force and effect or be reinstated, as the case may be, in the event that all or any part of such payment(s) are rescinded or recovered directly or indirectly from any Secured Party as a preference, fraudulent transfer or otherwise, and any such payments which are so rescinded or recovered shall constitute Guaranteed Obligations for all purposes hereunder.</w:t>
      </w:r>
    </w:p>
    <w:p>
      <w:pPr>
        <w:spacing w:after="0" w:line="18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Discharge of Loan Guarantee upon Sale of Subsidiary Guarantor</w:t>
      </w:r>
      <w:r>
        <w:rPr>
          <w:rFonts w:ascii="Times New Roman" w:cs="Times New Roman" w:eastAsia="Times New Roman" w:hAnsi="Times New Roman"/>
          <w:sz w:val="18"/>
          <w:szCs w:val="18"/>
          <w:color w:val="auto"/>
        </w:rPr>
        <w:t>. If all of the Capital Stock of any Subsidiary Guarantor or any of its successors in interest hereunder shall be sold or otherwise Disposed of (including by merger, amalgamation or consolidation) in accordance with the terms and conditions hereof, the Loan Guarantee of such Subsidiary Guarantor or such successor in interest, as the case may be, hereunder shall automatically be discharged and released without any further action by any Secured Party or any other Person effective as of the time of such sale or other Disposition.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EVENTS OF DEFAULT</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If any of the following events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shall occur:</w:t>
      </w:r>
    </w:p>
    <w:p>
      <w:pPr>
        <w:spacing w:after="0" w:line="121" w:lineRule="exact"/>
        <w:rPr>
          <w:sz w:val="20"/>
          <w:szCs w:val="20"/>
          <w:color w:val="auto"/>
        </w:rPr>
      </w:pPr>
    </w:p>
    <w:p>
      <w:pPr>
        <w:ind w:firstLine="436"/>
        <w:spacing w:after="0" w:line="253" w:lineRule="auto"/>
        <w:tabs>
          <w:tab w:leader="none" w:pos="685"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Failure To Make Payments When Due</w:t>
      </w:r>
      <w:r>
        <w:rPr>
          <w:rFonts w:ascii="Times New Roman" w:cs="Times New Roman" w:eastAsia="Times New Roman" w:hAnsi="Times New Roman"/>
          <w:sz w:val="18"/>
          <w:szCs w:val="18"/>
          <w:color w:val="auto"/>
        </w:rPr>
        <w:t xml:space="preserve">. Failure by the Borrower to pay (i) any installment of principal of any Loan (other than any installment of principal of any Loan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prior to the applicable Maturity Date) when due, whether at stated maturity, by acceleration, by notice of voluntary prepayment, by mandatory prepayment or otherwise; (ii) any installment of principal of any Loan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prior to the applicable Maturity Date within five Business Days after the date due;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any interest on any Loan, any fee or other non-principal amount due hereunder within five Business Days after the date due;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if the Borrower has made, on the due date or before the expiry of any grace period, a payment in an amount that is not less than the amount set forth in a calculation, if any, received from the Administrative Agent, and any such payment was less than the amount due and owing under this Agreement (an “</w:t>
      </w:r>
      <w:r>
        <w:rPr>
          <w:rFonts w:ascii="Times New Roman" w:cs="Times New Roman" w:eastAsia="Times New Roman" w:hAnsi="Times New Roman"/>
          <w:sz w:val="18"/>
          <w:szCs w:val="18"/>
          <w:u w:val="single" w:color="auto"/>
          <w:color w:val="auto"/>
        </w:rPr>
        <w:t>underpayment</w:t>
      </w:r>
      <w:r>
        <w:rPr>
          <w:rFonts w:ascii="Times New Roman" w:cs="Times New Roman" w:eastAsia="Times New Roman" w:hAnsi="Times New Roman"/>
          <w:sz w:val="18"/>
          <w:szCs w:val="18"/>
          <w:color w:val="auto"/>
        </w:rPr>
        <w:t>”), then such underpayment will not become (i) a Default unless and until such underpayment remains outstanding after the third Business Day after the date (if any) on which the Borrower receives written notice from the Administrative Agent of an underpayment setting forth the amount of the deficiency (such date of notice receipt by the Borrower, the “</w:t>
      </w:r>
      <w:r>
        <w:rPr>
          <w:rFonts w:ascii="Times New Roman" w:cs="Times New Roman" w:eastAsia="Times New Roman" w:hAnsi="Times New Roman"/>
          <w:sz w:val="18"/>
          <w:szCs w:val="18"/>
          <w:u w:val="single" w:color="auto"/>
          <w:color w:val="auto"/>
        </w:rPr>
        <w:t>underpayment notice date</w:t>
      </w:r>
      <w:r>
        <w:rPr>
          <w:rFonts w:ascii="Times New Roman" w:cs="Times New Roman" w:eastAsia="Times New Roman" w:hAnsi="Times New Roman"/>
          <w:sz w:val="18"/>
          <w:szCs w:val="18"/>
          <w:color w:val="auto"/>
        </w:rPr>
        <w:t xml:space="preserve">”) or (ii) an Event of Default (and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xml:space="preserve"> shall not apply) unless and until such underpayment remains outstanding after the later of (x) the third Business Day after such underpayment notice date and (y) the applicable grace period otherwise contained in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or</w:t>
      </w:r>
    </w:p>
    <w:p>
      <w:pPr>
        <w:spacing w:after="0" w:line="189" w:lineRule="exact"/>
        <w:rPr>
          <w:rFonts w:ascii="Times New Roman" w:cs="Times New Roman" w:eastAsia="Times New Roman" w:hAnsi="Times New Roman"/>
          <w:sz w:val="18"/>
          <w:szCs w:val="18"/>
          <w:color w:val="auto"/>
        </w:rPr>
      </w:pPr>
    </w:p>
    <w:p>
      <w:pPr>
        <w:ind w:right="60" w:firstLine="436"/>
        <w:spacing w:after="0" w:line="254" w:lineRule="auto"/>
        <w:tabs>
          <w:tab w:leader="none" w:pos="695"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 in Other Agreements</w:t>
      </w:r>
      <w:r>
        <w:rPr>
          <w:rFonts w:ascii="Times New Roman" w:cs="Times New Roman" w:eastAsia="Times New Roman" w:hAnsi="Times New Roman"/>
          <w:sz w:val="18"/>
          <w:szCs w:val="18"/>
          <w:color w:val="auto"/>
        </w:rPr>
        <w:t xml:space="preserve">. (i) Failure by the Borrower or any of its Restricted Subsidiaries (other than any Receivables Subsidiary) to pay when due any principal of or interest on or any other amount payable in respect of one or more items of Indebtedness (other than (A) Indebtedness referred to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(B) Indebtedness held exclusively by an Affiliate of a Loan Party) with an aggregate outstanding principal amount exceeding the Threshold Amount, in each case beyond the applicable notice period and grace period, if any, provided therefor; or (ii) breach or default by the Borrower or any of its Restricted Subsidiaries (other than any Receivables Subsidiary) with respect to any other term of (A) one or more items of Indebtedness with an aggregate outstanding principal amount exceeding the Threshold Amount or (B) any loan agreement, mortgage, indenture or other agreement relating to such item(s) of Indebtedness (other than, for the avoidance of doubt, (x) with respect to Indebtedness consisting of Hedging Obligations, termination events or equivalent events pursuant to the terms of the relevant Hedge Agreement or (y)(I) any event that permits holders of any convertible or exchangeable Indebtedness of the Borrower or any of its Restricted Subsidiaries to convert or exchange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0"/>
          </w:cols>
          <w:pgMar w:left="440" w:top="269" w:right="459" w:bottom="1440" w:gutter="0" w:footer="0" w:header="0"/>
        </w:sectPr>
      </w:pPr>
    </w:p>
    <w:bookmarkStart w:id="527" w:name="page528"/>
    <w:bookmarkEnd w:id="52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Indebtedness or (II) the conversion or exchange of such convertible Indebtedness, in either case, into common stock of the Borrower (or other securities or property following a merger event, reclassification or other change of the common stock of the Borrower), cash or a combination thereof), in each case beyond the applicable notice period and grace period, if any, provided therefor, if the effect of such breach or default is to cause, or to permit the holder or holders of such Indebtedness (or a trustee or agent on behalf of such holder or holders) to cause, such Indebtedness to become or be declared due and payable (or redeemable) prior to its stated maturity or the stated maturity of any underlying obligation, as the case may be;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not apply to secured Indebtedness that becomes due as a result of the voluntary sale or transfer of the property securing such Indebtedness if such sale or transfer is permitted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(x) with respect to any breach or default referred to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with respect to a financial covenant in any such Indebtedness, such breach or default shall only constitute an Event of Default hereunder if such breach or default has resulted in the acceleration of such Indebtedness and the termination of commitments thereunder, (y)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only constitute an Event of Default hereunder if such failure, breach or default is unremedied and is not waived by the holders of such Indebtedness prior to any termination of the Commitments or acceleration of the Loans pursuant to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(z) for the avoidance of doubt, any failure, breach or default described under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shall not result in a Default or Event of Default hereunder while any notice period or grace period, if applicable to such failure, breach or default, remains in effect; or</w:t>
      </w:r>
    </w:p>
    <w:p>
      <w:pPr>
        <w:spacing w:after="0" w:line="187" w:lineRule="exact"/>
        <w:rPr>
          <w:sz w:val="20"/>
          <w:szCs w:val="20"/>
          <w:color w:val="auto"/>
        </w:rPr>
      </w:pPr>
    </w:p>
    <w:p>
      <w:pPr>
        <w:ind w:right="40" w:firstLine="436"/>
        <w:spacing w:after="0" w:line="256" w:lineRule="auto"/>
        <w:tabs>
          <w:tab w:leader="none" w:pos="685"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Certain Covenants</w:t>
      </w:r>
      <w:r>
        <w:rPr>
          <w:rFonts w:ascii="Times New Roman" w:cs="Times New Roman" w:eastAsia="Times New Roman" w:hAnsi="Times New Roman"/>
          <w:sz w:val="18"/>
          <w:szCs w:val="18"/>
          <w:color w:val="auto"/>
        </w:rPr>
        <w:t xml:space="preserve">. Failure of any Loan Party, as required by the relevant provision, to perform or comply with any term or condition contained in </w:t>
      </w:r>
      <w:r>
        <w:rPr>
          <w:rFonts w:ascii="Times New Roman" w:cs="Times New Roman" w:eastAsia="Times New Roman" w:hAnsi="Times New Roman"/>
          <w:sz w:val="18"/>
          <w:szCs w:val="18"/>
          <w:u w:val="single" w:color="auto"/>
          <w:color w:val="auto"/>
        </w:rPr>
        <w:t>Section 5.01(e)(i)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Default or Event of Default shall be automatically deemed to be cured by (x) the cure or waiver of the underlying Default or Event of Default with respect to which such notice was required or (y) upon subsequent delivery of the relevant notice of Default or Event of Default, unless a Responsible Officer of the Borrower had actual knowledge that such Default or Event of Default had occurred and was continuing and should have reasonably known in the course of his or her duties that failure to provide such notice would constitute an Event of Default),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(as it applies to the preservation of the existence of the Borrower) or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Breach of Representations, Etc</w:t>
      </w:r>
      <w:r>
        <w:rPr>
          <w:rFonts w:ascii="Times New Roman" w:cs="Times New Roman" w:eastAsia="Times New Roman" w:hAnsi="Times New Roman"/>
          <w:sz w:val="18"/>
          <w:szCs w:val="18"/>
          <w:color w:val="auto"/>
        </w:rPr>
        <w:t xml:space="preserve">. Any representation, warranty or certification made or deemed made by any Loan Party in any Loan Document or in any certificate required to be delivered in connection herewith or therewith (including, for the avoidance of doubt, any Perfection Certificate) shall be untrue in any material respect as of the date made or deemed made and such untrue representation, warranty or certification shall remain untrue for a period of 45 days after notice from the Administrative Agent to the Borrower (which notice shall only be given at the direction of the Required Lenders); it being understood and agreed that any breach of representation, warranty or certification resulting from any UCC (or equivalent) continuation statement not being timely filed shall not result in an Event of Default under this </w:t>
      </w:r>
      <w:r>
        <w:rPr>
          <w:rFonts w:ascii="Times New Roman" w:cs="Times New Roman" w:eastAsia="Times New Roman" w:hAnsi="Times New Roman"/>
          <w:sz w:val="18"/>
          <w:szCs w:val="18"/>
          <w:u w:val="single" w:color="auto"/>
          <w:color w:val="auto"/>
        </w:rPr>
        <w:t>Section 8.01(d)</w:t>
      </w:r>
      <w:r>
        <w:rPr>
          <w:rFonts w:ascii="Times New Roman" w:cs="Times New Roman" w:eastAsia="Times New Roman" w:hAnsi="Times New Roman"/>
          <w:sz w:val="18"/>
          <w:szCs w:val="18"/>
          <w:color w:val="auto"/>
        </w:rPr>
        <w:t xml:space="preserve"> or any other provision of any Loan Document; or</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 Under Loan Documents</w:t>
      </w:r>
      <w:r>
        <w:rPr>
          <w:rFonts w:ascii="Times New Roman" w:cs="Times New Roman" w:eastAsia="Times New Roman" w:hAnsi="Times New Roman"/>
          <w:sz w:val="18"/>
          <w:szCs w:val="18"/>
          <w:color w:val="auto"/>
        </w:rPr>
        <w:t xml:space="preserve">. Default by any Loan Party in the performance of or compliance with any term contained herein or in any of the other Loan Documents, other than any such term referred to in any other Section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which default has not been remedied or waived within 60 days after receipt by the Borrower of any written notice thereof from the Administrative Agent to the Borrower (which notice shall only be given at the direction of the Required Lenders); or</w:t>
      </w:r>
    </w:p>
    <w:p>
      <w:pPr>
        <w:spacing w:after="0" w:line="179" w:lineRule="exact"/>
        <w:rPr>
          <w:rFonts w:ascii="Times New Roman" w:cs="Times New Roman" w:eastAsia="Times New Roman" w:hAnsi="Times New Roman"/>
          <w:sz w:val="18"/>
          <w:szCs w:val="18"/>
          <w:color w:val="auto"/>
        </w:rPr>
      </w:pPr>
    </w:p>
    <w:p>
      <w:pPr>
        <w:jc w:val="both"/>
        <w:ind w:right="260" w:firstLine="436"/>
        <w:spacing w:after="0" w:line="261" w:lineRule="auto"/>
        <w:tabs>
          <w:tab w:leader="none" w:pos="665"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Involuntary Bankruptcy; Appointment of Receiver, Etc</w:t>
      </w:r>
      <w:r>
        <w:rPr>
          <w:rFonts w:ascii="Times New Roman" w:cs="Times New Roman" w:eastAsia="Times New Roman" w:hAnsi="Times New Roman"/>
          <w:sz w:val="18"/>
          <w:szCs w:val="18"/>
          <w:color w:val="auto"/>
        </w:rPr>
        <w:t>. (i) The entry by a court of competent jurisdiction of a decree or order for relief in respect of the Borrower or any of its Restricted Subsidiaries (other than any Immaterial Subsidiary) (any such Person, a “</w:t>
      </w:r>
      <w:r>
        <w:rPr>
          <w:rFonts w:ascii="Times New Roman" w:cs="Times New Roman" w:eastAsia="Times New Roman" w:hAnsi="Times New Roman"/>
          <w:sz w:val="18"/>
          <w:szCs w:val="18"/>
          <w:b w:val="1"/>
          <w:bCs w:val="1"/>
          <w:color w:val="auto"/>
        </w:rPr>
        <w:t>Specified Person</w:t>
      </w:r>
      <w:r>
        <w:rPr>
          <w:rFonts w:ascii="Times New Roman" w:cs="Times New Roman" w:eastAsia="Times New Roman" w:hAnsi="Times New Roman"/>
          <w:sz w:val="18"/>
          <w:szCs w:val="18"/>
          <w:color w:val="auto"/>
        </w:rPr>
        <w:t>”) in an involuntary case under any Debtor Relief Law now or hereafter in effect, which decree or order is not stayed or dismissed; or any other similar relief shall be granted under any applicable federal, state or local</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960"/>
          </w:cols>
          <w:pgMar w:left="440" w:top="269" w:right="499" w:bottom="1440" w:gutter="0" w:footer="0" w:header="0"/>
        </w:sectPr>
      </w:pPr>
    </w:p>
    <w:bookmarkStart w:id="528" w:name="page529"/>
    <w:bookmarkEnd w:id="528"/>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law, which relief is not stayed or dismissed; or (ii) the commencement of an involuntary case against any Specified Person under any Debtor Relief Law; the entry by a court having jurisdiction in the premises of a decree or order for the appointment of a receiver, receiver and manager (preliminary) insolvency receiver, liquidator, sequestrator, trustee, custodian or other officer having similar powers over any Specified Person, or over all or a substantial part of its property; or the involuntary appointment of an interim receiver, trustee or other custodian of any Specified Person for all or a substantial part of its property, which remains, in any case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undismissed, unvacated, unbonded and unstayed pending appeal for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event described in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shall result in a Default or Event of Default under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until the end of such applicable 60 consecutive day period; or</w:t>
      </w:r>
    </w:p>
    <w:p>
      <w:pPr>
        <w:spacing w:after="0" w:line="189" w:lineRule="exact"/>
        <w:rPr>
          <w:sz w:val="20"/>
          <w:szCs w:val="20"/>
          <w:color w:val="auto"/>
        </w:rPr>
      </w:pPr>
    </w:p>
    <w:p>
      <w:pPr>
        <w:ind w:right="60" w:firstLine="436"/>
        <w:spacing w:after="0" w:line="256" w:lineRule="auto"/>
        <w:tabs>
          <w:tab w:leader="none" w:pos="695"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Voluntary Bankruptcy; Appointment of Receiver, Etc</w:t>
      </w:r>
      <w:r>
        <w:rPr>
          <w:rFonts w:ascii="Times New Roman" w:cs="Times New Roman" w:eastAsia="Times New Roman" w:hAnsi="Times New Roman"/>
          <w:sz w:val="18"/>
          <w:szCs w:val="18"/>
          <w:color w:val="auto"/>
        </w:rPr>
        <w:t>. (i) The entry against any Specified Person of an order for relief, the commencement by any Specified Person of a voluntary case under any Debtor Relief Law, or the consent by any Specified Person to the entry of an order for relief in an involuntary case or to the conversion of an involuntary case to a voluntary case, under any Debtor Relief Law, or the consent by any Specified Person to the appointment of or taking possession by a receiver, receiver and manager, trustee or other custodian for all or a substantial part of its property; (ii) the making by any Specified Person of a general assignment for the benefit of creditors; or (iii) the admission by any Specified Person in writing of its inability to pay its debts as such debts become due; or</w:t>
      </w:r>
    </w:p>
    <w:p>
      <w:pPr>
        <w:spacing w:after="0" w:line="187"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 and Attachments</w:t>
      </w:r>
      <w:r>
        <w:rPr>
          <w:rFonts w:ascii="Times New Roman" w:cs="Times New Roman" w:eastAsia="Times New Roman" w:hAnsi="Times New Roman"/>
          <w:sz w:val="18"/>
          <w:szCs w:val="18"/>
          <w:color w:val="auto"/>
        </w:rPr>
        <w:t xml:space="preserve">. The entry of one or more final money judgments against any Specified Person or any of its assets involving in the aggregate at any time an amount in excess of the Threshold Amount (in either case to the extent not adequately covered by indemnity from a third party as to which the indemnifying party has been notified and not denied its indemnification obligations, self-insurance (if applicable) or insurance as to which the relevant third party insurance company has been notified and not denied coverage), which judgment remains (A) unpaid with respect to any amount or installment then-payable, for a period of 60 consecutive days following the date such judgment becomes final or, if later, following the due date for such amount or installment and (B) undischarged, unvacated, unbonded and unstayed pending appeal for a period of 60 consecutive 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event described in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result in a Default or Event of Default hereunder until the end of such applicable 60 consecutive day period; or</w:t>
      </w:r>
    </w:p>
    <w:p>
      <w:pPr>
        <w:spacing w:after="0" w:line="191" w:lineRule="exact"/>
        <w:rPr>
          <w:rFonts w:ascii="Times New Roman" w:cs="Times New Roman" w:eastAsia="Times New Roman" w:hAnsi="Times New Roman"/>
          <w:sz w:val="18"/>
          <w:szCs w:val="18"/>
          <w:color w:val="auto"/>
        </w:rPr>
      </w:pPr>
    </w:p>
    <w:p>
      <w:pPr>
        <w:ind w:right="120" w:firstLine="436"/>
        <w:spacing w:after="0" w:line="266" w:lineRule="auto"/>
        <w:tabs>
          <w:tab w:leader="none" w:pos="655"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 The occurrence of one or more ERISA Events, which individually or in the aggregate result in liability of the Borrower or any of their Restricted Subsidiaries in an aggregate amount which would reasonably be expected to result in a Material Adverse Effect and the same shall remain undischarged for a period of 30 consecutive days; or</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 occurrence of a Change of Control; or</w:t>
      </w:r>
    </w:p>
    <w:p>
      <w:pPr>
        <w:spacing w:after="0" w:line="225"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Guaranties, Collateral Documents and Other Loan Documents</w:t>
      </w:r>
      <w:r>
        <w:rPr>
          <w:rFonts w:ascii="Times New Roman" w:cs="Times New Roman" w:eastAsia="Times New Roman" w:hAnsi="Times New Roman"/>
          <w:sz w:val="18"/>
          <w:szCs w:val="18"/>
          <w:color w:val="auto"/>
        </w:rPr>
        <w:t>. At any time after the execution and delivery thereof (i) any material Loan Guarantee for any reason ceasing to be in full force and effect (other than in accordance with its terms or as a result of the occurrence of the Termination Date) or being declared by a court of competent jurisdiction to be null and void or the repudiation in writing by any Loan Party of its obligations thereunder (in each case other than as a result of the discharge of such Loan Party in accordance with the terms thereof), (ii) this Agreement or any material Collateral Document or any Lien on a material portion of the Collateral ceasing to be in full force and effect (other than by reason of a release of Collateral or any Lien in accordance with the terms of the Loan Documents, the occurrence of the Termination Date or any other termination of such Collateral Document, or termination or release of such Lien, in accordance with the terms of the Loan Documents) or being declared by a court of competent jurisdiction to be null and void or (iii) other than in any bona fide, good faith dispute as to the scope of Collateral or whether any Lien has been, or is required to be,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1020"/>
          </w:cols>
          <w:pgMar w:left="440" w:top="269" w:right="439" w:bottom="1440" w:gutter="0" w:footer="0" w:header="0"/>
        </w:sectPr>
      </w:pPr>
    </w:p>
    <w:bookmarkStart w:id="529" w:name="page530"/>
    <w:bookmarkEnd w:id="529"/>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released, the contesting by any Loan Party in writing of the validity or enforceability of any material provision of any Loan Document (or any Lien on a material portion of the Collateral purported to be created by the Collateral Documents) or denial by any Loan Party in writing that it has any further liability (other than by reason of the occurrence of the Termination Date or any other termination of any Loan Document, or termination or release of any Lien, in accordance with the terms thereof), including with respect to future advances by the Lenders, under any Loan Document to which it is a party; it being understood and agreed that an Agent no longer having possession of any Collateral actually delivered to it or any UCC (or equivalent) continuation statement not being timely filed shall not result in an Event of Default under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or any other provision of any Loan Document; or</w:t>
      </w:r>
    </w:p>
    <w:p>
      <w:pPr>
        <w:spacing w:after="0" w:line="189" w:lineRule="exact"/>
        <w:rPr>
          <w:sz w:val="20"/>
          <w:szCs w:val="20"/>
          <w:color w:val="auto"/>
        </w:rPr>
      </w:pPr>
    </w:p>
    <w:p>
      <w:pPr>
        <w:ind w:right="20" w:firstLine="436"/>
        <w:spacing w:after="0" w:line="258" w:lineRule="auto"/>
        <w:tabs>
          <w:tab w:leader="none" w:pos="655"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Subordination</w:t>
      </w:r>
      <w:r>
        <w:rPr>
          <w:rFonts w:ascii="Times New Roman" w:cs="Times New Roman" w:eastAsia="Times New Roman" w:hAnsi="Times New Roman"/>
          <w:sz w:val="18"/>
          <w:szCs w:val="18"/>
          <w:color w:val="auto"/>
        </w:rPr>
        <w:t>. The Loan Document Obligations ceasing or the assertion in writing by any Loan Party that the Loan Document Obligations cease to constitute senior indebtedness under the subordination provisions of any document or instrument evidencing any permitted subordinated Junior Indebtedness in excess of the Threshold Amount (in each case, to the extent required by such subordination provision) or any such subordination provision being invalidated by a court of competent jurisdiction in a final non-appealable order or otherwise ceasing, for any reason, to be valid, binding and enforceable obligations of the parties thereto;</w:t>
      </w:r>
    </w:p>
    <w:p>
      <w:pPr>
        <w:spacing w:after="0" w:line="183"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then, and in every such Event of Default (other than an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at any time thereafter during the continuance of such Event of Default, the Administrative Agent may, and at the request of the Required Lenders shall, by notice to the Borrower, take any of the following actions, at the same or different times: (i) terminate the Revolving Credit Commitments, and thereupon such Commitments shall terminate immediately along with the obligation of Issuing Banks to issue any Letter of Credit, (ii) [reserved], (iii)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(iv) require that the Borrower deposit in the LC Collateral Account an additional amount in Cash as reasonably requested by the Issuing Banks (not to exceed 100% of the relevant face amount) of the then outstanding LC Exposure (minus the amount then on deposit in the LC Collateral Account);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occurrence of an Event of Default with respect to the Borrower described in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any such Commitments shall automatically terminate and the principal of the Loans then outstanding, together with accrued interest thereon and all fees and other obligations of the Borrower accrued hereunder, shall automatically become due and payable, without presentment, demand, protest or other notice of any kind, all of which are hereby waived by the Borrower, and the obligation of the Borrower to Cash collateralize the outstanding Letters of Credit as aforesaid shall automatically become effective, in each case without further action of the Administrative Agent or any Lender. Upon the occurrence and during the continuance of an Event of Default, subject to any applicable intercreditor agreement, the Administrative Agent may, and at the request of the Required Lenders shall, exercise any rights and remedies provided to such Administrative Agent under the Loan Documents or at law or equity, including all remedies provided under the UCC. Notwithstanding anything in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to the contrary, neither the Required Lenders nor the Administrative Agent may take any remedial action in respect of a Default or Event of Default under the Loan Documents after the date that is two years after the earlier of (x) notice to the Administrative Agent of such Default or Event of Default or (y) disclosure to the Administrative Agent and the Lenders of the applicable event leading to such Default or Event of Default;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is understood and agreed that a press release, a filing with the SEC or a posting to the applicable Platform for the Facilities shall constitute notice to the Administrative Agent and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xml:space="preserve"> such two year limitation shall not apply if prior to the expiration of such two year period (i) the Administrative Agent has commenced any remedial action in respect of any such</w:t>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0980"/>
          </w:cols>
          <w:pgMar w:left="440" w:top="269" w:right="479" w:bottom="1440" w:gutter="0" w:footer="0" w:header="0"/>
        </w:sectPr>
      </w:pPr>
    </w:p>
    <w:bookmarkStart w:id="530" w:name="page531"/>
    <w:bookmarkEnd w:id="530"/>
    <w:p>
      <w:pPr>
        <w:ind w:left="4"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 or Event of Default, (ii) the Administrative Agent has provided the Borrower with a reservation of rights letter with respect to such Default or Event of Default or (iii) a Responsible Officer of the Borrower had actual knowledge of such Default or Event of Default and failed to notify the Administrative Agent as required hereby.</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THE ADMINISTRATIVE AGENT AND THE COLLATERAL AGENT</w:t>
      </w:r>
    </w:p>
    <w:p>
      <w:pPr>
        <w:spacing w:after="0" w:line="20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w:t>
      </w:r>
      <w:r>
        <w:rPr>
          <w:rFonts w:ascii="Times New Roman" w:cs="Times New Roman" w:eastAsia="Times New Roman" w:hAnsi="Times New Roman"/>
          <w:sz w:val="18"/>
          <w:szCs w:val="18"/>
          <w:color w:val="auto"/>
        </w:rPr>
        <w:t>. (a) Each of the Lenders and the Issuing Banks, on behalf of itself and its applicable Affiliates and in their respective capacities as such and as Secured Parties in respect of any Secured Hedging Obligations or Banking Services Obligations, as applicable, hereby irrevocably appoints MS (or any successor appointed pursuant hereto) as Administrative Agent and authorizes the Administrative Agent to take such actions on its behalf, including execution of the other Loan Documents and any other documents with respect to the rights of the Secured Parties and the Collateral as contemplated by this Agreement and the other Loan Documents, and to exercise such powers as are delegated to the Administrative Agent by the terms of the Loan Documents, together with such actions and powers as are reasonably incidental thereto.</w:t>
      </w:r>
    </w:p>
    <w:p>
      <w:pPr>
        <w:spacing w:after="0" w:line="187" w:lineRule="exact"/>
        <w:rPr>
          <w:sz w:val="20"/>
          <w:szCs w:val="20"/>
          <w:color w:val="auto"/>
        </w:rPr>
      </w:pPr>
    </w:p>
    <w:p>
      <w:pPr>
        <w:ind w:left="4" w:firstLine="436"/>
        <w:spacing w:after="0" w:line="252" w:lineRule="auto"/>
        <w:tabs>
          <w:tab w:leader="none" w:pos="699"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and Issuing Banks acknowledge that there may be a constant flow of information (including information which may be subject to confidentiality obligations in favor of the Loan Parties) between the Loan Parties and their Affiliates, on the one hand, and MS and its Affiliates, on the other hand. Without limiting the foregoing, the Loan Parties or their Affiliates may provide information, including updates to previously provided information to MS and/or its Affiliates acting in different capacities, including as Lender, Arranger or potential securities investor, independent of such entity’s role as administrative agent hereunder. The Lenders acknowledge that neither MS nor its Affiliates shall be under any obligation to provide any of the foregoing information to them. Notwithstanding anything to the contrary set forth herein or in any other Loan Document, except for notices, reports and other documents expressly required to be furnished to the Lenders or Issuing Banks by the Administrative Agent herein or in any other Loan Document, the Administrative Agent shall not have any duty or responsibility to provide, and shall not be liable for the failure to provide, any Lender or Issuing Bank with any credit or other information concerning the Loans, the Lenders, the business, prospects, operations, property, financial and other condition or creditworthiness of any of the Loan Parties or any of their respective Affiliates that is communicated to, obtained by, or in the possession of, the Administrative Agent or any of its Affiliates in any capacity, including any information obtained by the Administrative Agent in the course of communications among the Administrative Agent and any Loan Party, any Affiliate thereof or any other Person. Notwithstanding the foregoing, any such information may (but shall not be required to) be shared by the Administrative Agent with one or more Lenders or Issuing Banks, or any formal or informal committee or ad hoc group of such Lenders and Issuing Banks, including at the direction of a Loan Party.</w:t>
      </w:r>
    </w:p>
    <w:p>
      <w:pPr>
        <w:spacing w:after="0" w:line="19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Each Lender and each Issuing Bank represents and warrants that (1) the Loan Documents set forth the terms of a commercial lending facility,</w:t>
      </w:r>
    </w:p>
    <w:p>
      <w:pPr>
        <w:spacing w:after="0" w:line="27" w:lineRule="exact"/>
        <w:rPr>
          <w:sz w:val="20"/>
          <w:szCs w:val="20"/>
          <w:color w:val="auto"/>
        </w:rPr>
      </w:pPr>
    </w:p>
    <w:p>
      <w:pPr>
        <w:ind w:left="4" w:hanging="4"/>
        <w:spacing w:after="0" w:line="252" w:lineRule="auto"/>
        <w:tabs>
          <w:tab w:leader="none" w:pos="259"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participating as a Lender, it is engaged in making, acquiring or holding commercial loans and in providing other facilities set forth herein as may be applicable to such Lender or Issuing Bank, in each case in the ordinary course of business, and not for the purpose of investing in the general performance or operations of the Borrower, or for the purpose of purchasing, acquiring or holding any other type of financial instrument such as a security (and each Lender and each Issuing Bank agrees not to assert a claim in contravention of the foregoing, such as a claim under the federal or state securities law), (3) it has, independently and without reliance upon the Administrative Agent, any Arranger or any other Lender or Issuing Bank, or any of the Related Parties of any of the foregoing, and based on such documents and information as it has deemed appropriate, made its own credit analysis and decision to enter into this Agreement as a Lender, and to make, acquire or hold</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10964"/>
          </w:cols>
          <w:pgMar w:left="436" w:top="269" w:right="499" w:bottom="1440" w:gutter="0" w:footer="0" w:header="0"/>
        </w:sectPr>
      </w:pPr>
    </w:p>
    <w:bookmarkStart w:id="531" w:name="page532"/>
    <w:bookmarkEnd w:id="53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Loans hereunder and (4)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or any other Lender or Issuing Bank, or any of the Related Parties of any of the foregoing, and based on such documents and information (which may 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Each of the Secured Parties hereby irrevocably appoints and authorizes MS (or any successor appointed pursuant hereto) as Collateral Agent to act as the agent of (and to hold any security interest created by the Loan Documents for and on behalf of or on trust for) such Secured Party for purposes of acquiring, holding and enforcing any and all Liens on Collateral granted by the Loan Parties to secure any of the Obligations, together with such powers and discretion as are reasonably incidental thereto. Each Secured Party agrees that any such actions by the Collateral Agent shall bind such Secured Party.</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Any Person serving as the Administrative Agent and/or Collateral Agent hereunder shall have the same rights and powers in its capacity as a Lender as any other Lender and may exercise the same as though it were not the Administrative Agent and/or the Collateral Agent, and the term “Lender” or “Lenders” shall, unless otherwise expressly indicated, unless the context otherwise requires or unless such Person is in fact not a Lender, include each Person serving as the Administrative Agent and/or Collateral Agent hereunder in its individual capacity. Such Person and its Affiliates may accept deposits from, lend money to, act as the financial advisor or in any other advisory capacity for and generally engage in any kind of business with any Loan Party or any subsidiary of any Loan Party or other Affiliate thereof as if it were not the Administrative Agent and/or the Collateral Agent hereunder. The Lenders acknowledge that, pursuant to such activities, the Administrative Agent, the Collateral Agent or any of their respective Affiliates may receive information regarding any Loan Party or any of its Affiliates (including information that may be subject to confidentiality obligations in favor of such Loan Party or such Affiliate) and acknowledge that neither Administrative Agent nor the Collateral Agent shall be under any obligation to provide such information to them.</w:t>
      </w:r>
    </w:p>
    <w:p>
      <w:pPr>
        <w:spacing w:after="0" w:line="194"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None of the Administrative Agent nor the Collateral Agent shall have any duties or obligations except those expressly set forth in the Loan Documents. Without limiting the generality of the foregoing, (a) none of the Administrative Agent nor the Collateral Agent shall be subject to any fiduciary or other implied duties, regardless of whether a Default or Event of Default exists, and the use of the term “agent” herein and in the other Loan Documents with reference to the Administrative Agent or the Collateral Agent is not intended to connote any fiduciary or other implied (or express) obligations arising under agency doctrine of any applicable Requirements of Law; it being understood that such term is used merely as a matter of market custom, and is intended to create or reflect only an administrative relationship between independent contracting parties, (b) none of the Administrative Agent nor the Collateral Agent shall have any duty to take any discretionary action or exercise any discretionary power, except discretionary rights and powers that are expressly contemplated by the Loan Documents and which the Administrative Agent and/or the Collateral Agent is required to exercise in writing as directed by the Required Lenders or Required Revolving Lenders (or such other number or percentage of the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Administrative Agent nor the Collateral Agent shall be required to take any action that, in its opinion or the opinion of its counsel, may expose such Administrative Agent or the Collateral Agent, as applicable,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1000"/>
          </w:cols>
          <w:pgMar w:left="440" w:top="269" w:right="459" w:bottom="1440" w:gutter="0" w:footer="0" w:header="0"/>
        </w:sectPr>
      </w:pPr>
    </w:p>
    <w:bookmarkStart w:id="532" w:name="page533"/>
    <w:bookmarkEnd w:id="532"/>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liability or that is contrary to any Loan Document or applicable Requirements of Law and (c) except as expressly set forth in the Loan Documents, none of the Administrative Agent nor the Collateral Agent shall have any duty to disclose, and shall not be liable for the failure to disclose, any information relating to the Borrower or any of its Restricted Subsidiaries that is communicated to or obtained by the Person serving as the Administrative Agent and/or Collateral Agent or any of its Affiliates in any capacity. None of the Administrative Agent nor the Collateral Agent shall be liable to the Lenders or any other Secured Party for any action taken or not taken by it with the consent or at the request of the Required Lenders or Required Revolving Lenders (or such other number or percentage of the Lenders as shall be necessary, or as such Administrative Agent or the Collateral Agent, as applicable, shall believe in good faith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in the absence of its own gross negligence or willful misconduct, as determined by the final judgment of a court of competent jurisdiction, in connection with its duties expressly set forth herein. None of the Administrative Agent nor the Collateral Agent shall be deemed to have knowledge of any Default or Event of Default unless and until written notice thereof stating that such notice is a notice of Default or Event of Default is given to such Administrative Agent or the Collateral Agent by the Borrower or any Lender, and neither Administrative Agent nor the Collateral Agent shall be responsible for or have any duty to ascertain or inquire into (i) any statement, warranty or representation made in or in connection with any Loan Document, (ii) the contents of any certificate, report or other document delivered hereunder or in connection with any Loan Document, (iii) the performance or observance of any covenant, agreement or other term or condition set forth in any Loan Document or the occurrence of any Default or Event of Default, (iv) the validity, enforceability, effectiveness or genuineness of any Loan Document or any other agreement, instrument or document, (v) the creation, perfection or priority of any Lien on the Collateral or the existence, value or sufficiency of the Collateral, (vi) the satisfaction of any condition set forth in </w:t>
      </w:r>
      <w:r>
        <w:rPr>
          <w:rFonts w:ascii="Times New Roman" w:cs="Times New Roman" w:eastAsia="Times New Roman" w:hAnsi="Times New Roman"/>
          <w:sz w:val="18"/>
          <w:szCs w:val="18"/>
          <w:u w:val="single" w:color="auto"/>
          <w:color w:val="auto"/>
        </w:rPr>
        <w:t>Article 4</w:t>
      </w:r>
      <w:r>
        <w:rPr>
          <w:rFonts w:ascii="Times New Roman" w:cs="Times New Roman" w:eastAsia="Times New Roman" w:hAnsi="Times New Roman"/>
          <w:sz w:val="18"/>
          <w:szCs w:val="18"/>
          <w:color w:val="auto"/>
        </w:rPr>
        <w:t xml:space="preserve"> or elsewhere in any Loan Document, other than to confirm receipt of items expressly required to be delivered to such Administrative Agent or (vii) any property, book or record of any Loan Party or any Affiliate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paragraph is solely for the benefit of each of the Administrative Agent and the Collateral Agent and not any Lender.</w:t>
      </w:r>
    </w:p>
    <w:p>
      <w:pPr>
        <w:spacing w:after="0" w:line="191"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Collateral Agent shall act as the “collateral agent” under the Loan Documents, and each of the Lenders (including in its capacities as a potential provider of Secured Hedging Obligations or Banking Services Obligations) and the Swingline Lender and each Issuing Bank hereby irrevocably appoints and authorizes the Collateral Agent to act as the agent of such Lender, Swingline Lender and Issuing Bank for purposes of acquiring, holding and enforcing any and all Liens on Collateral granted by any of the Loan Parties to secure any of the Obligations, together with such powers and discretion as are reasonably incidental thereto. In this connection, the Collateral Agent, as “collateral agent” and any co-agents, sub-agents and attorneys-in-fact appointed by the Collateral Agent pursuant to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at the direction of the Collateral Agent, shall be entitled to the benefits of all provisions of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(as though such co-agents, sub-agents and attorneys-in-fact were the “collateral agent” under the Loan Documents) as if set forth in full herein with respect thereto.</w:t>
      </w:r>
    </w:p>
    <w:p>
      <w:pPr>
        <w:spacing w:after="0" w:line="188" w:lineRule="exact"/>
        <w:rPr>
          <w:sz w:val="20"/>
          <w:szCs w:val="20"/>
          <w:color w:val="auto"/>
        </w:rPr>
      </w:pPr>
    </w:p>
    <w:p>
      <w:pPr>
        <w:ind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9.02. </w:t>
      </w:r>
      <w:r>
        <w:rPr>
          <w:rFonts w:ascii="Times New Roman" w:cs="Times New Roman" w:eastAsia="Times New Roman" w:hAnsi="Times New Roman"/>
          <w:sz w:val="17"/>
          <w:szCs w:val="17"/>
          <w:u w:val="single" w:color="auto"/>
          <w:color w:val="auto"/>
        </w:rPr>
        <w:t>Enforcement</w:t>
      </w:r>
      <w:r>
        <w:rPr>
          <w:rFonts w:ascii="Times New Roman" w:cs="Times New Roman" w:eastAsia="Times New Roman" w:hAnsi="Times New Roman"/>
          <w:sz w:val="17"/>
          <w:szCs w:val="17"/>
          <w:color w:val="auto"/>
        </w:rPr>
        <w:t>. Each Lender agrees that, except with the written consent of the Administrative Agent, it will not take any enforcement action hereunder or under any other Loan Document, accelerate the Loan Document Obligations under any Loan Document, or exercise any right that it might otherwise have under applicable law or otherwise to credit bid at any foreclosure sale, UCC sale, any sale under Section 363 of the Bankruptcy Code or other similar Dispositions of Collateral. Notwithstanding the foregoing, however, except as otherwise expressly limited herein, a Lender may take action to preserve or enforce its rights against a Loan Party where a deadline or limitation period is applicable that would, absent such action, bar enforcement of the Loan Document Obligations held by such Lender, including the filing of a proof of claim in a case under the Bankruptcy Code.</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1000"/>
          </w:cols>
          <w:pgMar w:left="440" w:top="269" w:right="459" w:bottom="1440" w:gutter="0" w:footer="0" w:header="0"/>
        </w:sectPr>
      </w:pPr>
    </w:p>
    <w:bookmarkStart w:id="533" w:name="page534"/>
    <w:bookmarkEnd w:id="533"/>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contained herein or in any of the other Loan Documents, the Borrower, the Collateral Agent, the Administrative Agent and each Secured Party agree that (i) no Secured Party shall have any right individually to realize upon any of the Collateral or to enforce the Loan Guarantee; it being understood and agreed that all powers, rights and remedies hereunder and under the other Loan Documents may be exercised solely by the Administrative Agent and/or the Collateral Agent on behalf of the Secured Parties in accordance with the terms hereof or thereof and (ii) in the event of a foreclosure by the Collateral Agent on any of the Collateral pursuant to a public or private sale or in the event of any other Disposition (including pursuant to Section 363 of the Bankruptcy Code), (A) the Collateral Agent, as agent for and representative of the Secured Parties, shall be entitled, for the purpose of bidding and making settlement or payment of the purchase price for all or any portion of the Collateral sold at any such sale, to use and apply all or any portion of the Loan Document Obligations as a credit on account of the purchase price for any Collateral payable by the Collateral Agent at such Disposition and (B) the Administrative Agent, the Collateral Agent or any Lender may be the purchaser or licensor of all or any portion of such Collateral at any such Disposition.</w:t>
      </w:r>
    </w:p>
    <w:p>
      <w:pPr>
        <w:spacing w:after="0" w:line="194" w:lineRule="exact"/>
        <w:rPr>
          <w:sz w:val="20"/>
          <w:szCs w:val="20"/>
          <w:color w:val="auto"/>
        </w:rPr>
      </w:pPr>
    </w:p>
    <w:p>
      <w:pPr>
        <w:ind w:right="800" w:firstLine="440"/>
        <w:spacing w:after="0" w:line="282" w:lineRule="auto"/>
        <w:rPr>
          <w:sz w:val="20"/>
          <w:szCs w:val="20"/>
          <w:color w:val="auto"/>
        </w:rPr>
      </w:pPr>
      <w:r>
        <w:rPr>
          <w:rFonts w:ascii="Times New Roman" w:cs="Times New Roman" w:eastAsia="Times New Roman" w:hAnsi="Times New Roman"/>
          <w:sz w:val="18"/>
          <w:szCs w:val="18"/>
          <w:color w:val="auto"/>
        </w:rPr>
        <w:t>No holder of any Secured Hedging Obligation or Banking Services Obligation in its respective capacity as such shall have any rights in connection with the management or release of any Collateral or of the obligations of any Loan Party under this Agreement.</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Each of the Lenders hereby irrevocably authorizes (and by entering into a Hedge Agreement with respect to any Secured Hedging Obligation and/or by entering into documentation in connection with any Banking Services Obligation, each of the other Secured Parties hereby authorizes and shall be deemed to authorize) the Collateral Agent, on behalf of all Secured Parties, to take any of the following actions upon the instruction of the Required Lenders:</w:t>
      </w:r>
    </w:p>
    <w:p>
      <w:pPr>
        <w:spacing w:after="0" w:line="72" w:lineRule="exact"/>
        <w:rPr>
          <w:sz w:val="20"/>
          <w:szCs w:val="20"/>
          <w:color w:val="auto"/>
        </w:rPr>
      </w:pPr>
    </w:p>
    <w:p>
      <w:pPr>
        <w:ind w:right="300" w:firstLine="436"/>
        <w:spacing w:after="0" w:line="312" w:lineRule="auto"/>
        <w:tabs>
          <w:tab w:leader="none" w:pos="685" w:val="left"/>
        </w:tabs>
        <w:numPr>
          <w:ilvl w:val="0"/>
          <w:numId w:val="7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to the Disposition of all or any portion of the Collateral free and clear of the Liens securing the Obligations in connection with any Disposition pursuant to the applicable provisions of the Bankruptcy Code (or other applicable Debtor Relief Law), including Section 363 thereof;</w:t>
      </w:r>
    </w:p>
    <w:p>
      <w:pPr>
        <w:spacing w:after="0" w:line="139" w:lineRule="exact"/>
        <w:rPr>
          <w:rFonts w:ascii="Times New Roman" w:cs="Times New Roman" w:eastAsia="Times New Roman" w:hAnsi="Times New Roman"/>
          <w:sz w:val="17"/>
          <w:szCs w:val="17"/>
          <w:color w:val="auto"/>
        </w:rPr>
      </w:pPr>
    </w:p>
    <w:p>
      <w:pPr>
        <w:ind w:right="180" w:firstLine="436"/>
        <w:spacing w:after="0" w:line="266" w:lineRule="auto"/>
        <w:tabs>
          <w:tab w:leader="none" w:pos="695"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Bankruptcy Code (or other applicable Debtor Relief Law), including under Section 363 thereof;</w:t>
      </w:r>
    </w:p>
    <w:p>
      <w:pPr>
        <w:spacing w:after="0" w:line="175" w:lineRule="exact"/>
        <w:rPr>
          <w:rFonts w:ascii="Times New Roman" w:cs="Times New Roman" w:eastAsia="Times New Roman" w:hAnsi="Times New Roman"/>
          <w:sz w:val="18"/>
          <w:szCs w:val="18"/>
          <w:color w:val="auto"/>
        </w:rPr>
      </w:pPr>
    </w:p>
    <w:p>
      <w:pPr>
        <w:jc w:val="both"/>
        <w:ind w:right="180" w:firstLine="436"/>
        <w:spacing w:after="0" w:line="266" w:lineRule="auto"/>
        <w:tabs>
          <w:tab w:leader="none" w:pos="685"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Disposition of all or any portion of the Collateral pursuant to the applicable provisions of the UCC (or other applicable Debtor Relief Law), including pursuant to Sections 9-610 or 9-620 of the UCC;</w:t>
      </w:r>
    </w:p>
    <w:p>
      <w:pPr>
        <w:spacing w:after="0" w:line="17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bid all or any portion of the Obligations, or purchase all or any portion of the Collateral (in each case, either directly or through one or more acquisition vehicles), in connection with any foreclosure or other Disposition conducted in accordance with applicable law following the occurrence of an Event of Default, including by power of sale, judicial action or otherwise; and/or</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 the amount of any contingent or unliquidated Obligations of such Lender or other Secured Party;</w:t>
      </w:r>
    </w:p>
    <w:p>
      <w:pPr>
        <w:spacing w:after="0" w:line="225"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it being understood that no Lender shall be required to fund any new amount in connection with any purchase of all or any portion of the Collateral by the Collateral Agent pursuant to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without its prior written consent.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980"/>
          </w:cols>
          <w:pgMar w:left="440" w:top="269" w:right="479" w:bottom="1440" w:gutter="0" w:footer="0" w:header="0"/>
        </w:sectPr>
      </w:pPr>
    </w:p>
    <w:bookmarkStart w:id="534" w:name="page535"/>
    <w:bookmarkEnd w:id="534"/>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Secured Party agrees that the Collateral Agent is under no obligation to credit bid any part of the Obligations or to purchase or retain or acquire any portion of the Collateral;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connection with any credit bid or purchase described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preceding paragraph, the Obligations owed to all of the Secured Parties (other than with respect to contingent or unliquidated liabilities as set forth in the next succeeding paragraph) may be, and shall be, credit bid by the Collateral Agent on a ratable basis. For the avoidance of doubt, nothing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limit any rights of any of the Borrower or its Subsidiaries under Section 363(k) of the Bankruptcy Code (or the corresponding provisions of any other applicable Debtor Relief Law).</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With respect to any contingent or unliquidated claim that is an Obligation, the Collateral Agent is hereby authorized by the Secured Parties, but is not required, to estimate the amount thereof for purposes of any credit bid or purchase described in the second preceding paragraph so long as the estimation of the amount or liquidation of such claim would not unduly delay the ability of the Collateral Agent to credit bid the Obligations or purchase the Collateral in the relevant Disposition. In the event that the Collateral Agent, in its sole and absolute discretion, elects not to estimate any such contingent or unliquidated claim or any such claim cannot be estimated without unduly delaying the ability of the Collateral Agent to consummate any credit bid or purchase in accordance with the second preceding paragraph, then any contingent or unliquidated claims not so estimated shall be disregarded, shall not be credit bid, and shall not be entitled to any interest in the portion or the entirety of the Collateral purchased by means of such credit bid.</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Secured Party whose Obligations are credit bid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third preceding paragraph shall be entitled to receive interests in the Collateral or any other asset acquired in connection with such credit bid (or in the Capital Stock of the acquisition vehicle or vehicles that are used to consummate such acquisition) on a ratable basis in accordance with the percentage obtained by dividing (x) the amount of the Obligations of such Secured Party that were credit bid in such credit bid or other Disposition by (y) the aggregate amount of all Obligations that were credit bid in such credit bid or other Disposition.</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Bankruptcy</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each Secured Party agrees that the Collateral Agent (irrespective of whether the principal of any Loan or LC Exposure is then due and payable as herein expressed or by declaration or otherwise and irrespective of whether the Collateral Agent shall have made any demand on the Borrower) shall be entitled and empowered, by intervention in such proceeding or otherwise:</w:t>
      </w:r>
    </w:p>
    <w:p>
      <w:pPr>
        <w:spacing w:after="0" w:line="72" w:lineRule="exact"/>
        <w:rPr>
          <w:sz w:val="20"/>
          <w:szCs w:val="20"/>
          <w:color w:val="auto"/>
        </w:rPr>
      </w:pPr>
    </w:p>
    <w:p>
      <w:pPr>
        <w:ind w:left="440" w:right="20" w:firstLine="419"/>
        <w:spacing w:after="0" w:line="256" w:lineRule="auto"/>
        <w:tabs>
          <w:tab w:leader="none" w:pos="1078"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or LC Exposure and all other Loan Document Obligations that are owing and unpaid and to file such other documents as may be necessary or advisable in order to have the claims of the Lenders, the Issuing Banks, the Collateral Agent and the Administrative Agent (including any claim for the reasonable compensation, expenses, disbursements and advances of the Lenders, the Issuing Banks, the Collateral Agent and the Administrative Agent and their respective agents and counsel and all other amounts to the extent due to the Lenders, the Collateral Agent and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allowed in such judicial proceeding; and</w:t>
      </w:r>
    </w:p>
    <w:p>
      <w:pPr>
        <w:spacing w:after="0" w:line="7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0980"/>
          </w:cols>
          <w:pgMar w:left="440" w:top="269" w:right="479" w:bottom="1440" w:gutter="0" w:footer="0" w:header="0"/>
        </w:sectPr>
      </w:pPr>
    </w:p>
    <w:bookmarkStart w:id="535" w:name="page536"/>
    <w:bookmarkEnd w:id="535"/>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custodian, receiver, assignee, trustee, liquidator, sequestrator or other similar official in any such judicial proceeding is hereby authorized by each Lender and each Issuing Bank to make such payments to the Collateral Agent and/or the Administrative Agent and, in the event that the Collateral Agent and/or the Administrative Agent consents to the making of such payments directly to the Lenders and the Issuing Banks, to pay to such Administrative Agent any amount due for the reasonable compensation, expenses, disbursements and advances of the Collateral Agent and such Administrative Agent and their respective agents and counsel, and any other amount due to the Administrative Agent under </w:t>
      </w:r>
      <w:r>
        <w:rPr>
          <w:rFonts w:ascii="Times New Roman" w:cs="Times New Roman" w:eastAsia="Times New Roman" w:hAnsi="Times New Roman"/>
          <w:sz w:val="18"/>
          <w:szCs w:val="18"/>
          <w:u w:val="single" w:color="auto"/>
          <w:color w:val="auto"/>
        </w:rPr>
        <w:t>Sections 2.12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60" w:firstLine="440"/>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Collateral Agent or the Administrative Agent to authorize or consent to or accept or adopt on behalf of any Lender or any Issuing Bank any plan of reorganization, arrangement, adjustment or composition affecting the Loan Document Obligations or the rights of any Lender or any Issuing Bank or to authorize the Collateral Agent or the Administrative Agent to vote in respect of the claim of any Lender or any Issuing Bank in any such proceeding.</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Each of the Administrative Agent and the Collateral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of the Administrative Agent and the Collateral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the applicable Issuing Bank, the Administrative Agent may presume that such condition is satisfactory to such Lender or such Issuing Bank unless such Administrative Agent has received notice to the contrary from such Lender or Issuing Bank prior to the making of such Loan or the issuance of such Letter of Credit. Each of the Administrative Agent and the Collateral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92"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Delegation</w:t>
      </w:r>
      <w:r>
        <w:rPr>
          <w:rFonts w:ascii="Times New Roman" w:cs="Times New Roman" w:eastAsia="Times New Roman" w:hAnsi="Times New Roman"/>
          <w:sz w:val="18"/>
          <w:szCs w:val="18"/>
          <w:color w:val="auto"/>
        </w:rPr>
        <w:t>. Any of the Administrative Agent and the Collateral Agent may perform any and all of its duties and exercise its rights and powers by or through any one or more sub-Agents appointed by it. The Administrative Agent, the Collateral Agent and any such sub-agent may perform any and all of their respective duties and exercise their respective rights and powers through their respective Related Parties. The exculpatory provisions of this Article shall apply to any such sub-agent and to the Related Parties of the Administrative Agent, the Collateral Agent and any such sub-agent and shall apply to their respective activities in connection with the syndication of the credit facilities provided for herein as well as activities as the Administrative Agent and/or the Collateral Agent.</w:t>
      </w:r>
    </w:p>
    <w:p>
      <w:pPr>
        <w:spacing w:after="0" w:line="187"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Resignation</w:t>
      </w:r>
      <w:r>
        <w:rPr>
          <w:rFonts w:ascii="Times New Roman" w:cs="Times New Roman" w:eastAsia="Times New Roman" w:hAnsi="Times New Roman"/>
          <w:sz w:val="18"/>
          <w:szCs w:val="18"/>
          <w:color w:val="auto"/>
        </w:rPr>
        <w:t xml:space="preserve">. The Administrative Agent or the Collateral Agent may resign at any time by giving thirty days’ written notice to the Lenders (or such shorter period as the Required Lenders may agree), the Issuing Banks and the Borrower. If the Administrative Agent or the Collateral Agent is a Defaulting Lender or an Affiliate of a Defaulting Lender, either the Required Lenders or the Borrower may, upon thirty days’ notice, remove such Administrative Agent or the Collateral Agent, as applicable. Upon receipt of any such notice of resignation or delivery of any such notice of removal, the Required Lenders shall have the right, with the consent of the Borrower (not to be unreasonably withheld or delayed), to appoint a successor Administrative Agent and/or Collateral Agent which shall be a commercial bank, trust company or other Person reasonably acceptable to the Borrower with offices in the U.S.;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the existence and continuation of a Specified Event of Default, no consent of the Borrower shall be required. If no successor shall have been appointed as provided above and accepted such appointment within thirty days after the retiring Administrative Agent and/or Collateral Agent gives notice of its resignation or such Administrative Agent and/or Collateral Agent receives notice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1000"/>
          </w:cols>
          <w:pgMar w:left="440" w:top="269" w:right="459" w:bottom="1440" w:gutter="0" w:footer="0" w:header="0"/>
        </w:sectPr>
      </w:pPr>
    </w:p>
    <w:bookmarkStart w:id="536" w:name="page537"/>
    <w:bookmarkEnd w:id="536"/>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removal, then (a) in the case of a retirement, the retiring Administrative Agent and/or Collateral Agent may (but shall not be obligated to), on behalf of the Lenders and the Issuing Banks, appoint a successor Administrative Agent and/or Collateral Agent meeting the qualifications set forth above (including, for the avoidance of doubt, consent of the Borrower) or (b) in the case of a removal, the Borrower may, after consulting with the Required Lenders, appoint a successor Administrative Agent and/or Collateral Agent meeting the qualifications set forth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(x) in the case of a retirement, if the Administrative Agent and/or the Collateral Agent notifies the Borrower, the Lenders and the Issuing Banks that no qualifying Person has accepted such appointment or (y) in the case of a removal, the Borrower notifies the Required Lenders that no qualifying Person has accepted such appointment, then, in each case, such resignation or removal shall nonetheless become effective in accordance with such notice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the retiring or removed Administrative Agent and/or Collateral Agent shall be discharged from its duties and obligations hereunder and under the other Loan Documents (except that in the case of the Collateral Agent, of any collateral security held by the Collateral Agent in its capacity as collateral agent for the Secured Parties for perfection purposes, the retiring Collateral Agent shall continue to hold such collateral security until such time as a successor Collateral Agent is appointed)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all payments, communications and determinations required to be made by, to or through such Administrative Agent and/or the Collateral Agent shall instead be made by or to each Lender and each Issuing Bank directly (and each Lender and each Issuing Bank will cooperate with the Borrower to enable the Borrower to take such actions), until such time as the Required Lenders or the Borrower, as applicable, appoint a successor Administrative Agent and/or Collateral Agent, as provided for above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Upon the acceptance of its appointment as a successor Administrative Agent and/or Collateral Agent, such successor Administrative Agent and/or Collateral Agent shall succeed to and become vested with all the rights, powers, privileges and duties of the retiring or removed Administrative Agent and/or Collateral Agent (other than any rights to indemnity payments owed to the retiring Administrative Agent and/or Collateral Agent), and the retiring or removed Administrative Agent and/or Collateral Agent shall be discharged from its duties and obligations hereunder (other than its obligations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hereof). The fees payable by the Borrower to a successor Administrative Agent and/or Collateral Agent shall be the same as those payable to its predecessor unless otherwise agreed between the Borrower and such successor Administrative Agent and/or Collateral Agent. After the Administrative Agent’s and/or the Collateral Agent’s resignation or removal hereunder, the provisions of this Article and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continue in effect for the benefit of such retiring or removed Administrative Agent and/or Collateral Agent, its sub-Agents and their respective Related Parties in respect of any action taken or omitted to be taken by any of them while the relevant Person was acting as Administrative Agent and/or Collateral Agent (including for this purpose holding any collateral security following the retirement or removal of the Collateral Agent). Notwithstanding anything to the contrary herein, no Disqualified Institution (nor any Affiliate thereof) may be appointed as a successor Administrative Agent or Collateral Agent.</w:t>
      </w:r>
    </w:p>
    <w:p>
      <w:pPr>
        <w:spacing w:after="0" w:line="20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Any resignation or removal of the Administrative Agent hereunder shall also constitute its resignation as the Swingline Lender, if applicable, effective as of the date of effectiveness of its removal or resignation as Administrative Agent as provided above. In the event of any such resignation as Swingline Lender, the Borrower shall be entitled to appoint any Revolving Lender that is willing to accept such appointment as successor Swingline Lender hereunder. Upon the acceptance of any appointment as Swingline Lender hereunder by a successor Swingline Lender, such successor Swingline Lender shall thereupon succeed to and become vested with all the rights, powers, privileges and duties of the resigning Swingline Lender and the resigning Swingline Lender shall be discharged from its duties and obligations in such capacity hereunder. In the event the Swingline Lender resigns, the Borrower shall promptly repay all outstanding Swingline Loans on the effective date of such resignation (which repayment may be effectuated with the proceeds of a Borrowing).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1000"/>
          </w:cols>
          <w:pgMar w:left="440" w:top="269" w:right="459" w:bottom="1440" w:gutter="0" w:footer="0" w:header="0"/>
        </w:sectPr>
      </w:pPr>
    </w:p>
    <w:bookmarkStart w:id="537" w:name="page538"/>
    <w:bookmarkEnd w:id="537"/>
    <w:p>
      <w:pPr>
        <w:ind w:left="4"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and each Issuing Bank acknowledges that it has, independently and without reliance upon the Administrative Agent, the Collateral Agent or any other Lender or any of their Related Parties and based on such documents and information (which may contain material non-public information) as it has deemed appropriate, made its own credit analysis and decision to enter into this Agreement. Each Lender and each Issuing Bank also acknowledges that it will, independently and without reliance upon the Administrative Agent, the Collateral Agent or any other Lender or any of their respective Related Parties and based on such documents and information as it shall from time to time deem appropriate, continue to make its own decisions in taking or not taking action under or based upon this Agreement, any other Loan Document or related agreement or any document furnished hereunder or thereunder. Except for notices, reports and other documents expressly required to be furnished to the Lenders and the Issuing Banks by the Administrative Agent or the Collateral Agent herein, neither Administrative Agent nor the Collateral Agent shall have any duty or responsibility to provide any Lender or any Issuing Bank with any credit or other information concerning the business, prospects, operations, property, financial and other condition or creditworthiness of any of the Loan Parties or any of their respective Affiliates which may come into the possession of the Administrative Agent, the Collateral Agent or any of its Related Parties.</w:t>
      </w:r>
    </w:p>
    <w:p>
      <w:pPr>
        <w:spacing w:after="0" w:line="192" w:lineRule="exact"/>
        <w:rPr>
          <w:sz w:val="20"/>
          <w:szCs w:val="20"/>
          <w:color w:val="auto"/>
        </w:rPr>
      </w:pPr>
    </w:p>
    <w:p>
      <w:pPr>
        <w:ind w:left="4"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Arrangers</w:t>
      </w:r>
      <w:r>
        <w:rPr>
          <w:rFonts w:ascii="Times New Roman" w:cs="Times New Roman" w:eastAsia="Times New Roman" w:hAnsi="Times New Roman"/>
          <w:sz w:val="18"/>
          <w:szCs w:val="18"/>
          <w:color w:val="auto"/>
        </w:rPr>
        <w:t>. Notwithstanding anything to the contrary herein, the Arrangers shall not have any right, power, obligation, liability, responsibility or duty under this Agreement, except in their respective capacities, as applicable, as the Administrative Agent, the Collateral Agent, an Issuing Bank or a Lender hereunder.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Release of Loan Guarantees; Collateral</w:t>
      </w:r>
      <w:r>
        <w:rPr>
          <w:rFonts w:ascii="Times New Roman" w:cs="Times New Roman" w:eastAsia="Times New Roman" w:hAnsi="Times New Roman"/>
          <w:sz w:val="18"/>
          <w:szCs w:val="18"/>
          <w:color w:val="auto"/>
        </w:rPr>
        <w:t>. Each Secured Party irrevocably authorizes and instructs the Administrative Agent and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Collateral Agent to, and the Administrative Agent and the Collateral Agent shall:</w:t>
      </w:r>
    </w:p>
    <w:p>
      <w:pPr>
        <w:spacing w:after="0" w:line="99" w:lineRule="exact"/>
        <w:rPr>
          <w:sz w:val="20"/>
          <w:szCs w:val="20"/>
          <w:color w:val="auto"/>
        </w:rPr>
      </w:pPr>
    </w:p>
    <w:p>
      <w:pPr>
        <w:ind w:left="4" w:right="40" w:firstLine="436"/>
        <w:spacing w:after="0" w:line="268" w:lineRule="auto"/>
        <w:tabs>
          <w:tab w:leader="none" w:pos="689" w:val="left"/>
        </w:tabs>
        <w:numPr>
          <w:ilvl w:val="1"/>
          <w:numId w:val="7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without limiting </w:t>
      </w:r>
      <w:r>
        <w:rPr>
          <w:rFonts w:ascii="Times New Roman" w:cs="Times New Roman" w:eastAsia="Times New Roman" w:hAnsi="Times New Roman"/>
          <w:sz w:val="17"/>
          <w:szCs w:val="17"/>
          <w:u w:val="single" w:color="auto"/>
          <w:color w:val="auto"/>
        </w:rPr>
        <w:t>Section 10.22</w:t>
      </w:r>
      <w:r>
        <w:rPr>
          <w:rFonts w:ascii="Times New Roman" w:cs="Times New Roman" w:eastAsia="Times New Roman" w:hAnsi="Times New Roman"/>
          <w:sz w:val="17"/>
          <w:szCs w:val="17"/>
          <w:color w:val="auto"/>
        </w:rPr>
        <w:t xml:space="preserve">, release any Lien on any property granted to or held by the Collateral Agent under any Loan Document (i) upon the occurrence of the Termination Date, (ii) that is, or is to be, sold, transferred or otherwise Disposed of as part of or in connection with any sale, transfer or other Disposition or Investment permitted under the Loan Documents (or other disposition not restricted hereby) (A) to a Person that is not a Loan Party or (B) to a Person that is a Loan Party, if (x) such release is a Requirement of Law in connection with such sale, transfer or other Disposition or (y) such transferee Loan Party grants a perfected Lien on such property to the Collateral Agent in compliance with the Collateral and Guarantee Requirement and </w:t>
      </w:r>
      <w:r>
        <w:rPr>
          <w:rFonts w:ascii="Times New Roman" w:cs="Times New Roman" w:eastAsia="Times New Roman" w:hAnsi="Times New Roman"/>
          <w:sz w:val="17"/>
          <w:szCs w:val="17"/>
          <w:u w:val="single" w:color="auto"/>
          <w:color w:val="auto"/>
        </w:rPr>
        <w:t>Section 5.12</w:t>
      </w:r>
      <w:r>
        <w:rPr>
          <w:rFonts w:ascii="Times New Roman" w:cs="Times New Roman" w:eastAsia="Times New Roman" w:hAnsi="Times New Roman"/>
          <w:sz w:val="17"/>
          <w:szCs w:val="17"/>
          <w:color w:val="auto"/>
        </w:rPr>
        <w:t xml:space="preserve"> or during such longer period as agreed to by the Collateral Agent, (iii) that does not constitute Collateral (or ceases to constitute Collateral) (including by being or becoming an Excluded Asset), (iv) if the property subject to such Lien is owned by a Subsidiary Guarantor, upon the release of such Subsidiary Guarantor from its Loan Guarantee otherwise in accordance with the Loan Documents, (v) as required under </w:t>
      </w:r>
      <w:r>
        <w:rPr>
          <w:rFonts w:ascii="Times New Roman" w:cs="Times New Roman" w:eastAsia="Times New Roman" w:hAnsi="Times New Roman"/>
          <w:sz w:val="17"/>
          <w:szCs w:val="17"/>
          <w:u w:val="single" w:color="auto"/>
          <w:color w:val="auto"/>
        </w:rPr>
        <w:t>clause</w:t>
      </w:r>
    </w:p>
    <w:p>
      <w:pPr>
        <w:ind w:left="4" w:hanging="4"/>
        <w:spacing w:after="0" w:line="251" w:lineRule="auto"/>
        <w:tabs>
          <w:tab w:leader="none" w:pos="259" w:val="left"/>
        </w:tabs>
        <w:numPr>
          <w:ilvl w:val="0"/>
          <w:numId w:val="71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or (vi) if approved, authorized or ratified in writing by the Required Lenders (or such other number or percentage of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and each Secured Party hereby consents to any release or re-assignment contemplated by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any steps any Agent may take or request to give effect to such release or re-assignment under the governing law of such Lien;</w:t>
      </w:r>
    </w:p>
    <w:p>
      <w:pPr>
        <w:spacing w:after="0" w:line="193" w:lineRule="exact"/>
        <w:rPr>
          <w:rFonts w:ascii="Times New Roman" w:cs="Times New Roman" w:eastAsia="Times New Roman" w:hAnsi="Times New Roman"/>
          <w:sz w:val="18"/>
          <w:szCs w:val="18"/>
          <w:u w:val="single" w:color="auto"/>
          <w:color w:val="auto"/>
        </w:rPr>
      </w:pPr>
    </w:p>
    <w:p>
      <w:pPr>
        <w:ind w:left="4" w:right="80" w:firstLine="436"/>
        <w:spacing w:after="0" w:line="266" w:lineRule="auto"/>
        <w:tabs>
          <w:tab w:leader="none" w:pos="699" w:val="left"/>
        </w:tabs>
        <w:numPr>
          <w:ilvl w:val="1"/>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release any Subsidiary Guarantor from its obligations under the Loan Guarantee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if such Person ceases to be a Restricted Subsidiary (or becomes an Excluded Subsidiary as a result of a single transaction or series of related transactions or any event or other circumstance permitted hereunder (other than solely by reason of such Subsidiary Guarantor becoming an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4"/>
          </w:cols>
          <w:pgMar w:left="436" w:top="269" w:right="459" w:bottom="1440" w:gutter="0" w:footer="0" w:header="0"/>
        </w:sectPr>
      </w:pPr>
    </w:p>
    <w:bookmarkStart w:id="538" w:name="page539"/>
    <w:bookmarkEnd w:id="538"/>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Excluded Subsidiary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unless either (x) it is no longer a direct or indirect Subsidiary of the Borrower or (y) such Subsidiary Guarantor ceases to be a Wholly-Owned Subsidiary as a result of a sale, issuance or transfer of Capital Stock to (A) a third party that is not an Affiliate of the Borrower or (B) an Affiliate of the Borrower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such sale or transfer is made for a bona fide business purpose of the Borrower and its Subsidiaries and not for the primary purpose of evading the Collateral and Guarantee Requirement (as determined by the Borrower in good faith))) and/or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upon the occurrence of the Termination Date;</w:t>
      </w:r>
    </w:p>
    <w:p>
      <w:pPr>
        <w:spacing w:after="0" w:line="183" w:lineRule="exact"/>
        <w:rPr>
          <w:sz w:val="20"/>
          <w:szCs w:val="20"/>
          <w:color w:val="auto"/>
        </w:rPr>
      </w:pPr>
    </w:p>
    <w:p>
      <w:pPr>
        <w:ind w:right="100" w:firstLine="436"/>
        <w:spacing w:after="0" w:line="272" w:lineRule="auto"/>
        <w:tabs>
          <w:tab w:leader="none" w:pos="685" w:val="left"/>
        </w:tabs>
        <w:numPr>
          <w:ilvl w:val="0"/>
          <w:numId w:val="7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subordinate (and, in the case of </w:t>
      </w:r>
      <w:r>
        <w:rPr>
          <w:rFonts w:ascii="Times New Roman" w:cs="Times New Roman" w:eastAsia="Times New Roman" w:hAnsi="Times New Roman"/>
          <w:sz w:val="17"/>
          <w:szCs w:val="17"/>
          <w:u w:val="single" w:color="auto"/>
          <w:color w:val="auto"/>
        </w:rPr>
        <w:t>Section 6.02(uu)</w:t>
      </w:r>
      <w:r>
        <w:rPr>
          <w:rFonts w:ascii="Times New Roman" w:cs="Times New Roman" w:eastAsia="Times New Roman" w:hAnsi="Times New Roman"/>
          <w:sz w:val="17"/>
          <w:szCs w:val="17"/>
          <w:color w:val="auto"/>
        </w:rPr>
        <w:t xml:space="preserve">, release) any Lien on any property granted to or held by the Collateral Agent under any Loan Document to the holder of any Lien on such property that is permitted by </w:t>
      </w:r>
      <w:r>
        <w:rPr>
          <w:rFonts w:ascii="Times New Roman" w:cs="Times New Roman" w:eastAsia="Times New Roman" w:hAnsi="Times New Roman"/>
          <w:sz w:val="17"/>
          <w:szCs w:val="17"/>
          <w:u w:val="single" w:color="auto"/>
          <w:color w:val="auto"/>
        </w:rPr>
        <w:t>Sections 6.02(c)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6.02(o)</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6.02(p)</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6.02(q)</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6.02(u)</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6.02(v)(ii)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6.02(x)</w:t>
      </w:r>
      <w:r>
        <w:rPr>
          <w:rFonts w:ascii="Times New Roman" w:cs="Times New Roman" w:eastAsia="Times New Roman" w:hAnsi="Times New Roman"/>
          <w:sz w:val="17"/>
          <w:szCs w:val="17"/>
          <w:color w:val="auto"/>
        </w:rPr>
        <w:t>, 6.02</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6.02(z)(i)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6.02(bb)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6.02(cc)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6.02(dd)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6.02(ee)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6.02(ff)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6.02(gg)</w:t>
      </w:r>
      <w:r>
        <w:rPr>
          <w:rFonts w:ascii="Times New Roman" w:cs="Times New Roman" w:eastAsia="Times New Roman" w:hAnsi="Times New Roman"/>
          <w:sz w:val="17"/>
          <w:szCs w:val="17"/>
          <w:color w:val="auto"/>
        </w:rPr>
        <w:t>,</w:t>
      </w:r>
    </w:p>
    <w:p>
      <w:pPr>
        <w:spacing w:after="0" w:line="1" w:lineRule="exact"/>
        <w:rPr>
          <w:rFonts w:ascii="Times New Roman" w:cs="Times New Roman" w:eastAsia="Times New Roman" w:hAnsi="Times New Roman"/>
          <w:sz w:val="17"/>
          <w:szCs w:val="17"/>
          <w:color w:val="auto"/>
        </w:rPr>
      </w:pPr>
    </w:p>
    <w:p>
      <w:pPr>
        <w:ind w:right="320"/>
        <w:spacing w:after="0" w:line="27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6.02(ii)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6.02(ll)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6.02(mm)</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6.02(uu)</w:t>
      </w:r>
      <w:r>
        <w:rPr>
          <w:rFonts w:ascii="Times New Roman" w:cs="Times New Roman" w:eastAsia="Times New Roman" w:hAnsi="Times New Roman"/>
          <w:sz w:val="17"/>
          <w:szCs w:val="17"/>
          <w:color w:val="auto"/>
        </w:rPr>
        <w:t xml:space="preserve"> (and any Refinancing Indebtedness in respect of any thereof to the extent such Refinancing Indebtedness is permitted to be secured under </w:t>
      </w:r>
      <w:r>
        <w:rPr>
          <w:rFonts w:ascii="Times New Roman" w:cs="Times New Roman" w:eastAsia="Times New Roman" w:hAnsi="Times New Roman"/>
          <w:sz w:val="17"/>
          <w:szCs w:val="17"/>
          <w:u w:val="single" w:color="auto"/>
          <w:color w:val="auto"/>
        </w:rPr>
        <w:t>Section 6.02(k)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 release of a Lien on a deposit, securities or similar account (or related assets) there shall be no requirement that any cash pooling and/or treasury service provider hold a subsequent Lien on such account or asset; and</w:t>
      </w:r>
    </w:p>
    <w:p>
      <w:pPr>
        <w:spacing w:after="0" w:line="168" w:lineRule="exact"/>
        <w:rPr>
          <w:rFonts w:ascii="Times New Roman" w:cs="Times New Roman" w:eastAsia="Times New Roman" w:hAnsi="Times New Roman"/>
          <w:sz w:val="17"/>
          <w:szCs w:val="17"/>
          <w:color w:val="auto"/>
        </w:rPr>
      </w:pPr>
    </w:p>
    <w:p>
      <w:pPr>
        <w:jc w:val="both"/>
        <w:ind w:right="260" w:firstLine="436"/>
        <w:spacing w:after="0" w:line="261" w:lineRule="auto"/>
        <w:tabs>
          <w:tab w:leader="none" w:pos="695"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subordination, intercreditor, collateral trust and/or similar agreements (and any amendments thereto) with respect to Indebtedness (including any Acceptable Intercreditor Agreement and any amendment thereto) that is (i) required or permitted to be subordinated hereunder or pari passu with the Liens securing the Loan Document Obligations and/or (ii) secured by Liens, and with respect to which Indebtedness and/or Liens, this Agreement contemplates an intercreditor, subordination, collateral trust or similar agreement.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Upon the request of the Collateral Agent or the Administrative Agent at any time, the Required Lenders will confirm in writing the Collateral Agent’s and/or the Administrative Agent’s authority to release or subordinate its interest in particular types or items of property, or to release any Loan Party from its obligations under the Loan Guarantee or its Lien on any Collateral pursuant to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In each case as specified in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the Administrative Agent and the Collateral Agent will (and each Lender and each Issuing Bank hereby authorizes the Administrative Agent and the Collateral Agent to), at the Borrower’s expense, execute and deliver to the applicable Loan Party such documents as such Loan Party may reasonably request to evidence the release of such item of Collateral from the assignment and security interest granted under the Collateral Documents, to subordinate its interest therein, or to release such Loan Party from its obligations under the Loan Guarantee, in each case in accordance with the terms of the Loan Documents and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The parties hereto acknowledge and agree that each of the Administrative Agent and the Collateral Agent may rely conclusively as to any of the matters described in this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(including as to its authority hereunder and thereunder) on a certificate or similar instrument provided to it by any Loan Party without further inquiry or investigation, which certificate shall be delivered to the Administrative Agent and/or the Collateral Agent by the Loan Parties upon request.</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xml:space="preserve">. Each of the Administrative Agent and the Collateral Agent is authorized (and directed) to enter into any Acceptable Intercreditor Agreement and any other intercreditor, subordination, collateral trust or similar agreement contemplated hereby with respect to any (a) Indebtedness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that is (A) required or permitted to be subordinated hereunder or pari passu with or senior to the Liens securing the Loan Document Obligations and/or (B) secured by Liens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with respect to which Indebtedness and/or Liens, this Agreement contemplates an intercreditor, subordination, collateral trust or similar agreement (any such other intercreditor, subordination, collateral trust and/or similar agreement, an “</w:t>
      </w:r>
      <w:r>
        <w:rPr>
          <w:rFonts w:ascii="Times New Roman" w:cs="Times New Roman" w:eastAsia="Times New Roman" w:hAnsi="Times New Roman"/>
          <w:sz w:val="18"/>
          <w:szCs w:val="18"/>
          <w:b w:val="1"/>
          <w:bCs w:val="1"/>
          <w:color w:val="auto"/>
        </w:rPr>
        <w:t>Additional Agreement</w:t>
      </w:r>
      <w:r>
        <w:rPr>
          <w:rFonts w:ascii="Times New Roman" w:cs="Times New Roman" w:eastAsia="Times New Roman" w:hAnsi="Times New Roman"/>
          <w:sz w:val="18"/>
          <w:szCs w:val="18"/>
          <w:color w:val="auto"/>
        </w:rPr>
        <w:t>”) and/or (b) Secured Hedging Obligations and/or Banking Services Obligations, whether or not constituting Indebtedness, and each Secured Party acknowledges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1000"/>
          </w:cols>
          <w:pgMar w:left="440" w:top="269" w:right="459" w:bottom="1440" w:gutter="0" w:footer="0" w:header="0"/>
        </w:sectPr>
      </w:pPr>
    </w:p>
    <w:bookmarkStart w:id="539" w:name="page540"/>
    <w:bookmarkEnd w:id="539"/>
    <w:p>
      <w:pPr>
        <w:ind w:left="4" w:right="4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any Acceptable Intercreditor Agreement and any Additional Agreement is binding upon them. Each Secured Party hereby agrees that it will be bound by, and will not take any action contrary to, the provisions of any Acceptable Intercreditor Agreement or any Additional Agreement and</w:t>
      </w:r>
    </w:p>
    <w:p>
      <w:pPr>
        <w:ind w:left="4" w:right="540" w:hanging="4"/>
        <w:spacing w:after="0" w:line="253" w:lineRule="auto"/>
        <w:tabs>
          <w:tab w:leader="none" w:pos="249"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authorizes and instructs each of the Administrative Agent and the Collateral Agent to enter into any Additional Agreement (including any Acceptable Intercreditor Agreement) and to subject the Liens on the Collateral securing the Obligations to the provisions thereof. The foregoing provisions are intended as an inducement to the Secured Parties to extend credit to the Borrower, and the Secured Parties are intended third-party beneficiaries of such provisions and the provisions of any Acceptable Intercreditor Agreement and/or any other Additional Agreement.</w:t>
      </w:r>
    </w:p>
    <w:p>
      <w:pPr>
        <w:spacing w:after="0" w:line="189"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9.10. </w:t>
      </w:r>
      <w:r>
        <w:rPr>
          <w:rFonts w:ascii="Times New Roman" w:cs="Times New Roman" w:eastAsia="Times New Roman" w:hAnsi="Times New Roman"/>
          <w:sz w:val="18"/>
          <w:szCs w:val="18"/>
          <w:u w:val="single" w:color="auto"/>
          <w:color w:val="auto"/>
        </w:rPr>
        <w:t>Indemnification by Lenders</w:t>
      </w:r>
      <w:r>
        <w:rPr>
          <w:rFonts w:ascii="Times New Roman" w:cs="Times New Roman" w:eastAsia="Times New Roman" w:hAnsi="Times New Roman"/>
          <w:sz w:val="18"/>
          <w:szCs w:val="18"/>
          <w:color w:val="auto"/>
        </w:rPr>
        <w:t xml:space="preserve">. To the extent that the Administrative Agent or the Collateral Agent (or any Affiliate of the foregoing) is not reimbursed and indemnified by the Borrower in accordance with the terms of this Agreement, the Lenders will reimburse and indemnify the Administrative Agent and the Collateral Agent (and any Affiliate of the foregoing) in proportion to their respective Applicable Percentages (determined as if there were no Defaulting Lenders) for and against any and all liabilities, obligations, losses, damages, penalties, claims, actions, judgments, costs, expenses or disbursements of whatsoever kind or nature which may be imposed on, asserted against or incurred by the Administrative Agent or the Collateral Agent (or any Affiliate of the foregoing) in performing its duties hereunder or under any other Loan Document or in any way relating to or arising out of this Agreement or any other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be liable for any portion of such liabilities, obligations, losses, damages, penalties, claims, actions, judgments, suits, costs, expenses or disbursements resulting from such Administrative Agent’s or the Collateral Agent’s (or such Affiliate’s) gross negligence or willful misconduct (as determined by a court of competent jurisdiction in a final and non-appealable decision).</w:t>
      </w:r>
    </w:p>
    <w:p>
      <w:pPr>
        <w:spacing w:after="0" w:line="194"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Requirements of Law, the Administrative Agent may withhold from any payment to any Lender (which term shall include any Issuing Bank for purposes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an amount equivalent to any applicable withholding Tax. If the Internal Revenue Service or any other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such Administrative Agent of a change in circumstance which rendered the exemption from, or reduction of, withholding Tax ineffective), such Lender shall indemnify fully and hold harmless such Administrative Agent (to the extent that such Administrative Agent has not already been reimbursed by a Loan Party pursuant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without limiting or expanding the obligation of any Loan Party to do so) for all amounts paid, directly or indirectly, by such Administrative Agent as Taxes or otherwise, together with all expenses incurred, including legal expenses and any other out-of-pocket expenses, whether or not such Tax was correctly or legally imposed or asserted by the relevant Governmental Authority. A certificate as to the amount of such payment or liability delivered to any Lender by such Administrative Agent shall be conclusive absent manifest error. The agreements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survive the resignation and/or replacement of the Administrative Agent, any assignment of rights by, or the replacement of, a Lender, the termination of this Agreement and the repayment, satisfaction or discharge of all other Loan Document Obligations.</w:t>
      </w:r>
    </w:p>
    <w:p>
      <w:pPr>
        <w:spacing w:after="0" w:line="187"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Calculations</w:t>
      </w:r>
      <w:r>
        <w:rPr>
          <w:rFonts w:ascii="Times New Roman" w:cs="Times New Roman" w:eastAsia="Times New Roman" w:hAnsi="Times New Roman"/>
          <w:sz w:val="18"/>
          <w:szCs w:val="18"/>
          <w:color w:val="auto"/>
        </w:rPr>
        <w:t>. It is understood by all parties hereto that the Administrative Agent may (but shall not be obligated to) deliver calculations to the Borrower from time to time of amounts under this Agreement, and that the Administrative Agent shall have no liability with respect thereto. If the Administrative Agent identifies or becomes aware of an update or revision to any calculation previously delivered, the Administrative Agent may (but shall not be obligated to, unless directed by the Required Lenders) deliver an updated or revised calculation with respect to any amount due hereunder. For avoidance of doubt, if there is a dispute as to the amount due and owing, any calculation or any updated or revised calculation of the Administrative Agent shall control absent manifest error.</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984"/>
          </w:cols>
          <w:pgMar w:left="436" w:top="269" w:right="479" w:bottom="1440" w:gutter="0" w:footer="0" w:header="0"/>
        </w:sectPr>
      </w:pPr>
    </w:p>
    <w:bookmarkStart w:id="540" w:name="page541"/>
    <w:bookmarkEnd w:id="54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6" w:lineRule="auto"/>
        <w:tabs>
          <w:tab w:leader="none" w:pos="685"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email, as follows: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Loan Party, to such Loan Party in the care of the Borrower at:</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904 Sylvan Avenue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Englewood Cliffs, New Jersey 07632</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with a copy to (which shall not constitute notice to any Loan Party):</w:t>
      </w:r>
    </w:p>
    <w:p>
      <w:pPr>
        <w:spacing w:after="0" w:line="11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Attention: Hilary Dengel and Robert F. Smith</w:t>
      </w:r>
    </w:p>
    <w:p>
      <w:pPr>
        <w:spacing w:after="0" w:line="9"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Email: hilary.dengel@davispolk.com and robert.smith@davispolk.com</w:t>
      </w:r>
    </w:p>
    <w:p>
      <w:pPr>
        <w:spacing w:after="0" w:line="99" w:lineRule="exact"/>
        <w:rPr>
          <w:sz w:val="20"/>
          <w:szCs w:val="20"/>
          <w:color w:val="auto"/>
        </w:rPr>
      </w:pPr>
    </w:p>
    <w:p>
      <w:pPr>
        <w:ind w:left="1120" w:hanging="261"/>
        <w:spacing w:after="0"/>
        <w:tabs>
          <w:tab w:leader="none" w:pos="112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Administrative Agent, to the address or addresses separately provided to the Borrower or the Lenders, as applicable;</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Collateral Agent, to the address or addresses separately provided to the Borrower or the Lenders, as applicable;</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68"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 Issuing Bank, to it at the address separately provided to the Borrower; if to the Swingline Lender, at the address separately provided to the Borrower;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Lender, to it at its address or email address set forth in its Administrative Questionnaire.</w:t>
      </w:r>
    </w:p>
    <w:p>
      <w:pPr>
        <w:spacing w:after="0" w:line="22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All such notices and other communications sent by hand or overnight courier service, or mailed by certified or registered mail, shall be deemed to have been given when delivered in person or by courier service and signed for against receipt thereof or three Business Days after dispatch if sent by certified or registered mail, in each case, delivered, sent or mailed (properly addressed) to the relevant party as provided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in accordance with the latest unrevoked direction from such party given in accordance with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0960"/>
          </w:cols>
          <w:pgMar w:left="440" w:top="269" w:right="499" w:bottom="1440" w:gutter="0" w:footer="0" w:header="0"/>
        </w:sectPr>
      </w:pPr>
    </w:p>
    <w:bookmarkStart w:id="541" w:name="page542"/>
    <w:bookmarkEnd w:id="541"/>
    <w:p>
      <w:pPr>
        <w:ind w:left="4" w:firstLine="436"/>
        <w:spacing w:after="0" w:line="267" w:lineRule="auto"/>
        <w:tabs>
          <w:tab w:leader="none" w:pos="699" w:val="left"/>
        </w:tabs>
        <w:numPr>
          <w:ilvl w:val="1"/>
          <w:numId w:val="7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Notices and other communications to the Lenders hereunder may be delivered or furnished by electronic communications (including e-mail and Internet or Intranet websites) pursuant to procedures set forth herein or otherwise approved by the Administrative Agent. The Administrative Agent, the Collateral Agent or the Borrower (on behalf of any Loan Party) may, in its discretion, agree to accept notices and other communications to it hereunder by electronic communications pursuant to procedures set forth herein or otherwise approved by it;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approval of such procedures may be limited to particular notices or communications. All such notices and other communications (i)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not given during the normal business hours of the recipient, such notice or communication shall be deemed to have been given at the opening of business on the next Business Day for the recipient and (ii)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7"/>
          <w:szCs w:val="17"/>
          <w:u w:val="single" w:color="auto"/>
          <w:color w:val="auto"/>
        </w:rPr>
        <w:t>clause (b)</w:t>
      </w:r>
    </w:p>
    <w:p>
      <w:pPr>
        <w:spacing w:after="0" w:line="5"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72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notification that such notice or communication is available and identifying the website address therefor.</w:t>
      </w:r>
    </w:p>
    <w:p>
      <w:pPr>
        <w:spacing w:after="0" w:line="206" w:lineRule="exact"/>
        <w:rPr>
          <w:rFonts w:ascii="Times New Roman" w:cs="Times New Roman" w:eastAsia="Times New Roman" w:hAnsi="Times New Roman"/>
          <w:sz w:val="18"/>
          <w:szCs w:val="18"/>
          <w:u w:val="single" w:color="auto"/>
          <w:color w:val="auto"/>
        </w:rPr>
      </w:pPr>
    </w:p>
    <w:p>
      <w:pPr>
        <w:jc w:val="both"/>
        <w:ind w:left="4" w:right="240" w:firstLine="436"/>
        <w:spacing w:after="0" w:line="266" w:lineRule="auto"/>
        <w:tabs>
          <w:tab w:leader="none" w:pos="689" w:val="left"/>
        </w:tabs>
        <w:numPr>
          <w:ilvl w:val="1"/>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party hereto may change its address or other notice information hereunder by notice to the other parties hereto; it being understood and agreed that the Borrower may provide any such notice to the Administrative Agent as recipient on behalf of itself, the Swingline Lender, each Issuing Bank and each Lender.</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Waivers;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36"/>
        <w:spacing w:after="0" w:line="253" w:lineRule="auto"/>
        <w:tabs>
          <w:tab w:leader="none" w:pos="689"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any Loan Document or consent to any departure by any party thereto therefrom shall in any event be effective unless the same is permitted by this Section, and then such waiver or consent shall be effective only in the specific instance and for the purpose for which it is given. Without limiting the generality of the foregoing, to the extent permitted by law, the making of a Loan or the issuance of any Letter of Credit shall not be construed as a waiver of any Default or Event of Default, regardless of whether the Administrative Agent, any Lender or any Issuing Bank may have had notice or knowledge of such Default or Event of Default at the time.</w:t>
      </w:r>
    </w:p>
    <w:p>
      <w:pPr>
        <w:spacing w:after="0" w:line="194" w:lineRule="exact"/>
        <w:rPr>
          <w:rFonts w:ascii="Times New Roman" w:cs="Times New Roman" w:eastAsia="Times New Roman" w:hAnsi="Times New Roman"/>
          <w:sz w:val="18"/>
          <w:szCs w:val="18"/>
          <w:color w:val="auto"/>
        </w:rPr>
      </w:pPr>
    </w:p>
    <w:p>
      <w:pPr>
        <w:ind w:left="4" w:right="160" w:firstLine="436"/>
        <w:spacing w:after="0" w:line="255" w:lineRule="auto"/>
        <w:tabs>
          <w:tab w:leader="none" w:pos="699"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and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neither this Agreement nor any other Loan Document nor any provision hereof or thereof may be waived, amended or modified, except (i) in the case of this Agreement, pursuant to an agreement or agreements in writing entered into by the Borrower and the Required Lenders (or the Administrative Agent with the consent of the Required Lenders) or (ii) in the case of any other Loan Document (other than any waiver, amendment or modification to effectuate any modification thereto expressly contemplated by the terms of such other Loan Document), pursuant to an agreement or agreements in writing entered into by the Administrative Agent, the Collateral Agent and each Loan Party that is party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w:t>
      </w:r>
    </w:p>
    <w:p>
      <w:pPr>
        <w:spacing w:after="0" w:line="80" w:lineRule="exact"/>
        <w:rPr>
          <w:rFonts w:ascii="Times New Roman" w:cs="Times New Roman" w:eastAsia="Times New Roman" w:hAnsi="Times New Roman"/>
          <w:sz w:val="18"/>
          <w:szCs w:val="18"/>
          <w:color w:val="auto"/>
        </w:rPr>
      </w:pPr>
    </w:p>
    <w:p>
      <w:pPr>
        <w:ind w:left="984" w:firstLine="408"/>
        <w:spacing w:after="0" w:line="282" w:lineRule="auto"/>
        <w:tabs>
          <w:tab w:leader="none" w:pos="1680" w:val="left"/>
        </w:tabs>
        <w:numPr>
          <w:ilvl w:val="1"/>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the consent of each Lender directly and adversely affected thereby (but without requiring the consent of the Required Lenders), no such agreement shall;</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1004"/>
          </w:cols>
          <w:pgMar w:left="436" w:top="269" w:right="459" w:bottom="1440" w:gutter="0" w:footer="0" w:header="0"/>
        </w:sectPr>
      </w:pPr>
    </w:p>
    <w:bookmarkStart w:id="542" w:name="page543"/>
    <w:bookmarkEnd w:id="542"/>
    <w:p>
      <w:pPr>
        <w:ind w:left="420" w:firstLine="391"/>
        <w:spacing w:after="0" w:line="261" w:lineRule="auto"/>
        <w:tabs>
          <w:tab w:leader="none" w:pos="105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increase the Commitment of such Lender (other than with respect to any Incremental Facility pursuant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in respect of which such Lender has agreed to be an Additional Lender); it being understood that no amendment, modification or waiver of, or consent to departure from, any condition precedent, representation, warranty, covenant, Default, Event of Default, mandatory prepayment or mandatory reduction of the Commitments shall constitute an increase of any Commitment of such Lender;</w:t>
      </w:r>
    </w:p>
    <w:p>
      <w:pPr>
        <w:spacing w:after="0" w:line="71" w:lineRule="exact"/>
        <w:rPr>
          <w:rFonts w:ascii="Times New Roman" w:cs="Times New Roman" w:eastAsia="Times New Roman" w:hAnsi="Times New Roman"/>
          <w:sz w:val="18"/>
          <w:szCs w:val="18"/>
          <w:color w:val="auto"/>
        </w:rPr>
      </w:pPr>
    </w:p>
    <w:p>
      <w:pPr>
        <w:ind w:left="420" w:firstLine="391"/>
        <w:spacing w:after="0" w:line="258" w:lineRule="auto"/>
        <w:tabs>
          <w:tab w:leader="none" w:pos="105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or forgive the principal amount of any Loan owed to such Lender or any amount due to such Lender on any Loan Installment Date (other than, in each case, any waiver of, or consent to or departure from, any Default or Event of Default or any mandatory prepayment; it being understood that no change in (i) the definition of “First Lien Leverage Ratio” or any other ratio used in the calculation of any mandatory prepayment (including any component definition thereof) or (ii) the MFN Provision shall constitute a reduction or forgiveness of any principal amount due hereunder);</w:t>
      </w:r>
    </w:p>
    <w:p>
      <w:pPr>
        <w:spacing w:after="0" w:line="75" w:lineRule="exact"/>
        <w:rPr>
          <w:rFonts w:ascii="Times New Roman" w:cs="Times New Roman" w:eastAsia="Times New Roman" w:hAnsi="Times New Roman"/>
          <w:sz w:val="18"/>
          <w:szCs w:val="18"/>
          <w:color w:val="auto"/>
        </w:rPr>
      </w:pPr>
    </w:p>
    <w:p>
      <w:pPr>
        <w:ind w:left="420" w:right="140" w:firstLine="391"/>
        <w:spacing w:after="0" w:line="256" w:lineRule="auto"/>
        <w:tabs>
          <w:tab w:leader="none" w:pos="105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extend the scheduled final maturity of any Loan or (y) postpone any Loan Installment Date, any Interest Payment Date or the date of any scheduled payment of any fee, in each case payable to such Lender hereunder (in each case, other than any extension for administrative reasons agreed by the Administrative Agent) (other than, in each case, any waiver of, or consent or departure from, any Default or Event of Default or any mandatory prepayment; it being understood that no change in the definition of “First Lien Leverage Ratio” or any other ratio used in the calculation of any mandatory prepayment (including any component definition thereof) shall constitute such an extension or postponement);</w:t>
      </w:r>
    </w:p>
    <w:p>
      <w:pPr>
        <w:spacing w:after="0" w:line="79" w:lineRule="exact"/>
        <w:rPr>
          <w:rFonts w:ascii="Times New Roman" w:cs="Times New Roman" w:eastAsia="Times New Roman" w:hAnsi="Times New Roman"/>
          <w:sz w:val="18"/>
          <w:szCs w:val="18"/>
          <w:color w:val="auto"/>
        </w:rPr>
      </w:pPr>
    </w:p>
    <w:p>
      <w:pPr>
        <w:ind w:left="420" w:right="60" w:firstLine="391"/>
        <w:spacing w:after="0" w:line="254" w:lineRule="auto"/>
        <w:tabs>
          <w:tab w:leader="none" w:pos="105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rate of interest (other than to waive any Default or Event of Default or obligation of the Borrower to pay interest at the default rate of interest under </w:t>
      </w:r>
      <w:r>
        <w:rPr>
          <w:rFonts w:ascii="Times New Roman" w:cs="Times New Roman" w:eastAsia="Times New Roman" w:hAnsi="Times New Roman"/>
          <w:sz w:val="18"/>
          <w:szCs w:val="18"/>
          <w:u w:val="single" w:color="auto"/>
          <w:color w:val="auto"/>
        </w:rPr>
        <w:t>Section 2.13(e)</w:t>
      </w:r>
      <w:r>
        <w:rPr>
          <w:rFonts w:ascii="Times New Roman" w:cs="Times New Roman" w:eastAsia="Times New Roman" w:hAnsi="Times New Roman"/>
          <w:sz w:val="18"/>
          <w:szCs w:val="18"/>
          <w:color w:val="auto"/>
        </w:rPr>
        <w:t>, which shall only require the consent of the Required Lenders, or to waive adjustments in interest rate or fees on account of late delivery of financial statements or a determination with respect to financial statements pursuant to the final paragraphs of the definitions of “Applicable Rate” and “Commitment Fee Rate”, which shall only require the consent of the Required Lenders of the applicable Class) or the amount of any fee owed to such Lender; it being understood that no change in (i) the definition of “First Lien Leverage Ratio” or any other ratio used in the calculation of the Applicable Rate or the Commitment Fee Rate, or in the calculation of any other interest or fee due hereunder (including any component definition thereof) or (ii) the MFN Provision shall constitute a reduction in any rate of interest or fee hereunder;</w:t>
      </w:r>
    </w:p>
    <w:p>
      <w:pPr>
        <w:spacing w:after="0" w:line="83" w:lineRule="exact"/>
        <w:rPr>
          <w:rFonts w:ascii="Times New Roman" w:cs="Times New Roman" w:eastAsia="Times New Roman" w:hAnsi="Times New Roman"/>
          <w:sz w:val="18"/>
          <w:szCs w:val="18"/>
          <w:color w:val="auto"/>
        </w:rPr>
      </w:pPr>
    </w:p>
    <w:p>
      <w:pPr>
        <w:ind w:left="420" w:right="20" w:firstLine="391"/>
        <w:spacing w:after="0" w:line="266" w:lineRule="auto"/>
        <w:tabs>
          <w:tab w:leader="none" w:pos="1058"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 the expiry date of such Lender’s Commitment; it being understood that no amendment, modification or waiver of, or consent to departure from, any condition precedent, representation, warranty, covenant, Default, Event of Default, mandatory prepayment or mandatory reduction of any Commitment shall constitute an extension of any Commitment of any Lender; and</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000"/>
          </w:cols>
          <w:pgMar w:left="1440" w:top="269" w:right="459" w:bottom="1440" w:gutter="0" w:footer="0" w:header="0"/>
        </w:sectPr>
      </w:pPr>
    </w:p>
    <w:bookmarkStart w:id="543" w:name="page544"/>
    <w:bookmarkEnd w:id="543"/>
    <w:p>
      <w:pPr>
        <w:ind w:left="420" w:right="40" w:firstLine="391"/>
        <w:spacing w:after="0" w:line="266" w:lineRule="auto"/>
        <w:tabs>
          <w:tab w:leader="none" w:pos="1058" w:val="left"/>
        </w:tabs>
        <w:numPr>
          <w:ilvl w:val="2"/>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 amend or modify the provisions of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of this Agreement in a manner that would by its terms alter the pro rata sharing of payments required thereby (except in connection with any transaction permitted under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10.05(g)</w:t>
      </w:r>
      <w:r>
        <w:rPr>
          <w:rFonts w:ascii="Times New Roman" w:cs="Times New Roman" w:eastAsia="Times New Roman" w:hAnsi="Times New Roman"/>
          <w:sz w:val="18"/>
          <w:szCs w:val="18"/>
          <w:color w:val="auto"/>
        </w:rPr>
        <w:t xml:space="preserve"> or as otherwise provided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060" w:hanging="249"/>
        <w:spacing w:after="0"/>
        <w:tabs>
          <w:tab w:leader="none" w:pos="1060" w:val="left"/>
        </w:tabs>
        <w:numPr>
          <w:ilvl w:val="2"/>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subordinate (x) all or substantially all of the Loan Document Obligations in right of payment to any other Indebtedness or</w:t>
      </w:r>
    </w:p>
    <w:p>
      <w:pPr>
        <w:spacing w:after="0" w:line="27" w:lineRule="exact"/>
        <w:rPr>
          <w:rFonts w:ascii="Times New Roman" w:cs="Times New Roman" w:eastAsia="Times New Roman" w:hAnsi="Times New Roman"/>
          <w:sz w:val="18"/>
          <w:szCs w:val="18"/>
          <w:color w:val="auto"/>
        </w:rPr>
      </w:pPr>
    </w:p>
    <w:p>
      <w:pPr>
        <w:ind w:left="420" w:right="120" w:firstLine="8"/>
        <w:spacing w:after="0" w:line="252" w:lineRule="auto"/>
        <w:tabs>
          <w:tab w:leader="none" w:pos="675" w:val="left"/>
        </w:tabs>
        <w:numPr>
          <w:ilvl w:val="1"/>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with respect to all or substantially all of the value of the Collateral securing the Loan Document Obligations to any Lien securing other Indebtedness (in each case of (x) and/or (y), other than as permitted under this Agreement as in effect on the Closing Date and other than in connection with any debtor-in-possession (or equivalent or similar) financing or use of Collateral in an insolvency proceeding or any other proceeding under any Debtor Relief Laws), in each case of (x) and/or (y) unless such adversely affected Lender is offered the bona fide opportunity to participate on no less than a pro rata basis in such other Indebtedness (it being understood that, for the avoidance of doubt, such “pro rata” right to participate shall consider any other pari passu debt facilities (including notes or loans) also being offered such a right); and</w:t>
      </w:r>
    </w:p>
    <w:p>
      <w:pPr>
        <w:spacing w:after="0" w:line="80" w:lineRule="exact"/>
        <w:rPr>
          <w:rFonts w:ascii="Times New Roman" w:cs="Times New Roman" w:eastAsia="Times New Roman" w:hAnsi="Times New Roman"/>
          <w:sz w:val="18"/>
          <w:szCs w:val="18"/>
          <w:color w:val="auto"/>
        </w:rPr>
      </w:pPr>
    </w:p>
    <w:p>
      <w:pPr>
        <w:ind w:left="680" w:hanging="292"/>
        <w:spacing w:after="0"/>
        <w:tabs>
          <w:tab w:leader="none" w:pos="680"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agreement shall:</w:t>
      </w:r>
    </w:p>
    <w:p>
      <w:pPr>
        <w:spacing w:after="0" w:line="117" w:lineRule="exact"/>
        <w:rPr>
          <w:rFonts w:ascii="Times New Roman" w:cs="Times New Roman" w:eastAsia="Times New Roman" w:hAnsi="Times New Roman"/>
          <w:sz w:val="18"/>
          <w:szCs w:val="18"/>
          <w:color w:val="auto"/>
        </w:rPr>
      </w:pPr>
    </w:p>
    <w:p>
      <w:pPr>
        <w:ind w:left="420" w:firstLine="391"/>
        <w:spacing w:after="0" w:line="255" w:lineRule="auto"/>
        <w:tabs>
          <w:tab w:leader="none" w:pos="1058" w:val="left"/>
        </w:tabs>
        <w:numPr>
          <w:ilvl w:val="2"/>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(x) any of the provisions of </w:t>
      </w:r>
      <w:r>
        <w:rPr>
          <w:rFonts w:ascii="Times New Roman" w:cs="Times New Roman" w:eastAsia="Times New Roman" w:hAnsi="Times New Roman"/>
          <w:sz w:val="18"/>
          <w:szCs w:val="18"/>
          <w:u w:val="single" w:color="auto"/>
          <w:color w:val="auto"/>
        </w:rPr>
        <w:t>Section 10.02(a)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or the definition of “Required Lenders”, in each case to reduce any voting percentage required to waive, amend or modify any right thereunder or make any determination or grant any consent thereunder, without the prior written consent of each Lender or (y) the definition of “Required Revolving Lenders” to reduce any voting percentage required to waive, amend or modify any right thereunder or make any determination or grant any consent thereunder, without the prior written consent of each Revolving Lender (it being understood that neither the consent of the Required Lenders nor the consent of any other Lender shall be required in connection with any change to the definition of “Required Revolving Lenders”);</w:t>
      </w:r>
    </w:p>
    <w:p>
      <w:pPr>
        <w:spacing w:after="0" w:line="80" w:lineRule="exact"/>
        <w:rPr>
          <w:rFonts w:ascii="Times New Roman" w:cs="Times New Roman" w:eastAsia="Times New Roman" w:hAnsi="Times New Roman"/>
          <w:sz w:val="18"/>
          <w:szCs w:val="18"/>
          <w:color w:val="auto"/>
        </w:rPr>
      </w:pPr>
    </w:p>
    <w:p>
      <w:pPr>
        <w:ind w:left="420" w:right="80" w:firstLine="391"/>
        <w:spacing w:after="0" w:line="266" w:lineRule="auto"/>
        <w:tabs>
          <w:tab w:leader="none" w:pos="1058" w:val="left"/>
        </w:tabs>
        <w:numPr>
          <w:ilvl w:val="2"/>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Collateral from the Lien granted pursuant to the Loan Documents (except as otherwise permitted herein or in the other Loan Documents as in effect on the Closing Date, including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hereof or pursuant to any Acceptable Intercreditor Agreement), without the prior written consent of each Lender; or</w:t>
      </w:r>
    </w:p>
    <w:p>
      <w:pPr>
        <w:spacing w:after="0" w:line="67" w:lineRule="exact"/>
        <w:rPr>
          <w:rFonts w:ascii="Times New Roman" w:cs="Times New Roman" w:eastAsia="Times New Roman" w:hAnsi="Times New Roman"/>
          <w:sz w:val="18"/>
          <w:szCs w:val="18"/>
          <w:color w:val="auto"/>
        </w:rPr>
      </w:pPr>
    </w:p>
    <w:p>
      <w:pPr>
        <w:ind w:left="420" w:right="320" w:firstLine="391"/>
        <w:spacing w:after="0" w:line="266" w:lineRule="auto"/>
        <w:tabs>
          <w:tab w:leader="none" w:pos="1058" w:val="left"/>
        </w:tabs>
        <w:numPr>
          <w:ilvl w:val="2"/>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release all or substantially all of the value of the Guarantees under the Loan Guarantee (except as otherwise permitted herein or in the other Loan Documents as in effect on the Closing Date, including pursuant to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hereof), without the prior written consent of each Lender;</w:t>
      </w:r>
    </w:p>
    <w:p>
      <w:pPr>
        <w:spacing w:after="0" w:line="67" w:lineRule="exact"/>
        <w:rPr>
          <w:rFonts w:ascii="Times New Roman" w:cs="Times New Roman" w:eastAsia="Times New Roman" w:hAnsi="Times New Roman"/>
          <w:sz w:val="18"/>
          <w:szCs w:val="18"/>
          <w:color w:val="auto"/>
        </w:rPr>
      </w:pPr>
    </w:p>
    <w:p>
      <w:pPr>
        <w:ind w:left="-20" w:firstLine="408"/>
        <w:spacing w:after="0" w:line="266" w:lineRule="auto"/>
        <w:tabs>
          <w:tab w:leader="none" w:pos="666"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Required Revolving Lenders (but without the consent of the Required Lenders or any other Lender), any such agreement may, (x) [reserved], (y) waive, amend or modify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as it pertains to any Revolving Loan and/or Additional Revolving Loan and/or (z)</w:t>
      </w:r>
    </w:p>
    <w:p>
      <w:pPr>
        <w:spacing w:after="0" w:line="10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9980"/>
          </w:cols>
          <w:pgMar w:left="1440" w:top="269" w:right="479" w:bottom="1440" w:gutter="0" w:footer="0" w:header="0"/>
        </w:sectPr>
      </w:pPr>
    </w:p>
    <w:bookmarkStart w:id="544" w:name="page545"/>
    <w:bookmarkEnd w:id="544"/>
    <w:p>
      <w:pPr>
        <w:ind w:left="980"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 any Default or Event of Default that results from any representation made or deemed made by any Loan Party in any Loan Document in connection with any Credit Extension under the Revolving Facility being untrue in any material respect as of the date made or deemed made;</w:t>
      </w:r>
    </w:p>
    <w:p>
      <w:pPr>
        <w:spacing w:after="0" w:line="68" w:lineRule="exact"/>
        <w:rPr>
          <w:sz w:val="20"/>
          <w:szCs w:val="20"/>
          <w:color w:val="auto"/>
        </w:rPr>
      </w:pPr>
    </w:p>
    <w:p>
      <w:pPr>
        <w:jc w:val="both"/>
        <w:ind w:left="980" w:right="40" w:firstLine="408"/>
        <w:spacing w:after="0" w:line="266" w:lineRule="auto"/>
        <w:tabs>
          <w:tab w:leader="none" w:pos="1676"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relevant Issuing Bank and, in the case of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the Administrative Agent, any such agreement may (x) increase or decrease the Letter of Credit Sublimit or (y) waive, amend or modify any condition precedent set forth in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as it pertains to the issuance of any Letter of Credit by such Issuing Bank; and</w:t>
      </w:r>
    </w:p>
    <w:p>
      <w:pPr>
        <w:spacing w:after="0" w:line="67" w:lineRule="exact"/>
        <w:rPr>
          <w:rFonts w:ascii="Times New Roman" w:cs="Times New Roman" w:eastAsia="Times New Roman" w:hAnsi="Times New Roman"/>
          <w:sz w:val="18"/>
          <w:szCs w:val="18"/>
          <w:color w:val="auto"/>
        </w:rPr>
      </w:pPr>
    </w:p>
    <w:p>
      <w:pPr>
        <w:jc w:val="both"/>
        <w:ind w:left="980" w:right="140" w:firstLine="408"/>
        <w:spacing w:after="0" w:line="261" w:lineRule="auto"/>
        <w:tabs>
          <w:tab w:leader="none" w:pos="1656"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the consent of the Borrower and applicable Class or Classes of Revolving Lenders and/or, if applicable, Issuing Banks, subject to the provisions of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this Agreement may be amended or otherwise modified to permit the availability of Revolving Loans and/or Letters of Credit denominated in a currency other than Dollars and to make technical changes to this Agreement and any other Loan Document to accommodate the inclusion of any such new currency;</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no such agreement shall adversely amend, modify or otherwise affect the rights or duties of the Administrative Agent, any Issuing Bank or the Swingline Lender hereunder without the prior written consent of the Administrative Agent, such Issuing Bank or the Swingline Lender, as the case may be. The Administrative Agent may also amend the Commitment Schedule to reflect assignments entered into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Commitment reductions or terminations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incurrences of Additional Commitments or Additional Loans pursuant to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and reductions or terminations of any such Additional Commitments or Additional Loans. Notwithstanding anything to the contrary herein, no Defaulting Lender shall have any right to approve or disapprove any amendment, waiver or consent hereunder, except that the Commitment of any Defaulting Lender may not be increased without the consent of such Defaulting Lender (it being understood that any Commitment or Loan held or deemed held by any Defaulting Lender shall be excluded from any vote hereunder that requires the consent of any Lender, except as expressly provided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xml:space="preserve">). Notwithstanding the foregoing, but without limiting the provisions of </w:t>
      </w:r>
      <w:r>
        <w:rPr>
          <w:rFonts w:ascii="Times New Roman" w:cs="Times New Roman" w:eastAsia="Times New Roman" w:hAnsi="Times New Roman"/>
          <w:sz w:val="18"/>
          <w:szCs w:val="18"/>
          <w:u w:val="single" w:color="auto"/>
          <w:color w:val="auto"/>
        </w:rPr>
        <w:t>Section 2.22(g)</w:t>
      </w:r>
      <w:r>
        <w:rPr>
          <w:rFonts w:ascii="Times New Roman" w:cs="Times New Roman" w:eastAsia="Times New Roman" w:hAnsi="Times New Roman"/>
          <w:sz w:val="18"/>
          <w:szCs w:val="18"/>
          <w:color w:val="auto"/>
        </w:rPr>
        <w:t>, this Agreement may be amended (or amended and restated) with the written consent of the Required Lenders, the Administrative Agent and the Borrower (i) to add one or more additional credit facilities to this Agreement and to permit any extension of credit from time to time outstanding thereunder and the accrued interest and fees in respect thereof to share ratably in the relevant benefits of this Agreement and the other Loan Documents and (ii) to include appropriately the Lenders holding such credit facilities in any determination of the Required Lenders on substantially the same basis as the Lenders prior to such inclusion.</w:t>
      </w:r>
    </w:p>
    <w:p>
      <w:pPr>
        <w:spacing w:after="0" w:line="197" w:lineRule="exact"/>
        <w:rPr>
          <w:sz w:val="20"/>
          <w:szCs w:val="20"/>
          <w:color w:val="auto"/>
        </w:rPr>
      </w:pPr>
    </w:p>
    <w:p>
      <w:pPr>
        <w:ind w:left="680" w:hanging="244"/>
        <w:spacing w:after="0"/>
        <w:tabs>
          <w:tab w:leader="none" w:pos="680"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this Agreement may be amended:</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078" w:val="left"/>
        </w:tabs>
        <w:numPr>
          <w:ilvl w:val="1"/>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Borrower and the Lenders providing the relevant Replacement Term Loans to permit the refinancing or replacement of all or any portion of the outstanding Term Loans under any applicable Class (any such loans being refinanced or replaced, the “</w:t>
      </w:r>
      <w:r>
        <w:rPr>
          <w:rFonts w:ascii="Times New Roman" w:cs="Times New Roman" w:eastAsia="Times New Roman" w:hAnsi="Times New Roman"/>
          <w:sz w:val="18"/>
          <w:szCs w:val="18"/>
          <w:b w:val="1"/>
          <w:bCs w:val="1"/>
          <w:color w:val="auto"/>
        </w:rPr>
        <w:t>Replaced Term Loans</w:t>
      </w:r>
      <w:r>
        <w:rPr>
          <w:rFonts w:ascii="Times New Roman" w:cs="Times New Roman" w:eastAsia="Times New Roman" w:hAnsi="Times New Roman"/>
          <w:sz w:val="18"/>
          <w:szCs w:val="18"/>
          <w:color w:val="auto"/>
        </w:rPr>
        <w:t>”) with one or more replacement term loans hereunder (“</w:t>
      </w:r>
      <w:r>
        <w:rPr>
          <w:rFonts w:ascii="Times New Roman" w:cs="Times New Roman" w:eastAsia="Times New Roman" w:hAnsi="Times New Roman"/>
          <w:sz w:val="18"/>
          <w:szCs w:val="18"/>
          <w:b w:val="1"/>
          <w:bCs w:val="1"/>
          <w:color w:val="auto"/>
        </w:rPr>
        <w:t>Replacement Term Loans</w:t>
      </w:r>
      <w:r>
        <w:rPr>
          <w:rFonts w:ascii="Times New Roman" w:cs="Times New Roman" w:eastAsia="Times New Roman" w:hAnsi="Times New Roman"/>
          <w:sz w:val="18"/>
          <w:szCs w:val="18"/>
          <w:color w:val="auto"/>
        </w:rPr>
        <w:t xml:space="preserve">”) pursuant to a Refinancing Amendment;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980" w:right="20" w:firstLine="408"/>
        <w:spacing w:after="0" w:line="266" w:lineRule="auto"/>
        <w:tabs>
          <w:tab w:leader="none" w:pos="1676" w:val="left"/>
        </w:tabs>
        <w:numPr>
          <w:ilvl w:val="2"/>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Replacement Term Loans shall not exceed the aggregate principal amount of the Replaced Term Loans (plus (1) any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to the extent any such additional amounts are secured, the related Liens are permitted under </w:t>
      </w:r>
      <w:r>
        <w:rPr>
          <w:rFonts w:ascii="Times New Roman" w:cs="Times New Roman" w:eastAsia="Times New Roman" w:hAnsi="Times New Roman"/>
          <w:sz w:val="18"/>
          <w:szCs w:val="18"/>
          <w:u w:val="single" w:color="auto"/>
          <w:color w:val="auto"/>
        </w:rPr>
        <w:t>Section 6.02</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0980"/>
          </w:cols>
          <w:pgMar w:left="440" w:top="269" w:right="479" w:bottom="1440" w:gutter="0" w:footer="0" w:header="0"/>
        </w:sectPr>
      </w:pPr>
    </w:p>
    <w:bookmarkStart w:id="545" w:name="page546"/>
    <w:bookmarkEnd w:id="545"/>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plus (2) the amount of accrued interest, penalties and premium (including any tender premium) thereon, any committed but undrawn amount and underwriting discounts, fees (including upfront fees, original issue discount or initial yield payments), commissions and expenses associated therewith),</w:t>
      </w:r>
    </w:p>
    <w:p>
      <w:pPr>
        <w:spacing w:after="0" w:line="68" w:lineRule="exact"/>
        <w:rPr>
          <w:sz w:val="20"/>
          <w:szCs w:val="20"/>
          <w:color w:val="auto"/>
        </w:rPr>
      </w:pPr>
    </w:p>
    <w:p>
      <w:pPr>
        <w:ind w:firstLine="408"/>
        <w:spacing w:after="0" w:line="272" w:lineRule="auto"/>
        <w:tabs>
          <w:tab w:leader="none" w:pos="686" w:val="left"/>
        </w:tabs>
        <w:numPr>
          <w:ilvl w:val="1"/>
          <w:numId w:val="7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Permitted Earlier Maturity Indebtedness Exception, any Replacement Term Loans (other than (1) customary bridge loans with a maturity date not longer than one year;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7"/>
          <w:szCs w:val="17"/>
          <w:u w:val="single" w:color="auto"/>
          <w:color w:val="auto"/>
        </w:rPr>
        <w:t>clause</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(2) escrowed debt subject to a customary special mandatory redemption, (3) 364-day bridge loans, (4) Five Year Notes,</w:t>
      </w:r>
    </w:p>
    <w:p>
      <w:pPr>
        <w:spacing w:after="0" w:line="9" w:lineRule="exact"/>
        <w:rPr>
          <w:rFonts w:ascii="Times New Roman" w:cs="Times New Roman" w:eastAsia="Times New Roman" w:hAnsi="Times New Roman"/>
          <w:sz w:val="17"/>
          <w:szCs w:val="17"/>
          <w:color w:val="auto"/>
        </w:rPr>
      </w:pPr>
    </w:p>
    <w:p>
      <w:pPr>
        <w:ind w:right="20" w:firstLine="7"/>
        <w:spacing w:after="0" w:line="255" w:lineRule="auto"/>
        <w:tabs>
          <w:tab w:leader="none" w:pos="25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notes or other convertible debt securities and (6) Customary Term A Loans) must have a final maturity date that is equal to or later than the final maturity date of, and have a Weighted Average Life to Maturity equal to or greater than the remaining Weighted Average Life to Maturity of, the Replaced Term Loans at the time of the relevant refinancing,</w:t>
      </w:r>
    </w:p>
    <w:p>
      <w:pPr>
        <w:spacing w:after="0" w:line="77" w:lineRule="exact"/>
        <w:rPr>
          <w:rFonts w:ascii="Times New Roman" w:cs="Times New Roman" w:eastAsia="Times New Roman" w:hAnsi="Times New Roman"/>
          <w:sz w:val="18"/>
          <w:szCs w:val="18"/>
          <w:color w:val="auto"/>
        </w:rPr>
      </w:pPr>
    </w:p>
    <w:p>
      <w:pPr>
        <w:ind w:firstLine="408"/>
        <w:spacing w:after="0" w:line="258" w:lineRule="auto"/>
        <w:tabs>
          <w:tab w:leader="none" w:pos="686"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may be pari passu or junior in right of payment and pari passu (without regard to the control of remedies) or junior with respect to the Collateral with the remaining portion of the Initial Term Loans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Term Loans shall be subject to an Acceptable Intercreditor Agreement (including, for the avoidance of doubt, the waterfall provisions hereof) and may, at the option of the Borrower, be documented in a separate agreement or agreements), or be unsecured,</w:t>
      </w:r>
    </w:p>
    <w:p>
      <w:pPr>
        <w:spacing w:after="0" w:line="75" w:lineRule="exact"/>
        <w:rPr>
          <w:rFonts w:ascii="Times New Roman" w:cs="Times New Roman" w:eastAsia="Times New Roman" w:hAnsi="Times New Roman"/>
          <w:sz w:val="18"/>
          <w:szCs w:val="18"/>
          <w:color w:val="auto"/>
        </w:rPr>
      </w:pPr>
    </w:p>
    <w:p>
      <w:pPr>
        <w:ind w:right="340" w:firstLine="408"/>
        <w:spacing w:after="0" w:line="282" w:lineRule="auto"/>
        <w:tabs>
          <w:tab w:leader="none" w:pos="696"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secured, such Replacement Term Loans may not be secured by any assets other than the Collateral,</w:t>
      </w:r>
    </w:p>
    <w:p>
      <w:pPr>
        <w:spacing w:after="0" w:line="53" w:lineRule="exact"/>
        <w:rPr>
          <w:rFonts w:ascii="Times New Roman" w:cs="Times New Roman" w:eastAsia="Times New Roman" w:hAnsi="Times New Roman"/>
          <w:sz w:val="18"/>
          <w:szCs w:val="18"/>
          <w:color w:val="auto"/>
        </w:rPr>
      </w:pPr>
    </w:p>
    <w:p>
      <w:pPr>
        <w:ind w:right="60" w:firstLine="408"/>
        <w:spacing w:after="0" w:line="282" w:lineRule="auto"/>
        <w:tabs>
          <w:tab w:leader="none" w:pos="676"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Term Loans are guaranteed, such Replacement Term Loans may not be guaranteed by any Person other than one or more Loan Parties,</w:t>
      </w:r>
    </w:p>
    <w:p>
      <w:pPr>
        <w:spacing w:after="0" w:line="53" w:lineRule="exact"/>
        <w:rPr>
          <w:rFonts w:ascii="Times New Roman" w:cs="Times New Roman" w:eastAsia="Times New Roman" w:hAnsi="Times New Roman"/>
          <w:sz w:val="18"/>
          <w:szCs w:val="18"/>
          <w:color w:val="auto"/>
        </w:rPr>
      </w:pPr>
    </w:p>
    <w:p>
      <w:pPr>
        <w:ind w:left="680" w:hanging="272"/>
        <w:spacing w:after="0"/>
        <w:tabs>
          <w:tab w:leader="none" w:pos="680"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Term Loans that are pari passu with the Initial Term Loans in right of payment and security may participate</w:t>
      </w:r>
    </w:p>
    <w:p>
      <w:pPr>
        <w:spacing w:after="0" w:line="27"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any voluntary prepayment of Term Loans as set forth in </w:t>
      </w:r>
      <w:r>
        <w:rPr>
          <w:rFonts w:ascii="Times New Roman" w:cs="Times New Roman" w:eastAsia="Times New Roman" w:hAnsi="Times New Roman"/>
          <w:sz w:val="18"/>
          <w:szCs w:val="18"/>
          <w:u w:val="single" w:color="auto"/>
          <w:color w:val="auto"/>
        </w:rPr>
        <w:t>Section 2.11(a)(i)</w:t>
      </w:r>
      <w:r>
        <w:rPr>
          <w:rFonts w:ascii="Times New Roman" w:cs="Times New Roman" w:eastAsia="Times New Roman" w:hAnsi="Times New Roman"/>
          <w:sz w:val="18"/>
          <w:szCs w:val="18"/>
          <w:color w:val="auto"/>
        </w:rPr>
        <w:t xml:space="preserve"> and (B) in any mandatory prepayment of Term Loans as set forth in </w:t>
      </w:r>
      <w:r>
        <w:rPr>
          <w:rFonts w:ascii="Times New Roman" w:cs="Times New Roman" w:eastAsia="Times New Roman" w:hAnsi="Times New Roman"/>
          <w:sz w:val="18"/>
          <w:szCs w:val="18"/>
          <w:u w:val="single" w:color="auto"/>
          <w:color w:val="auto"/>
        </w:rPr>
        <w:t>Section 2.11(b)(vii)</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firstLine="408"/>
        <w:spacing w:after="0" w:line="266" w:lineRule="auto"/>
        <w:tabs>
          <w:tab w:leader="none" w:pos="696"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Term Loans shall have pricing (including interest, fees and premiums) and, subject to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optional prepayment and redemption terms and, subject to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an amortization schedule, as the Borrower and the lenders providing such Replacement Term Loans may agree,</w:t>
      </w:r>
    </w:p>
    <w:p>
      <w:pPr>
        <w:spacing w:after="0" w:line="67" w:lineRule="exact"/>
        <w:rPr>
          <w:rFonts w:ascii="Times New Roman" w:cs="Times New Roman" w:eastAsia="Times New Roman" w:hAnsi="Times New Roman"/>
          <w:sz w:val="18"/>
          <w:szCs w:val="18"/>
          <w:color w:val="auto"/>
        </w:rPr>
      </w:pPr>
    </w:p>
    <w:p>
      <w:pPr>
        <w:ind w:firstLine="408"/>
        <w:spacing w:after="0" w:line="255" w:lineRule="auto"/>
        <w:tabs>
          <w:tab w:leader="none" w:pos="696" w:val="left"/>
        </w:tabs>
        <w:numPr>
          <w:ilvl w:val="1"/>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covenants and events of default of any Replacement Term Loans (excluding pricing, interest, fees, rate floors, premiums, optional prepayment or redemption terms, security and maturity, subject to preceding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shall be (i) substantially identical to, or (taken as a whole) not materially more favorable (as determined by the Borrower in good faith) to the lenders providing such Replacement Term Loans than, those applicable to the Replaced Term Loans (other than covenants or other provisions applicable only to periods after the latest Maturity Date of such Replaced Term Loans (in each case, as of the date of incurrence of such Replacement Term Loans)), (ii) then-current market terms (as determined by the Borrower in good faith at the time of incurrence or issuance (or the obtaining of a</w:t>
      </w:r>
    </w:p>
    <w:p>
      <w:pPr>
        <w:spacing w:after="0" w:line="1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9980"/>
          </w:cols>
          <w:pgMar w:left="1420" w:top="269" w:right="499" w:bottom="1440" w:gutter="0" w:footer="0" w:header="0"/>
        </w:sectPr>
      </w:pPr>
    </w:p>
    <w:bookmarkStart w:id="546" w:name="page547"/>
    <w:bookmarkEnd w:id="546"/>
    <w:p>
      <w:pPr>
        <w:jc w:val="both"/>
        <w:ind w:left="540" w:right="2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 with respect thereto)) for the applicable type of Indebtedness or (iii) reasonably acceptable to the Administrative Agent (it being agreed that covenants and events of default of any Replacement Term Loans that are more favorable to the lenders or the agent of such Replacement Term Loans than those contained in the Loan Documents and are then conformed (or added) to the Loan Documents pursuant to the applicable Refinancing Amendment shall thereafter be deemed acceptable to the Administrative Agent), and</w:t>
      </w:r>
    </w:p>
    <w:p>
      <w:pPr>
        <w:spacing w:after="0" w:line="56" w:lineRule="exact"/>
        <w:rPr>
          <w:sz w:val="20"/>
          <w:szCs w:val="20"/>
          <w:color w:val="auto"/>
        </w:rPr>
      </w:pPr>
    </w:p>
    <w:p>
      <w:pPr>
        <w:ind w:right="140" w:firstLine="419"/>
        <w:spacing w:after="0" w:line="261" w:lineRule="auto"/>
        <w:tabs>
          <w:tab w:leader="none" w:pos="688"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written consent of the Borrower and the Lenders providing the relevant Replacement Revolving Facility to permit the refinancing or replacement of all or any portion of any Revolving Credit Commitment under the applicable Class (any such Revolving Credit Commitment being refinanced or replaced, a “</w:t>
      </w:r>
      <w:r>
        <w:rPr>
          <w:rFonts w:ascii="Times New Roman" w:cs="Times New Roman" w:eastAsia="Times New Roman" w:hAnsi="Times New Roman"/>
          <w:sz w:val="18"/>
          <w:szCs w:val="18"/>
          <w:b w:val="1"/>
          <w:bCs w:val="1"/>
          <w:color w:val="auto"/>
        </w:rPr>
        <w:t>Replaced Revolving Facility</w:t>
      </w:r>
      <w:r>
        <w:rPr>
          <w:rFonts w:ascii="Times New Roman" w:cs="Times New Roman" w:eastAsia="Times New Roman" w:hAnsi="Times New Roman"/>
          <w:sz w:val="18"/>
          <w:szCs w:val="18"/>
          <w:color w:val="auto"/>
        </w:rPr>
        <w:t>”) with a replacement revolving facility hereunder (a “</w:t>
      </w:r>
      <w:r>
        <w:rPr>
          <w:rFonts w:ascii="Times New Roman" w:cs="Times New Roman" w:eastAsia="Times New Roman" w:hAnsi="Times New Roman"/>
          <w:sz w:val="18"/>
          <w:szCs w:val="18"/>
          <w:b w:val="1"/>
          <w:bCs w:val="1"/>
          <w:color w:val="auto"/>
        </w:rPr>
        <w:t>Replacement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pursuant to a Refinancing Amendment;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w:t>
      </w:r>
    </w:p>
    <w:p>
      <w:pPr>
        <w:spacing w:after="0" w:line="71" w:lineRule="exact"/>
        <w:rPr>
          <w:rFonts w:ascii="Times New Roman" w:cs="Times New Roman" w:eastAsia="Times New Roman" w:hAnsi="Times New Roman"/>
          <w:sz w:val="18"/>
          <w:szCs w:val="18"/>
          <w:color w:val="auto"/>
        </w:rPr>
      </w:pPr>
    </w:p>
    <w:p>
      <w:pPr>
        <w:ind w:left="540" w:right="240" w:firstLine="408"/>
        <w:spacing w:after="0" w:line="258" w:lineRule="auto"/>
        <w:tabs>
          <w:tab w:leader="none" w:pos="1236"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Replacement Revolving Facility shall not exceed the aggregate principal amount of the Replaced Revolving Facility (plus (x) any additional amounts permitted to be incurred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and, to the extent any such additional amounts are secured, the related Liens are permitted under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and (y) the amount of accrued interest, penalties and premium thereon, any committed but undrawn amounts and underwriting discounts, fees (including upfront fees and original issue discount), commissions and expenses associated therewith),</w:t>
      </w:r>
    </w:p>
    <w:p>
      <w:pPr>
        <w:spacing w:after="0" w:line="75"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226"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Replacement Revolving Facility (other than customary bridge loans with a maturity date not longer than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loans, notes, securities or other Indebtedness which are exchanged for or otherwise replace such bridge loans (which may include, by automatic extension) shall be subject to the requirements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may have a final maturity date (or require commitment reductions) prior to the final maturity date of the relevant Replaced Revolving Facility at the time of such refinancing,</w:t>
      </w:r>
    </w:p>
    <w:p>
      <w:pPr>
        <w:spacing w:after="0" w:line="71" w:lineRule="exact"/>
        <w:rPr>
          <w:rFonts w:ascii="Times New Roman" w:cs="Times New Roman" w:eastAsia="Times New Roman" w:hAnsi="Times New Roman"/>
          <w:sz w:val="18"/>
          <w:szCs w:val="18"/>
          <w:color w:val="auto"/>
        </w:rPr>
      </w:pPr>
    </w:p>
    <w:p>
      <w:pPr>
        <w:ind w:left="540" w:firstLine="408"/>
        <w:spacing w:after="0" w:line="261" w:lineRule="auto"/>
        <w:tabs>
          <w:tab w:leader="none" w:pos="1226"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Replacement Revolving Facility may be pari passu or junior in right of payment and pari passu (without regard to the control of remedies) or junior with respect to the Collateral with the remaining portion of any Revolving Credit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pari passu or junior as to Collateral, such Replacement Revolving Facility shall be subject to an Acceptable Intercreditor Agreement and may, at the option of the Borrower, be documented in a separate agreement or agreements), or be unsecured,</w:t>
      </w:r>
    </w:p>
    <w:p>
      <w:pPr>
        <w:spacing w:after="0" w:line="71"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secured, it may not be secured by any assets other than the Collateral,</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Replacement Revolving Facility is guaranteed, it may not be guaranteed by any Person other than one or more Loan</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Parties,</w:t>
      </w:r>
    </w:p>
    <w:p>
      <w:pPr>
        <w:spacing w:after="0" w:line="98" w:lineRule="exact"/>
        <w:rPr>
          <w:rFonts w:ascii="Times New Roman" w:cs="Times New Roman" w:eastAsia="Times New Roman" w:hAnsi="Times New Roman"/>
          <w:sz w:val="18"/>
          <w:szCs w:val="18"/>
          <w:color w:val="auto"/>
        </w:rPr>
      </w:pPr>
    </w:p>
    <w:p>
      <w:pPr>
        <w:ind w:left="540" w:right="40" w:firstLine="408"/>
        <w:spacing w:after="0" w:line="266" w:lineRule="auto"/>
        <w:tabs>
          <w:tab w:leader="none" w:pos="1206" w:val="left"/>
        </w:tabs>
        <w:numPr>
          <w:ilvl w:val="1"/>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Replacement Revolving Facility shall be subject to the “ratability” provisions applicable to Extended Revolving Credit Commitments and Extended Revolving Loans set forth in the proviso to </w:t>
      </w:r>
      <w:r>
        <w:rPr>
          <w:rFonts w:ascii="Times New Roman" w:cs="Times New Roman" w:eastAsia="Times New Roman" w:hAnsi="Times New Roman"/>
          <w:sz w:val="18"/>
          <w:szCs w:val="18"/>
          <w:u w:val="single" w:color="auto"/>
          <w:color w:val="auto"/>
        </w:rPr>
        <w:t>Section 2.23(a)(i)</w:t>
      </w:r>
      <w:r>
        <w:rPr>
          <w:rFonts w:ascii="Times New Roman" w:cs="Times New Roman" w:eastAsia="Times New Roman" w:hAnsi="Times New Roman"/>
          <w:sz w:val="18"/>
          <w:szCs w:val="18"/>
          <w:color w:val="auto"/>
        </w:rPr>
        <w:t xml:space="preserve">, mutatis mutandis, to the same extent as if fully set forth in this </w:t>
      </w:r>
      <w:r>
        <w:rPr>
          <w:rFonts w:ascii="Times New Roman" w:cs="Times New Roman" w:eastAsia="Times New Roman" w:hAnsi="Times New Roman"/>
          <w:sz w:val="18"/>
          <w:szCs w:val="18"/>
          <w:u w:val="single" w:color="auto"/>
          <w:color w:val="auto"/>
        </w:rPr>
        <w:t>Section 10.02(c)(ii)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0540"/>
          </w:cols>
          <w:pgMar w:left="880" w:top="269" w:right="479" w:bottom="1440" w:gutter="0" w:footer="0" w:header="0"/>
        </w:sectPr>
      </w:pPr>
    </w:p>
    <w:bookmarkStart w:id="547" w:name="page548"/>
    <w:bookmarkEnd w:id="547"/>
    <w:p>
      <w:pPr>
        <w:ind w:left="980" w:right="240" w:firstLine="408"/>
        <w:spacing w:after="0" w:line="266" w:lineRule="auto"/>
        <w:tabs>
          <w:tab w:leader="none" w:pos="1676" w:val="left"/>
        </w:tabs>
        <w:numPr>
          <w:ilvl w:val="1"/>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Replacement Revolving Facility shall have pricing (including interest, fees and premiums) and, subject to the preceding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optional prepayment and redemption terms as the Borrower and the lenders providing such Replacement Revolving Facility may agree,</w:t>
      </w:r>
    </w:p>
    <w:p>
      <w:pPr>
        <w:spacing w:after="0" w:line="67" w:lineRule="exact"/>
        <w:rPr>
          <w:rFonts w:ascii="Times New Roman" w:cs="Times New Roman" w:eastAsia="Times New Roman" w:hAnsi="Times New Roman"/>
          <w:sz w:val="18"/>
          <w:szCs w:val="18"/>
          <w:color w:val="auto"/>
        </w:rPr>
      </w:pPr>
    </w:p>
    <w:p>
      <w:pPr>
        <w:jc w:val="both"/>
        <w:ind w:left="980" w:right="620" w:firstLine="408"/>
        <w:spacing w:after="0" w:line="276" w:lineRule="auto"/>
        <w:tabs>
          <w:tab w:leader="none" w:pos="1676" w:val="left"/>
        </w:tabs>
        <w:numPr>
          <w:ilvl w:val="1"/>
          <w:numId w:val="7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covenants and events of default of any Replacement Revolving Facility (excluding pricing, interest, fees, rate floors, premiums, optional prepayment or redemption terms, security and maturity, subject to preceding </w:t>
      </w:r>
      <w:r>
        <w:rPr>
          <w:rFonts w:ascii="Times New Roman" w:cs="Times New Roman" w:eastAsia="Times New Roman" w:hAnsi="Times New Roman"/>
          <w:sz w:val="17"/>
          <w:szCs w:val="17"/>
          <w:u w:val="single" w:color="auto"/>
          <w:color w:val="auto"/>
        </w:rPr>
        <w:t>clauses (B)</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shall be</w:t>
      </w:r>
    </w:p>
    <w:p>
      <w:pPr>
        <w:ind w:left="980" w:right="120" w:firstLine="7"/>
        <w:spacing w:after="0" w:line="265" w:lineRule="auto"/>
        <w:tabs>
          <w:tab w:leader="none" w:pos="1195" w:val="left"/>
        </w:tabs>
        <w:numPr>
          <w:ilvl w:val="0"/>
          <w:numId w:val="7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substantially identical to, or (taken as a whole) no more favorable (as determined by the Borrower in good faith) to the lenders providing such Replacement Revolving Facility than, those applicable to the Replaced Revolving Facility (other than covenants or other provisions applicable only to periods after the latest Maturity Date of such Replaced Revolving Facility (in each case, as of the date of incurrence of the relevant Replacement Revolving Facility)), (ii) then-current market terms (as determined by the Borrower in good faith at the time of incurrence or issuance (or the obtaining of a commitment with respect thereto)) for the applicable type of Indebtedness or</w:t>
      </w:r>
    </w:p>
    <w:p>
      <w:pPr>
        <w:ind w:left="980" w:right="80" w:firstLine="7"/>
        <w:spacing w:after="0" w:line="253" w:lineRule="auto"/>
        <w:tabs>
          <w:tab w:leader="none" w:pos="1295"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reasonably acceptable to the Administrative Agent (it being agreed that covenants and events of default of any Replacement Revolving Facility that are more favorable to the lenders or the agent of such Replacement Revolving Facility than those contained in the Loan Documents and are then conformed (or added) to the Loan Documents pursuant to the applicable Refinancing Amendment shall be deemed acceptable to the Administrative Agent), and</w:t>
      </w:r>
    </w:p>
    <w:p>
      <w:pPr>
        <w:spacing w:after="0" w:line="80"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06" w:val="left"/>
        </w:tabs>
        <w:numPr>
          <w:ilvl w:val="1"/>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commitments in respect of the Replaced Revolving Facility shall be terminated, and all loans outstanding thereunder and all fees then due and payable in connection therewith shall be paid in full, in each case on the date such Replacement Revolving Facility is implemented.</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Each party hereto hereby agrees that, upon the effectiveness of any Refinancing Amendment, this Agreement shall be amended by the Borrower, the Administrative Agent and the lenders providing the relevant Replacement Term Loans or the Replacement Revolving Facility, as applicable, to the extent (but only to the extent) necessary to reflect the existence and terms of such Replacement Term Loans or Replacement Revolving Facility, as applicable, incurred or implemented pursuant thereto (including any amendment necessary to treat the loans and commitments subject thereto as a separate “tranche” and “Class” of Loans and/or commitments hereunder). It is understood that any Lender approached to provide all or a portion of any Replacement Term Loans or any Replacement Revolving Facility may elect or decline, in its sole discretion, to provide such Replacement Term Loans or Replacement Revolving Facility.</w:t>
      </w:r>
    </w:p>
    <w:p>
      <w:pPr>
        <w:spacing w:after="0" w:line="189" w:lineRule="exact"/>
        <w:rPr>
          <w:sz w:val="20"/>
          <w:szCs w:val="20"/>
          <w:color w:val="auto"/>
        </w:rPr>
      </w:pPr>
    </w:p>
    <w:p>
      <w:pPr>
        <w:ind w:firstLine="436"/>
        <w:spacing w:after="0" w:line="254" w:lineRule="auto"/>
        <w:tabs>
          <w:tab w:leader="none" w:pos="695"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or any other provision of this Agreement or any provision of any other Loan Document, (i) the Borrower, the Administrative Agent and the Collateral Agent may, without the input or consent of any Lender, amend, supplement and/or waive any guarantee, collateral security agreement, pledge agreement and/or related document (if any) executed in connection with this Agreement to (x) comply with any Requirements of Law or the advice of counsel or (y) cause any such guarantee, collateral security agreement, pledge agreement or other document to be consistent with this Agreement and/or the relevant other Loan Documents, (ii) the Borrower and the Administrative Agent may, without the input or consent of any other Lender (other than the relevant Lenders (including Additional Lenders) providing Loans under such Sections), effect amendments to this Agreement and the other Loan Documents as may be necessary in the reasonable opinion of the Borrower and the Administrative Agent to (A) effect the provisions of </w:t>
      </w:r>
      <w:r>
        <w:rPr>
          <w:rFonts w:ascii="Times New Roman" w:cs="Times New Roman" w:eastAsia="Times New Roman" w:hAnsi="Times New Roman"/>
          <w:sz w:val="18"/>
          <w:szCs w:val="18"/>
          <w:u w:val="single" w:color="auto"/>
          <w:color w:val="auto"/>
        </w:rPr>
        <w:t>Sections 1.04(a)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1.08(b)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0960"/>
          </w:cols>
          <w:pgMar w:left="440" w:top="269" w:right="499" w:bottom="1440" w:gutter="0" w:footer="0" w:header="0"/>
        </w:sectPr>
      </w:pPr>
    </w:p>
    <w:bookmarkStart w:id="548" w:name="page549"/>
    <w:bookmarkEnd w:id="548"/>
    <w:p>
      <w:pPr>
        <w:ind w:left="4"/>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any other provision specifying that any waiver, amendment or modification may be made with the consent or approval of the Administrative Agent and/or (B) add terms (including representations and warranties, conditions, prepayments, covenants or events of default), in connection with the addition of any Loan or Commitment hereunder or the incurrence of any Incremental Equivalent Debt, any Replacement Term Loans, any Replacement Revolving Facility, any Replacement Debt and/or any Refinancing Indebtedness incurred in reliance on </w:t>
      </w:r>
      <w:r>
        <w:rPr>
          <w:rFonts w:ascii="Times New Roman" w:cs="Times New Roman" w:eastAsia="Times New Roman" w:hAnsi="Times New Roman"/>
          <w:sz w:val="18"/>
          <w:szCs w:val="18"/>
          <w:u w:val="single" w:color="auto"/>
          <w:color w:val="auto"/>
        </w:rPr>
        <w:t>Section 6.01(p)</w:t>
      </w:r>
      <w:r>
        <w:rPr>
          <w:rFonts w:ascii="Times New Roman" w:cs="Times New Roman" w:eastAsia="Times New Roman" w:hAnsi="Times New Roman"/>
          <w:sz w:val="18"/>
          <w:szCs w:val="18"/>
          <w:color w:val="auto"/>
        </w:rPr>
        <w:t xml:space="preserve"> that are favorable to the then-existing Lenders, as reasonably determined by the Administrative Agent (it being understood that, where applicable, any such amendment may be effectuated as part of an Incremental Facility Amendment, a Refinancing Amendment and/or any other applicable amendment to this Agreement), (iii) if the Administrative Agent and the Borrower have jointly identified any ambiguity, mistake, defect, inconsistency, obvious error or any error or omission of a technical or administrative nature or any necessary or desirable technical change, in each case, in any provision of any Loan Document, then the Administrative Agent and the Borrower shall be permitted to amend such provision solely to address such matter as reasonably determined by them acting jointly without the input or consent of any Lender, (iv) the Administrative Agent, the Collateral Agent and the Borrower may amend, restate, amend and restate or otherwise modify any Acceptable Intercreditor Agreement as provided therein or to give effect thereto or to carry out the purpose thereof without the input or consent of any Lender, (v) any amendment, waiver or modification of any term or provision that directly affects Lenders under one or more Classes and does not directly affect Lenders under one or more other Classes may be effected with the consent of Lenders owning 50% of the aggregate commitments or Loans of such directly affected Class in lieu of the consent of the Required Lenders and (vi) the Administrative Agent, the Collateral Agent and the Borrower may enter into amendments or other modifications to this Agreement or the other Loan Documents in accordance with and/or to effectuate the provisions of </w:t>
      </w:r>
      <w:r>
        <w:rPr>
          <w:rFonts w:ascii="Times New Roman" w:cs="Times New Roman" w:eastAsia="Times New Roman" w:hAnsi="Times New Roman"/>
          <w:sz w:val="18"/>
          <w:szCs w:val="18"/>
          <w:u w:val="single" w:color="auto"/>
          <w:color w:val="auto"/>
        </w:rPr>
        <w:t>Section 10.29</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left="4" w:firstLine="436"/>
        <w:spacing w:after="0" w:line="252" w:lineRule="auto"/>
        <w:tabs>
          <w:tab w:leader="none" w:pos="689" w:val="left"/>
        </w:tabs>
        <w:numPr>
          <w:ilvl w:val="1"/>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any Loan Document, in connection with any determination as to whether the requisite Lenders have (A) consented (or not consented) to any waiver, amendment or modification of any provision of this Agreement or any other Loan Document or any departure by any Loan Party therefrom, (B) otherwise acted on any matter related to this Agreement or any other Loan Document or (C) directed or required the Administrative Agent, the Collateral Agent or any Lender to undertake any action (or refrain from taking any action) with respect to this Agreement or under any other Loan Document, any Lender (or any Affiliate of such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Affiliates shall not include Persons that are subject to customary procedures to prevent the sharing of confidential information between such Lender and such Person and such Person is managed having independent fiduciary duties to the investors or other equityholders of such Person and such investors or equityholders are not the same investors or equityholders of such Lender)) (other than (x) any Lender that is a Regulated Bank, (y) [reserved] or (z) any Affiliate of a Regulated Bank to the extent that (1) all of the equity of such Affiliate is directly or indirectly owned by either (I) such Regulated Bank or</w:t>
      </w:r>
    </w:p>
    <w:p>
      <w:pPr>
        <w:spacing w:after="0" w:line="6" w:lineRule="exact"/>
        <w:rPr>
          <w:rFonts w:ascii="Times New Roman" w:cs="Times New Roman" w:eastAsia="Times New Roman" w:hAnsi="Times New Roman"/>
          <w:sz w:val="18"/>
          <w:szCs w:val="18"/>
          <w:color w:val="auto"/>
        </w:rPr>
      </w:pPr>
    </w:p>
    <w:p>
      <w:pPr>
        <w:ind w:left="4" w:right="20" w:hanging="4"/>
        <w:spacing w:after="0" w:line="251" w:lineRule="auto"/>
        <w:tabs>
          <w:tab w:leader="none" w:pos="289"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parent entity that also owns, directly or indirectly, all of the equity of such Regulated Bank and (2) such Affiliate is a securities broker or dealer registered with the SEC under section 15 of the Securities Exchange Act of 1934) that, as a result of its interest (or such Affiliates collective interests)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any of the Loans or Commitments, or with respect to any other tranche, class or series of Indebtedness for borrowed money incurred or issued by the Borrower or any of its Restricted Subsidiaries at such time of determination (including commitments with respect to any revolving credit facility) (each such item of Indebtedness, including the Loan and Commitments, “</w:t>
      </w:r>
      <w:r>
        <w:rPr>
          <w:rFonts w:ascii="Times New Roman" w:cs="Times New Roman" w:eastAsia="Times New Roman" w:hAnsi="Times New Roman"/>
          <w:sz w:val="18"/>
          <w:szCs w:val="18"/>
          <w:b w:val="1"/>
          <w:bCs w:val="1"/>
          <w:color w:val="auto"/>
        </w:rPr>
        <w:t>Specified Indebtedness</w:t>
      </w:r>
      <w:r>
        <w:rPr>
          <w:rFonts w:ascii="Times New Roman" w:cs="Times New Roman" w:eastAsia="Times New Roman" w:hAnsi="Times New Roman"/>
          <w:sz w:val="18"/>
          <w:szCs w:val="18"/>
          <w:color w:val="auto"/>
        </w:rPr>
        <w:t>”) (each such Lender, a “</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shall have no right to vote with respect to any waiver, amendment or modification of this Agreement or any other Loan Documents and shall be deemed to have voted its interest as a Lender without discretion in the same proportion as the allocation of voting with respect to such matter by Lenders who are not Net Short Lenders (including in any plan of reorganization). For purposes of</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04"/>
          </w:cols>
          <w:pgMar w:left="436" w:top="269" w:right="459" w:bottom="1440" w:gutter="0" w:footer="0" w:header="0"/>
        </w:sectPr>
      </w:pPr>
    </w:p>
    <w:bookmarkStart w:id="549" w:name="page550"/>
    <w:bookmarkEnd w:id="549"/>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determining whether a Lender (alone or together with its Affiliates) has a “net short position” on any date of determination: (i) derivative contracts with respect to any Specified Indebtedness and such contracts that are the functional equivalent thereof shall be counted at the notional amount of such contract in Dollars, (ii)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 (iii) derivative contracts in respect of an index that includes the Borrower or any other Subsidiary or any instrument issued or guaranteed by the Borrower or any other Subsidiary shall not be deemed to create a short position with respect to such Specified Indebtedness, so long as (x) such index is not created, designed, administered or requested by such Lender or its Affiliates and (y) the Borrower and the other Subsidiaries and any instrument issued or guaranteed by the Borrower or the other Subsidiaries, collectively, shall represent less than 5% of the components of such index, (iv) derivative transactions that are documented using either the 2014 ISDA Credit Derivatives Definitions or the 2003 ISDA Credit Derivatives Definitions (collectively, the “</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shall be deemed to create a short position with respect to the relevant Specified Indebtedness if such Lender or its Affiliates is a protection buyer or the equivalent thereof for such derivative transaction and (x) the relevant Specified Indebtedness is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relevant Specified Indebtedness would be a “Deliverable Obligation” under the terms of such derivative transaction or (z) the Borrower or any other Subsidiary is designated as a “Reference Entity” under the terms of such derivative transaction and (v) credit derivative transactions or other derivatives transactions not documented using the ISDA CDS Definitions shall be deemed to create a short position with respect to any Specified Indebtedness if such transactions offer the Lender or its Affiliates protection against a decline in the value of such Specified Indebtedness, or in the credit quality of the Borrower or any other Subsidiary, in each case, other than as part of an index so long as (x) such index is not created, designed, administered or requested by such Lender or its Affiliates and (y) the Borrower and the other Subsidiaries, and any instrument issued or guaranteed by the Borrower or the other Subsidiaries, collectively, shall represent less than 5% of the components of such index. In connection with any waiver, amendment or modification of this Agreement or the other Loan Documents, each Lender (other than any Lender that is a Regulated Bank) will be deemed to have represented to the Borrower and the Administrative Agent that it does not constitute a Net Short Lender, in each case, unless such Lender shall have notified the Borrower and the Administrative Agent prior to the requested response date with respect to such waiver, amendment or modification that it constitutes a Net Short Lender (it being understood and agreed that the Borrower and the Administrative Agent shall be entitled to rely on each such representation and deemed representation). In no event shall the Administrative Agent be obligated to monitor as to whether any Lender is a Net Short Lender.</w:t>
      </w:r>
    </w:p>
    <w:p>
      <w:pPr>
        <w:spacing w:after="0" w:line="20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Expenses;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4" w:lineRule="auto"/>
        <w:tabs>
          <w:tab w:leader="none" w:pos="685"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the Borrower shall pay (i) all reasonable and documented out-of-pocket expenses incurred by each Arranger, the Administrative Agent, the Collateral Agent and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syndication and distribution (including via the Internet or through a service such as Intralinks) of the Credit Facilities, the preparation, execution, delivery and administration of the Loan Documents and any related documentation, including in connection with any amendment, modification or waiver of any provision of any Loan Document (whether or not the transactions contemplated thereby are consummated, but only to the extent the preparation of any such amendment, modification or waiver was requested by the Borrower) and (ii) all</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0980"/>
          </w:cols>
          <w:pgMar w:left="440" w:top="269" w:right="479" w:bottom="1440" w:gutter="0" w:footer="0" w:header="0"/>
        </w:sectPr>
      </w:pPr>
    </w:p>
    <w:bookmarkStart w:id="550" w:name="page551"/>
    <w:bookmarkEnd w:id="550"/>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reasonable and documented out-of-pocket expenses incurred by the Administrative Agent, the Collateral Agent, the Arrangers, the Issuing Banks or the Lenders or any of their respective Affiliates (but limited, in the case of legal fees and expenses, to the actual reasonable and documented out-of-pocket fees, disbursements and other charges of one firm of outside counsel to all such Persons taken as a whole and, if reasonably necessary, of one local counsel in any relevant material jurisdiction to all such Persons, taken as a whole) in connection with the enforcement, collection or protection of their respective rights in connection with the Loan Documents, including their respective rights under this Section, or in connection with the Loans made and/or Letters of Credit issued hereunder. Except to the extent required to be paid on the Closing Date, all amounts due under this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shall be payable by the Borrower within 30 days of receipt by the Borrower of an invoice setting forth such expenses in reasonable detail, together with backup documentation supporting the relevant reimbursement request.</w:t>
      </w:r>
    </w:p>
    <w:p>
      <w:pPr>
        <w:spacing w:after="0" w:line="192" w:lineRule="exact"/>
        <w:rPr>
          <w:sz w:val="20"/>
          <w:szCs w:val="20"/>
          <w:color w:val="auto"/>
        </w:rPr>
      </w:pPr>
    </w:p>
    <w:p>
      <w:pPr>
        <w:ind w:firstLine="436"/>
        <w:spacing w:after="0" w:line="251" w:lineRule="auto"/>
        <w:tabs>
          <w:tab w:leader="none" w:pos="695"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indemnify each Arranger, the Administrative Agent, the Collateral Agent, each Issuing Bank, each Lender and each Related Party of any of the foregoing Persons (each such Person being called an “</w:t>
      </w:r>
      <w:r>
        <w:rPr>
          <w:rFonts w:ascii="Times New Roman" w:cs="Times New Roman" w:eastAsia="Times New Roman" w:hAnsi="Times New Roman"/>
          <w:sz w:val="18"/>
          <w:szCs w:val="18"/>
          <w:b w:val="1"/>
          <w:bCs w:val="1"/>
          <w:color w:val="auto"/>
        </w:rPr>
        <w:t>Indemnitee</w:t>
      </w:r>
      <w:r>
        <w:rPr>
          <w:rFonts w:ascii="Times New Roman" w:cs="Times New Roman" w:eastAsia="Times New Roman" w:hAnsi="Times New Roman"/>
          <w:sz w:val="18"/>
          <w:szCs w:val="18"/>
          <w:color w:val="auto"/>
        </w:rPr>
        <w:t xml:space="preserve">”) against, and hold each Indemnitee harmless from, any and all losses, claims, damages and liabilities (but limited, in the case of legal fees and expenses, to the actual reasonable and documented out-of-pocket fees, disbursements and other charges of one counsel to all Indemnitees taken as a whole and, if reasonably necessary, one local counsel in any relevant material jurisdiction to all Indemnitees taken as a whole and, solely in the case of an actual or perceived conflict of interest after the affected Person notifies the Borrower of such conflict, (x) one additional counsel to all similarly situated affected Indemnitees taken as a whole and (y) one additional local counsel in any relevant material jurisdiction to all similarly situated affected Indemnitees taken as a whole), incurred by or asserted against any Indemnitee arising out of, in connection with, or as a result of (i) the execution or delivery of the Loan Documents or any agreement or instrument contemplated thereby, the performance by the parties hereto of their respective obligations thereunder or the consummation of the Transactions or any other transactions contemplated hereby or thereby (except for Taxes, which shall be governed exclusively by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(ii) the use of the proceeds of the Loans or any Letter of Credit or (iii) any actual or prospective claim, litigation, investigation or proceeding relating to any of the foregoing, whether based on contract, tort or any other theory and regardless of whether any Indemnitee is a party thereto (and regardless of whether such matter is initiated by a third party or by the Borrower, any other Loan Party or any of their respective Affiliates);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any such loss, claim, damage or liability (i) is determined by a final and non-appealable judgment of a court of competent jurisdiction (or documented in any settlement agreement referred to below) to have resulted from the gross negligence, bad faith or willful misconduct of such Indemnitee or its Related Party or, to the extent such judgment finds (or any such settlement agreement acknowledges) that any such loss, claim, damage or liability has resulted from such Person’s or a Related Party of such Person’s material breach of the Loan Documents or (ii) arises out of any claim, litigation, investigation or proceeding brought by such Indemnitee against another Indemnitee (other than any claim, litigation, investigation or proceeding that is brought by or against the Administrative Agent, the Collateral Agent, any Issuing Bank or any Arranger, acting in its capacity as the Administrative Agent, as the Collateral Agent, as an Issuing Bank or as an Arranger) that does not involve any act or omission of the Borrower or any of its subsidiaries. Each Indemnitee shall be obligated to refund or return any and all amounts paid by the Borrower pursuant to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to such Indemnitee for any fees, expenses or damages to the extent such Indemnitee is not entitled to payment thereof in accordance with the terms hereof. All amounts due under this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shall be payable by the Borrower within 30 days (x) after receipt by the Borrower of a written demand therefor, in the case of any indemnification obligations and (y) in the case of reimbursement of costs and expenses, after receipt by the Borrower of an invoice, setting forth such costs and expenses in reasonable detail, together with backup documentation supporting the relevant reimbursement request. This </w:t>
      </w:r>
      <w:r>
        <w:rPr>
          <w:rFonts w:ascii="Times New Roman" w:cs="Times New Roman" w:eastAsia="Times New Roman" w:hAnsi="Times New Roman"/>
          <w:sz w:val="18"/>
          <w:szCs w:val="18"/>
          <w:u w:val="single" w:color="auto"/>
          <w:color w:val="auto"/>
        </w:rPr>
        <w:t>Section 10.03(b)</w:t>
      </w:r>
      <w:r>
        <w:rPr>
          <w:rFonts w:ascii="Times New Roman" w:cs="Times New Roman" w:eastAsia="Times New Roman" w:hAnsi="Times New Roman"/>
          <w:sz w:val="18"/>
          <w:szCs w:val="18"/>
          <w:color w:val="auto"/>
        </w:rPr>
        <w:t xml:space="preserve"> shall not apply with respect to Taxes other than any Taxes that represent losses, claims, damages or liabilities arising from any non-Tax claim.</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0980"/>
          </w:cols>
          <w:pgMar w:left="440" w:top="269" w:right="479" w:bottom="1440" w:gutter="0" w:footer="0" w:header="0"/>
        </w:sectPr>
      </w:pPr>
    </w:p>
    <w:bookmarkStart w:id="551" w:name="page552"/>
    <w:bookmarkEnd w:id="551"/>
    <w:p>
      <w:pPr>
        <w:ind w:firstLine="436"/>
        <w:spacing w:after="0" w:line="254" w:lineRule="auto"/>
        <w:tabs>
          <w:tab w:leader="none" w:pos="685"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shall not be liable for any settlement or compromise of, or the consent to the entry of any judgment with respect to, any proceeding effected without its consent (which consent shall not be unreasonably withheld, delayed or conditioned), but if any proceeding is so settled, compromised or consented to with the Borrower’s written consent, or if there is a final judgment entered against any Indemnitee in any such proceeding, the Borrower agrees to indemnify and hold harmless each Indemnitee to the extent and in the manner set forth above. The Borrower shall not, without the prior written consent of the affected Indemnitee (which consent shall not be unreasonably withheld, conditioned or delayed), effect any settlement of any pending or threatened proceeding in respect of which indemnity has been sought hereunder by such Indemnitee unless (i) such settlement includes an unconditional release of such Indemnitee from all liability or claims that are the subject matter of such proceeding and (ii) such settlement does not include any statement as to any admission of fault or culpability.</w:t>
      </w:r>
    </w:p>
    <w:p>
      <w:pPr>
        <w:spacing w:after="0" w:line="19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Waiver of Claim</w:t>
      </w:r>
      <w:r>
        <w:rPr>
          <w:rFonts w:ascii="Times New Roman" w:cs="Times New Roman" w:eastAsia="Times New Roman" w:hAnsi="Times New Roman"/>
          <w:sz w:val="18"/>
          <w:szCs w:val="18"/>
          <w:color w:val="auto"/>
        </w:rPr>
        <w:t xml:space="preserve">. To the extent permitted by applicable law, no party to this Agreement shall assert, and each hereby waives, any claim against any other party hereto, any other Loan Party and/or any Related Party of any thereof, on any theory of liability, for special, indirect, consequential or punitive damages (as opposed to direct or actual damages) arising out of, in connection with, or as a result of, this Agreement or any agreement or instrument contemplated hereby, the Transactions, any Loan or any Letter of Credit or the use of the proceeds thereof, except, in the case of any claim by any Indemnitee against the Borrower, to the extent such damages would otherwise be subject to indemnification pursuant to the terms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Except with respect to the exercise of setoff rights in accordance with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on behalf of the Secured Parties in accordance with the terms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except as provided under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and/or pursuant to any Permitted Reorganization, the Borrower may not assign or otherwise transfer any of its rights or obligations hereunder without the prior written consent of each Lender (and any attempted assignment or transfer by the Borrower without such consent shall be null and void) and (ii) no Lender may assign or otherwise transfer its rights or obligations hereunder except in accordance with the terms of this Section (and any assignment or transfer (or attempted assignment or transfer) not complying with the terms of this Section or to any Disqualified Institution shall be subject to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Nothing in this Agreement, expressed or implied, shall be construed to confer upon any Person (other than the parties hereto, their respective successors and permitted assigns,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Arrangers, the Administrative Agent, the Collateral Agent, the Issuing Banks and the Lenders) any legal or equitable right, remedy or claim under or by reason of this Agreement. Any Successor Borrower permitted pursuant to a transaction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proviso above, shall thereafter be deemed to be and become the “Borrower” for all purposes hereunder, and such initial Borrower, as applicable, shall, subject to </w:t>
      </w:r>
      <w:r>
        <w:rPr>
          <w:rFonts w:ascii="Times New Roman" w:cs="Times New Roman" w:eastAsia="Times New Roman" w:hAnsi="Times New Roman"/>
          <w:sz w:val="18"/>
          <w:szCs w:val="18"/>
          <w:u w:val="single" w:color="auto"/>
          <w:color w:val="auto"/>
        </w:rPr>
        <w:t>Section 5.12</w:t>
      </w:r>
      <w:r>
        <w:rPr>
          <w:rFonts w:ascii="Times New Roman" w:cs="Times New Roman" w:eastAsia="Times New Roman" w:hAnsi="Times New Roman"/>
          <w:sz w:val="18"/>
          <w:szCs w:val="18"/>
          <w:color w:val="auto"/>
        </w:rPr>
        <w:t>, be released from its Loan Document Obligations in respect of this Agreement and the other Loan Documents.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00"/>
          </w:cols>
          <w:pgMar w:left="440" w:top="269" w:right="459" w:bottom="1440" w:gutter="0" w:footer="0" w:header="0"/>
        </w:sectPr>
      </w:pPr>
    </w:p>
    <w:bookmarkStart w:id="552" w:name="page553"/>
    <w:bookmarkEnd w:id="552"/>
    <w:p>
      <w:pPr>
        <w:ind w:right="40" w:firstLine="436"/>
        <w:spacing w:after="0" w:line="276" w:lineRule="auto"/>
        <w:tabs>
          <w:tab w:leader="none" w:pos="695" w:val="left"/>
        </w:tabs>
        <w:numPr>
          <w:ilvl w:val="0"/>
          <w:numId w:val="7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 Subject to the conditions set forth in </w:t>
      </w:r>
      <w:r>
        <w:rPr>
          <w:rFonts w:ascii="Times New Roman" w:cs="Times New Roman" w:eastAsia="Times New Roman" w:hAnsi="Times New Roman"/>
          <w:sz w:val="17"/>
          <w:szCs w:val="17"/>
          <w:u w:val="single" w:color="auto"/>
          <w:color w:val="auto"/>
        </w:rPr>
        <w:t>paragraph (b)(ii)</w:t>
      </w:r>
      <w:r>
        <w:rPr>
          <w:rFonts w:ascii="Times New Roman" w:cs="Times New Roman" w:eastAsia="Times New Roman" w:hAnsi="Times New Roman"/>
          <w:sz w:val="17"/>
          <w:szCs w:val="17"/>
          <w:color w:val="auto"/>
        </w:rPr>
        <w:t xml:space="preserve"> below, any Lender may assign to one or more Eligible Assignees all or a portion of its rights and obligations under this Agreement (including all or a portion of any Additional Loan or Additional Commitment added pursuant to </w:t>
      </w:r>
      <w:r>
        <w:rPr>
          <w:rFonts w:ascii="Times New Roman" w:cs="Times New Roman" w:eastAsia="Times New Roman" w:hAnsi="Times New Roman"/>
          <w:sz w:val="17"/>
          <w:szCs w:val="17"/>
          <w:u w:val="single" w:color="auto"/>
          <w:color w:val="auto"/>
        </w:rPr>
        <w:t>Sections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2.22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10.02(c)</w:t>
      </w:r>
      <w:r>
        <w:rPr>
          <w:rFonts w:ascii="Times New Roman" w:cs="Times New Roman" w:eastAsia="Times New Roman" w:hAnsi="Times New Roman"/>
          <w:sz w:val="18"/>
          <w:szCs w:val="18"/>
          <w:color w:val="auto"/>
        </w:rPr>
        <w:t xml:space="preserve"> at the time owing to it) with the prior written consent (not to be unreasonably withheld or delayed) of:</w:t>
      </w:r>
    </w:p>
    <w:p>
      <w:pPr>
        <w:spacing w:after="0" w:line="98" w:lineRule="exact"/>
        <w:rPr>
          <w:rFonts w:ascii="Times New Roman" w:cs="Times New Roman" w:eastAsia="Times New Roman" w:hAnsi="Times New Roman"/>
          <w:sz w:val="17"/>
          <w:szCs w:val="17"/>
          <w:color w:val="auto"/>
        </w:rPr>
      </w:pPr>
    </w:p>
    <w:p>
      <w:pPr>
        <w:ind w:left="980" w:right="180" w:firstLine="408"/>
        <w:spacing w:after="0" w:line="257" w:lineRule="auto"/>
        <w:tabs>
          <w:tab w:leader="none" w:pos="1676" w:val="left"/>
        </w:tabs>
        <w:numPr>
          <w:ilvl w:val="2"/>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shall be deemed to have consented to any assignment of funded Term Loans (other than any such assignment to a Disqualified Institution) if it has not responded to a written request for its consent from the Administrative Agent within 10 Business Days after receiving such written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no consent of the Borrower shall be required</w:t>
      </w:r>
    </w:p>
    <w:p>
      <w:pPr>
        <w:spacing w:after="0" w:line="1" w:lineRule="exact"/>
        <w:rPr>
          <w:rFonts w:ascii="Times New Roman" w:cs="Times New Roman" w:eastAsia="Times New Roman" w:hAnsi="Times New Roman"/>
          <w:sz w:val="18"/>
          <w:szCs w:val="18"/>
          <w:color w:val="auto"/>
        </w:rPr>
      </w:pPr>
    </w:p>
    <w:p>
      <w:pPr>
        <w:ind w:left="980" w:firstLine="7"/>
        <w:spacing w:after="0" w:line="253" w:lineRule="auto"/>
        <w:tabs>
          <w:tab w:leader="none" w:pos="1235" w:val="left"/>
        </w:tabs>
        <w:numPr>
          <w:ilvl w:val="1"/>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assignment of funded Term Loans to another Lender, an Affiliate of any Lender or an Approved Fund, (y) for any assignment of Revolving Loans or Revolving Credit Commitments to another Revolving Lender, an Affiliate of any Revolving Lender or an Approved Fund of a Revolving Lender (in the case of such Affiliate or Approved Fund, unless such Person does not have similar creditworthiness as the assigning Revolving Lender) or (z) for any assignment during the continuance of a Specified Event of Default;</w:t>
      </w:r>
    </w:p>
    <w:p>
      <w:pPr>
        <w:spacing w:after="0" w:line="80"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66" w:val="left"/>
        </w:tabs>
        <w:numPr>
          <w:ilvl w:val="2"/>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consent of the Administrative Agent shall be required for any assignment to another Lender, any Affiliate of a Lender or any Approved Fund, or for any assignment to the Borrower and/or its Affiliates, which otherwise complies with the terms of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Revolving Facility, each Issuing Bank and the Swingline Lender;</w:t>
      </w:r>
    </w:p>
    <w:p>
      <w:pPr>
        <w:spacing w:after="0" w:line="117" w:lineRule="exact"/>
        <w:rPr>
          <w:sz w:val="20"/>
          <w:szCs w:val="20"/>
          <w:color w:val="auto"/>
        </w:rPr>
      </w:pPr>
    </w:p>
    <w:p>
      <w:pPr>
        <w:jc w:val="both"/>
        <w:ind w:left="980" w:right="1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assignments of Revolving Loans and/or Revolving Credit Commitments, it is understood and agreed that the Borrower may withhold its consent on account of the creditworthiness of any proposed assignee (as determined by the Borrower in good faith).</w:t>
      </w:r>
    </w:p>
    <w:p>
      <w:pPr>
        <w:spacing w:after="0" w:line="68" w:lineRule="exact"/>
        <w:rPr>
          <w:sz w:val="20"/>
          <w:szCs w:val="20"/>
          <w:color w:val="auto"/>
        </w:rPr>
      </w:pPr>
    </w:p>
    <w:p>
      <w:pPr>
        <w:ind w:left="1120" w:hanging="261"/>
        <w:spacing w:after="0"/>
        <w:tabs>
          <w:tab w:leader="none" w:pos="1120" w:val="left"/>
        </w:tabs>
        <w:numPr>
          <w:ilvl w:val="0"/>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Assignments shall be subject to the following additional conditions:</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56" w:lineRule="auto"/>
        <w:tabs>
          <w:tab w:leader="none" w:pos="1676"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the case of any assignment to another Lender, any Affiliate of any Lender or any Approved Fund or any assignment of the entire remaining amount of the relevant assigning Lender’s Loans or commitments of any Class, the principal amount of Loans or commitments of the assigning Lender subject to the relevant assignment (determined as of the Trade Date and determined on an aggregate basis in the event of concurrent assignments to Related Funds or by Related Funds) shall not be less than (x) $1,000,000, in the case of Term Loans and Term Commitments and (y) $5,000,000 in the case of Revolving Loans and Revolving Credit Commitments unless the Borrower and the Administrative Agent otherwise consent to a lesser amount;</w:t>
      </w:r>
    </w:p>
    <w:p>
      <w:pPr>
        <w:spacing w:after="0" w:line="79"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66"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partial assignment shall be made as an assignment of a proportionate part of all the relevant assigning Lender’s rights and obligations under this Agreement;</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66"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to each assignment shall execute and deliver to the Administrative Agent an Assignment Agreement via an electronic settlement system acceptable to the Administrative Agent (or, if previously agreed with the Administrative Agent, manually), and shall pay to the Administrative Agent a processing and recordation fee of $3,500 (which fee may be waived or reduced in the sole discretion of the Administrative Agent and which fee shall not apply for any assignment to an Affiliated Lender);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20"/>
          </w:cols>
          <w:pgMar w:left="440" w:top="269" w:right="439" w:bottom="1440" w:gutter="0" w:footer="0" w:header="0"/>
        </w:sectPr>
      </w:pPr>
    </w:p>
    <w:bookmarkStart w:id="553" w:name="page554"/>
    <w:bookmarkEnd w:id="553"/>
    <w:p>
      <w:pPr>
        <w:ind w:left="540" w:right="160" w:firstLine="408"/>
        <w:spacing w:after="0" w:line="266" w:lineRule="auto"/>
        <w:tabs>
          <w:tab w:leader="none" w:pos="1236" w:val="left"/>
        </w:tabs>
        <w:numPr>
          <w:ilvl w:val="1"/>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relevant Eligible Assignee, if it is not a Lender, shall deliver on or prior to the effective date of such assignment, to the Administrative Agent (irrespective of whether an Event of Default exists) (1) an Administrative Questionnaire and (2) any form required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40" w:firstLine="419"/>
        <w:spacing w:after="0" w:line="253" w:lineRule="auto"/>
        <w:tabs>
          <w:tab w:leader="none" w:pos="738"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in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subject to the acceptance and recording thereof pursuant to </w:t>
      </w:r>
      <w:r>
        <w:rPr>
          <w:rFonts w:ascii="Times New Roman" w:cs="Times New Roman" w:eastAsia="Times New Roman" w:hAnsi="Times New Roman"/>
          <w:sz w:val="18"/>
          <w:szCs w:val="18"/>
          <w:u w:val="single" w:color="auto"/>
          <w:color w:val="auto"/>
        </w:rPr>
        <w:t>paragraph (b)(iv)</w:t>
      </w:r>
      <w:r>
        <w:rPr>
          <w:rFonts w:ascii="Times New Roman" w:cs="Times New Roman" w:eastAsia="Times New Roman" w:hAnsi="Times New Roman"/>
          <w:sz w:val="18"/>
          <w:szCs w:val="18"/>
          <w:color w:val="auto"/>
        </w:rPr>
        <w:t xml:space="preserve"> of this Section, from and after the effective date specified in any Assignment Agreement, the Eligible Assignee thereunder shall be a party hereto and, to the extent of the interest assigned pursuant to such Assignment Agreement, have the rights and obligations of a Lender under this Agreement, and the assigning Lender thereunder shall, to the extent of the interest assigned by such Assignment Agreement, be released from its obligations under this Agreement (and, in the case of an Assignment Agreement covering all of the assigning Lender’s rights and obligations under this Agreement, such Lender shall cease to be a party hereto but shall continue to be (A)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with respect to facts and circumstances occurring on or prior to the effective date of such assignment and (B) subject to its obligations thereunder and under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If any assignment by any Lender holding any Promissory Note is made after the issuance of such Promissory Note, the assigning Lender shall, upon the effectiveness of such assignment or as promptly thereafter as practicable, surrender such Promissory Note to the Administrative Agent for cancellation, and, following such cancellation, if requested by either the assignee or the assigning Lender, the Borrower shall issue and deliver a new Promissory Note to such assignee and/or to such assigning Lender, with appropriate insertions, to reflect the new commitments and/or outstanding Loans of the assignee and/or the assigning Lender.</w:t>
      </w:r>
    </w:p>
    <w:p>
      <w:pPr>
        <w:spacing w:after="0" w:line="81" w:lineRule="exact"/>
        <w:rPr>
          <w:rFonts w:ascii="Times New Roman" w:cs="Times New Roman" w:eastAsia="Times New Roman" w:hAnsi="Times New Roman"/>
          <w:sz w:val="18"/>
          <w:szCs w:val="18"/>
          <w:color w:val="auto"/>
        </w:rPr>
      </w:pPr>
    </w:p>
    <w:p>
      <w:pPr>
        <w:ind w:firstLine="419"/>
        <w:spacing w:after="0" w:line="254" w:lineRule="auto"/>
        <w:tabs>
          <w:tab w:leader="none" w:pos="728"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acting solely for this purpose as an agent of the Borrower, shall maintain at one of its offices a copy of each Assignment Agreement delivered to it and a register for the recordation of the names and addresses of the Lenders and their respective successors and assigns, and the commitment of, and principal amount of and interest on the Loans and LC Disbursements owing to, each Lender or Issuing Bank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Failure to make any such recordation, or any error in such recordation, shall not affect the Borrower’s obligations in respect of such Loans and LC Disbursements. The entries in the Register shall be conclusive, absent manifest error, and the Borrower, the Administrative Agent, the Collateral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 each Issuing Bank (with respect to Revolving Loans) and each Lender (but only as to its own holdings), at any reasonable time and from time to time upon reasonable prior notice.</w:t>
      </w:r>
    </w:p>
    <w:p>
      <w:pPr>
        <w:spacing w:after="0" w:line="80" w:lineRule="exact"/>
        <w:rPr>
          <w:rFonts w:ascii="Times New Roman" w:cs="Times New Roman" w:eastAsia="Times New Roman" w:hAnsi="Times New Roman"/>
          <w:sz w:val="18"/>
          <w:szCs w:val="18"/>
          <w:color w:val="auto"/>
        </w:rPr>
      </w:pPr>
    </w:p>
    <w:p>
      <w:pPr>
        <w:ind w:right="120" w:firstLine="419"/>
        <w:spacing w:after="0" w:line="256" w:lineRule="auto"/>
        <w:tabs>
          <w:tab w:leader="none" w:pos="678"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its receipt of a duly completed Assignment Agreement executed by an assigning Lender and an Eligible Assignee, the Eligible Assignee’s completed Administrative Questionnaire and any tax certification required by </w:t>
      </w:r>
      <w:r>
        <w:rPr>
          <w:rFonts w:ascii="Times New Roman" w:cs="Times New Roman" w:eastAsia="Times New Roman" w:hAnsi="Times New Roman"/>
          <w:sz w:val="18"/>
          <w:szCs w:val="18"/>
          <w:u w:val="single" w:color="auto"/>
          <w:color w:val="auto"/>
        </w:rPr>
        <w:t>paragraph (b)(ii)(D)(2)</w:t>
      </w:r>
      <w:r>
        <w:rPr>
          <w:rFonts w:ascii="Times New Roman" w:cs="Times New Roman" w:eastAsia="Times New Roman" w:hAnsi="Times New Roman"/>
          <w:sz w:val="18"/>
          <w:szCs w:val="18"/>
          <w:color w:val="auto"/>
        </w:rPr>
        <w:t xml:space="preserve"> of this Section,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if applicable, and any written consent to the relevant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promptly accept such Assignment Agreement and record the information contained therein in the Register. No assignment shall be effective for purposes of this Agreement unless it has been recorded in the Register as provided in this paragraph.</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0560"/>
          </w:cols>
          <w:pgMar w:left="880" w:top="269" w:right="459" w:bottom="1440" w:gutter="0" w:footer="0" w:header="0"/>
        </w:sectPr>
      </w:pPr>
    </w:p>
    <w:bookmarkStart w:id="554" w:name="page555"/>
    <w:bookmarkEnd w:id="554"/>
    <w:p>
      <w:pPr>
        <w:ind w:left="440" w:firstLine="419"/>
        <w:spacing w:after="0" w:line="252" w:lineRule="auto"/>
        <w:tabs>
          <w:tab w:leader="none" w:pos="1168" w:val="left"/>
        </w:tabs>
        <w:numPr>
          <w:ilvl w:val="1"/>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executing and delivering an Assignment Agreement, the assigning Lender and the Eligible Assignee thereunder shall be deemed to confirm and agree with each other and the other parties hereto as follows: (A) such assigning Lender warrants that it is the legal and beneficial owner of the interest being assigned thereby free and clear of any adverse claim and that the amount of its commitments, and the outstanding balances of its Loans, in each case without giving effect to any assignment thereof which has not become effective, are as set forth in such Assignment Agreement, (B) except as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such assigning Lender makes no representation or warranty and assumes no responsibility with respect to any statement, warranty or representation made in or in connection with this Agreement, or the execution, legality, validity, enforceability, genuineness, sufficiency or value of this Agreement, any other Loan Document or any other instrument or document furnished pursuant hereto, or the financial condition of the Borrower or any Restricted Subsidiary or the performance or observance by the Borrower or any Restricted Subsidiary of any of its obligations under this Agreement, any other Loan Document or any other instrument or document furnished pursuant hereto; (C) such assignee represents and warrants that it is an Eligible Assignee (and not a Disqualified Institution), legally authorized to enter into such Assignment Agreement; (D) such assignee confirms that it has received a copy of this Agreement and each then-applicable Acceptable Intercreditor Agreement, together with the most recent financial statements delivered pursuant to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such other documents and information as it has deemed appropriate to make its own credit analysis and decision to enter into such Assignment Agreement; (E) such assignee will independently and without reliance upon the Administrative Agent, the assigning Lender or any other Lender and based on such documents and information as it deems appropriate at the time, continue to make its own credit decisions in taking or not taking action under this Agreement; (F) such assignee appoints and authorizes the Administrative Agent and the Collateral Agent to take such action as agent on its behalf and to exercise such powers under this Agreement as are delegated to the Administrative Agent and the Collateral Agent, by the terms hereof, together with such powers as are reasonably incidental thereto; and (G) such assignee agrees that it will perform in accordance with their terms all the obligations which by the terms of this Agreement are required to be performed by it as a Lender.</w:t>
      </w:r>
    </w:p>
    <w:p>
      <w:pPr>
        <w:spacing w:after="0" w:line="190" w:lineRule="exact"/>
        <w:rPr>
          <w:rFonts w:ascii="Times New Roman" w:cs="Times New Roman" w:eastAsia="Times New Roman" w:hAnsi="Times New Roman"/>
          <w:sz w:val="18"/>
          <w:szCs w:val="18"/>
          <w:color w:val="auto"/>
        </w:rPr>
      </w:pPr>
    </w:p>
    <w:p>
      <w:pPr>
        <w:ind w:right="40" w:firstLine="436"/>
        <w:spacing w:after="0" w:line="251" w:lineRule="auto"/>
        <w:tabs>
          <w:tab w:leader="none" w:pos="685" w:val="left"/>
        </w:tabs>
        <w:numPr>
          <w:ilvl w:val="0"/>
          <w:numId w:val="7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without the consent of the Borrower, the Administrative Agent, the Collateral Agent, any Issuing Bank, the Swingline Lender or any other Lender, sell participations to any bank or other entity (other than to any Disqualified Institution, any Defaulting Lender or any natural Person or any investment vehicle established primarily for the benefit of a natural person)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commitments and the Loans owing to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such Lender’s obligations under this Agreement shall remain unchanged, (B) such Lender shall remain solely responsible to the other parties hereto for the performance of such obligations and (C) the Borrower, the Administrative Agent, the Collateral Agent, the Issuing Banks and the other Lenders shall continue to deal solely and directly with such Lender in connection with such Lender’s rights and obligations under this Agreement. Any agreement or instrument pursuant to which any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relevant Participant, agree to any amendment, modification or waiver described in (x)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first proviso to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that directly and adversely affects the Loans or commitments in which such Participant has an interest and (y) </w:t>
      </w:r>
      <w:r>
        <w:rPr>
          <w:rFonts w:ascii="Times New Roman" w:cs="Times New Roman" w:eastAsia="Times New Roman" w:hAnsi="Times New Roman"/>
          <w:sz w:val="18"/>
          <w:szCs w:val="18"/>
          <w:u w:val="single" w:color="auto"/>
          <w:color w:val="auto"/>
        </w:rPr>
        <w:t>clauses (B)(1)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of the first proviso to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paragraph (c)(ii)</w:t>
      </w:r>
      <w:r>
        <w:rPr>
          <w:rFonts w:ascii="Times New Roman" w:cs="Times New Roman" w:eastAsia="Times New Roman" w:hAnsi="Times New Roman"/>
          <w:sz w:val="18"/>
          <w:szCs w:val="18"/>
          <w:color w:val="auto"/>
        </w:rPr>
        <w:t xml:space="preserve"> of this Section, the Borrower agrees that each Participant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(subject to the limitations and requirements of such Sections and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(it being understood that the documentation required under </w:t>
      </w:r>
      <w:r>
        <w:rPr>
          <w:rFonts w:ascii="Times New Roman" w:cs="Times New Roman" w:eastAsia="Times New Roman" w:hAnsi="Times New Roman"/>
          <w:sz w:val="18"/>
          <w:szCs w:val="18"/>
          <w:u w:val="single" w:color="auto"/>
          <w:color w:val="auto"/>
        </w:rPr>
        <w:t>Section 2.17(f)</w:t>
      </w:r>
      <w:r>
        <w:rPr>
          <w:rFonts w:ascii="Times New Roman" w:cs="Times New Roman" w:eastAsia="Times New Roman" w:hAnsi="Times New Roman"/>
          <w:sz w:val="18"/>
          <w:szCs w:val="18"/>
          <w:color w:val="auto"/>
        </w:rPr>
        <w:t xml:space="preserve"> shall be delivered solely to the participating Lender, and if additional amounts are required to be paid to the Participant pursuant to </w:t>
      </w:r>
      <w:r>
        <w:rPr>
          <w:rFonts w:ascii="Times New Roman" w:cs="Times New Roman" w:eastAsia="Times New Roman" w:hAnsi="Times New Roman"/>
          <w:sz w:val="18"/>
          <w:szCs w:val="18"/>
          <w:u w:val="single" w:color="auto"/>
          <w:color w:val="auto"/>
        </w:rPr>
        <w:t>Section 2.17(a)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to the Borrower). To the extent permitted by applicable Requirements of Law, each Participant also shall be entitled to the benefits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Participant shall be subject to</w:t>
      </w:r>
    </w:p>
    <w:p>
      <w:pPr>
        <w:spacing w:after="0" w:line="1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2.18(c)</w:t>
      </w:r>
      <w:r>
        <w:rPr>
          <w:rFonts w:ascii="Times New Roman" w:cs="Times New Roman" w:eastAsia="Times New Roman" w:hAnsi="Times New Roman"/>
          <w:sz w:val="18"/>
          <w:szCs w:val="18"/>
          <w:color w:val="auto"/>
        </w:rPr>
        <w:t xml:space="preserve"> as though it were a Lender.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1000"/>
          </w:cols>
          <w:pgMar w:left="440" w:top="269" w:right="459" w:bottom="1440" w:gutter="0" w:footer="0" w:header="0"/>
        </w:sectPr>
      </w:pPr>
    </w:p>
    <w:bookmarkStart w:id="555" w:name="page556"/>
    <w:bookmarkEnd w:id="555"/>
    <w:p>
      <w:pPr>
        <w:jc w:val="both"/>
        <w:ind w:left="440" w:right="20" w:firstLine="419"/>
        <w:spacing w:after="0" w:line="266" w:lineRule="auto"/>
        <w:tabs>
          <w:tab w:leader="none" w:pos="1078" w:val="left"/>
        </w:tabs>
        <w:numPr>
          <w:ilvl w:val="0"/>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 Participant shall be entitled to receive any greater payment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than the participating Lender would have been entitled to receive with respect to the participation sold to such Participant, except to the extent such entitlement to receive a greater payment results from a Change in Law that occurs after the Participant acquired the applicable participation.</w:t>
      </w:r>
    </w:p>
    <w:p>
      <w:pPr>
        <w:spacing w:after="0" w:line="176"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Each Lender that sells a participation shall, acting solely for this purpose as a non-fiduciary agent of the Borrower, maintain a register on which it enters the name and address of each Participant and their respective successors and assigns, and the principal amounts and stated interest of each Participant’s interest in the Loans or other obligations under the Loan Documents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any Participant’s interest in any Commitment, Loan, Letter of Credit or any other obligation under any Loan Document) to any Person except to the extent that such disclosure is necessary to establish that such Commitment, Loan, Letter of Credit or other obligation is in registered form under</w:t>
      </w:r>
    </w:p>
    <w:p>
      <w:pPr>
        <w:spacing w:after="0" w:line="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5f.103-1(c) of the Treasury Regulations. The entries in the Participant Register shall be conclusive absent manifest error, and each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have no responsibility for maintaining a Participant Register.</w:t>
      </w:r>
    </w:p>
    <w:p>
      <w:pPr>
        <w:spacing w:after="0" w:line="189" w:lineRule="exact"/>
        <w:rPr>
          <w:sz w:val="20"/>
          <w:szCs w:val="20"/>
          <w:color w:val="auto"/>
        </w:rPr>
      </w:pPr>
    </w:p>
    <w:p>
      <w:pPr>
        <w:ind w:right="220" w:firstLine="436"/>
        <w:spacing w:after="0" w:line="258" w:lineRule="auto"/>
        <w:tabs>
          <w:tab w:leader="none" w:pos="695"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pledge or assign a security interest in all or any portion of its rights under this Agreement (other than to any Disqualified Institution, Defaulting Lender or any natural person) to secure obligations of such Lender, including without limitation any pledge or assignment to secure obligations to any Federal Reserve Bank or other central bank having jurisdiction over such Lender, and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any Lender from any of its obligations hereunder or substitute any such pledgee or assignee for such Lender as a party hereto.</w:t>
      </w:r>
    </w:p>
    <w:p>
      <w:pPr>
        <w:spacing w:after="0" w:line="179"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identified as such in writing from time to time by the Granting Lender to the Administrative Agent and the Borrower, the option to provide to the Borrower all or any part of any Loan that such Granting Lender would otherwise be obligated to make to the Borrower pursuant 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constitute a commitment by any SPC to make any Loan, (ii) if an SPC elects not to exercise such option or otherwise fails to provide all or any part of such Loan, the Granting Lender shall be obligated to make such Loan pursuant to the terms hereof and (iii) in no event may any Lender grant any option to provide to the Borrower all or any part of any Loan that such Granting Lender would have otherwise been obligated to make to the Borrower pursuant to this Agreement to any Disqualified Institution or Defaulting Lender. The making of any Loan by an SPC hereunder shall utilize the Commitment of the Granting Lender to the same extent, and as if, such Loan were made by such Granting Lender. Each party hereto hereby agrees that (i) an SPC shall be entitled to the benefits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(subject to the limitations and requirements of such Sections and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it being understood that any documentation required to be provided by SPC under </w:t>
      </w:r>
      <w:r>
        <w:rPr>
          <w:rFonts w:ascii="Times New Roman" w:cs="Times New Roman" w:eastAsia="Times New Roman" w:hAnsi="Times New Roman"/>
          <w:sz w:val="18"/>
          <w:szCs w:val="18"/>
          <w:u w:val="single" w:color="auto"/>
          <w:color w:val="auto"/>
        </w:rPr>
        <w:t>Section 2.17(e)</w:t>
      </w:r>
      <w:r>
        <w:rPr>
          <w:rFonts w:ascii="Times New Roman" w:cs="Times New Roman" w:eastAsia="Times New Roman" w:hAnsi="Times New Roman"/>
          <w:sz w:val="18"/>
          <w:szCs w:val="18"/>
          <w:color w:val="auto"/>
        </w:rPr>
        <w:t xml:space="preserve"> shall be provided solely to the Granting Lender and if additional amounts are required to be paid to the Participant pursuant to </w:t>
      </w:r>
      <w:r>
        <w:rPr>
          <w:rFonts w:ascii="Times New Roman" w:cs="Times New Roman" w:eastAsia="Times New Roman" w:hAnsi="Times New Roman"/>
          <w:sz w:val="18"/>
          <w:szCs w:val="18"/>
          <w:u w:val="single" w:color="auto"/>
          <w:color w:val="auto"/>
        </w:rPr>
        <w:t>Section 2.17(a)</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0980"/>
          </w:cols>
          <w:pgMar w:left="440" w:top="269" w:right="479" w:bottom="1440" w:gutter="0" w:footer="0" w:header="0"/>
        </w:sectPr>
      </w:pPr>
    </w:p>
    <w:bookmarkStart w:id="556" w:name="page557"/>
    <w:bookmarkEnd w:id="55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or </w:t>
      </w:r>
      <w:r>
        <w:rPr>
          <w:rFonts w:ascii="Times New Roman" w:cs="Times New Roman" w:eastAsia="Times New Roman" w:hAnsi="Times New Roman"/>
          <w:sz w:val="18"/>
          <w:szCs w:val="18"/>
          <w:u w:val="single" w:color="auto"/>
          <w:color w:val="auto"/>
        </w:rPr>
        <w:t>Section 2.17(c)</w:t>
      </w:r>
      <w:r>
        <w:rPr>
          <w:rFonts w:ascii="Times New Roman" w:cs="Times New Roman" w:eastAsia="Times New Roman" w:hAnsi="Times New Roman"/>
          <w:sz w:val="18"/>
          <w:szCs w:val="18"/>
          <w:color w:val="auto"/>
        </w:rPr>
        <w:t xml:space="preserve">, to the Borrower)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(ii)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and no SPC shall be entitled to any greater amount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any other provision of this Agreement or any other Loan Document that the Granting Lender would have been entitled to receive, unless the grant to such SPC is made with the prior written consent of the Borrower (in its sole discretion), expressly acknowledging that such SPC’s entitlement to benefits under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is not limited to what the Granting Lender would have been entitled to receive absent the grant to the SPC, (iii) no SPC shall be liable for any indemnity or similar payment obligation under this Agreement (all liability for which shall remain with the Granting Lender) and (iv) the Granting Lender shall for all purposes including approval of any amendment, waiver or other modification of any provision of the Loan Documents, remain the Lender of record hereunder. In furtherance of the foregoing, each party hereto hereby agrees (which agreement shall survive the termination of this Agreement) that, prior to the date that is one year and one day after the payment in full of all outstanding commercial paper or other senior indebtedness of any SPC, it will not institute against, or join any other Person in instituting against, such SPC any bankruptcy, reorganization, arrangement, insolvency or liquidation proceedings under the Requirements of Law of the U.S. or any State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SPC’s Granting Lender is in compliance in all material respects with its obligations to the Borrower hereunder and (ii) each Lender designating any SPC hereby agrees to indemnify, save and hold harmless each other party hereto for any loss, cost, damage or expense arising out of its inability to institute such a proceeding against such SPC during such period of forbearance. In addition, notwithstanding anything to the contrary contained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any SPC may (i) with notice to, but without the prior written consent of, the Borrower or the Administrative Agent and without paying any processing fee therefor, assign all or a portion of its interests in any Loan to the Granting Lender and (ii) disclose on a confidential basis any non-public information relating to its Loans to any rating agency, commercial paper dealer or provider of any surety, guarantee or credit or liquidity enhancement to such SPC.</w:t>
      </w:r>
    </w:p>
    <w:p>
      <w:pPr>
        <w:spacing w:after="0" w:line="191" w:lineRule="exact"/>
        <w:rPr>
          <w:sz w:val="20"/>
          <w:szCs w:val="20"/>
          <w:color w:val="auto"/>
        </w:rPr>
      </w:pPr>
    </w:p>
    <w:p>
      <w:pPr>
        <w:ind w:left="660" w:hanging="224"/>
        <w:spacing w:after="0"/>
        <w:tabs>
          <w:tab w:leader="none" w:pos="660"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[Reserved].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assignment or participation is made (A) by a Lender without the Borrower’s consent to any Disqualified Institution or</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by a Lender without the Borrower’s consent, to the extent the Borrower’s consent is required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to any Person (any such Disqualified Institution and/or such Person referred to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b w:val="1"/>
          <w:bCs w:val="1"/>
          <w:color w:val="auto"/>
        </w:rPr>
        <w:t>Disqualified Person</w:t>
      </w:r>
      <w:r>
        <w:rPr>
          <w:rFonts w:ascii="Times New Roman" w:cs="Times New Roman" w:eastAsia="Times New Roman" w:hAnsi="Times New Roman"/>
          <w:sz w:val="18"/>
          <w:szCs w:val="18"/>
          <w:color w:val="auto"/>
        </w:rPr>
        <w:t xml:space="preserve">”), then, such assignment shall not be null and void, but (x) such Disqualified Person shall not be entitled to the benefit of any expense reimbursement or indemnification provisions of the Loan Documents (including without limitation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hereof) and (y) the Borrower may, at its sole expense and effort, upon notice to such Disqualified Person and the Administrative Agent, (A) terminate any Commitment of such Disqualified Person and repay all obligations of the Borrower owing to such Disqualified Person, (B) in the case of any outstanding Term Loans held by such Disqualified Person, purchase such Term Loans by paying the lesser of (x) the amount that such Disqualified Person paid to acquire such Term Loans and (y) par, plus accrued interest thereon, but excluding any premium, penalty, prepayment fee or breakage costs and/or (C) require that such Disqualified Person assign, without recourse (in accordance with and subject to the restrictions contained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all of its interests, rights and obligations under this Agreement to one or more Eligible Assignees (and if such Person does not execute and deliver to the Administrative Agent a duly executed assignment agreement reflecting such assignment within five Business Days of the date on which such Eligible Assignee executes and delivers such assignment agreement to such Person, then such Person shall be deemed to have executed and delivered such assignment agreement without any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00"/>
          </w:cols>
          <w:pgMar w:left="440" w:top="269" w:right="459" w:bottom="1440" w:gutter="0" w:footer="0" w:header="0"/>
        </w:sectPr>
      </w:pPr>
    </w:p>
    <w:bookmarkStart w:id="557" w:name="page558"/>
    <w:bookmarkEnd w:id="557"/>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action on its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the relevant assignment shall otherwise comply with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(except that no registration and processing fee required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required with any assignment pursuant to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in the case of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the Borrower shall not be liable to any Person for breakage costs. Further, any Disqualified Person identified by the Borrower to the Administrative Agent, (A) shall not be permitted to (x) receive information or reporting provided by any Loan Party, the Administrative Agent or any Lender and/or (y) attend and/or participate in conference calls or meetings attended solely by the Lenders and the Administrative Agent, (B)(x) shall not for purposes of determining whether the Required Lenders or the majority Lenders under any Class have (i) consented (or not consented) to any amendment, modification, waiver, consent or other action with respect to any of the terms of any Loan Document or any departure by any Loan Party therefrom, (ii) otherwise acted on any matter related to any Loan Document or (iii) directed or required any Agent or any Lender to undertake any action (or refrain from taking any action) with respect to or under any Loan Document, have a right to consent (or not consent), otherwise act or direct or require any Agent or any Lender to take (or refrain from taking) any such action; it being understood that all Loans held by any Disqualified Person shall be deemed to be not outstanding for all purposes of calculating whether the Required Lenders or other applicable Lenders have taken any action and (y) shall be deemed to vote in the same proportion as Lenders that are not Disqualified Persons in any proceeding under any Debtor Relief Law commenced by or against the Borrower or any other Loan Party and (C) shall not be entitled to receive the benefits of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The rights and remedies available to the Borrower pursuant to the foregoing provisions of this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shall be in addition to injunctive relief (without posting a bond or presenting evidence of irreparable harm) or any other remedies available to the Borrower and/or the Borrower at law or in equity; it being understood and agreed that the Borrower and its subsidiaries will suffer irreparable harm if any Lender breaches any obligation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as it relates to any assignment, participation or pledge of any Loan or Commitment to any Person to whom the Borrower’s consent is required but not obtained. Nothing in this </w:t>
      </w:r>
      <w:r>
        <w:rPr>
          <w:rFonts w:ascii="Times New Roman" w:cs="Times New Roman" w:eastAsia="Times New Roman" w:hAnsi="Times New Roman"/>
          <w:sz w:val="18"/>
          <w:szCs w:val="18"/>
          <w:u w:val="single" w:color="auto"/>
          <w:color w:val="auto"/>
        </w:rPr>
        <w:t>Section 10.05(f)</w:t>
      </w:r>
      <w:r>
        <w:rPr>
          <w:rFonts w:ascii="Times New Roman" w:cs="Times New Roman" w:eastAsia="Times New Roman" w:hAnsi="Times New Roman"/>
          <w:sz w:val="18"/>
          <w:szCs w:val="18"/>
          <w:color w:val="auto"/>
        </w:rPr>
        <w:t xml:space="preserve"> shall be deemed to prejudice any right or remedy that the Borrower or the Borrower may otherwise have at law or equity.</w:t>
      </w:r>
    </w:p>
    <w:p>
      <w:pPr>
        <w:spacing w:after="0" w:line="81" w:lineRule="exact"/>
        <w:rPr>
          <w:sz w:val="20"/>
          <w:szCs w:val="20"/>
          <w:color w:val="auto"/>
        </w:rPr>
      </w:pPr>
    </w:p>
    <w:p>
      <w:pPr>
        <w:ind w:left="440" w:right="120" w:firstLine="419"/>
        <w:spacing w:after="0" w:line="261" w:lineRule="auto"/>
        <w:tabs>
          <w:tab w:leader="none" w:pos="1178" w:val="left"/>
        </w:tabs>
        <w:numPr>
          <w:ilvl w:val="1"/>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any Lender, the Administrative Agent may and the Borrower will make the list of Disqualified Institutions (for the avoidance of doubt, the written list of entities, not Affiliates included in the definition thereof that are not listed) available to such Lender solely for purposes of determining whether any potential assignee or participant is a Disqualified Institution, in each case so long as such Lender and such potential assignee or participant agree to keep such information confidential in accordance with the terms hereof.</w:t>
      </w:r>
    </w:p>
    <w:p>
      <w:pPr>
        <w:spacing w:after="0" w:line="71" w:lineRule="exact"/>
        <w:rPr>
          <w:rFonts w:ascii="Times New Roman" w:cs="Times New Roman" w:eastAsia="Times New Roman" w:hAnsi="Times New Roman"/>
          <w:sz w:val="18"/>
          <w:szCs w:val="18"/>
          <w:color w:val="auto"/>
        </w:rPr>
      </w:pPr>
    </w:p>
    <w:p>
      <w:pPr>
        <w:ind w:left="440" w:firstLine="419"/>
        <w:spacing w:after="0" w:line="312" w:lineRule="auto"/>
        <w:tabs>
          <w:tab w:leader="none" w:pos="1168" w:val="left"/>
        </w:tabs>
        <w:numPr>
          <w:ilvl w:val="1"/>
          <w:numId w:val="7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herein to the contrary, the Administrative Agent shall not be responsible or have any liability for, or have any duty to ascertain, inquire into, monitor or enforce, compliance with the provisions hereof relating to Disqualified Institutions or Net Short Lenders.</w:t>
      </w:r>
    </w:p>
    <w:p>
      <w:pPr>
        <w:spacing w:after="0" w:line="139"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any Lender may, at any time, assign all or a portion of its rights and obligations under this Agreement in respect of its Term Loans to an Affiliated Lender on a non-pro rata basis (A) through Dutch Auctions, or similar transactions pursuant to procedures to be established by the applicable “auction agent” that are consistent with this </w:t>
      </w: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 xml:space="preserve">, in each case open to all Lenders holding the relevant Term Loans on a pro rata basis or (B) through open market purchases (which purchases may be effected at any price as agreed between such Lender and such Affiliated Lender in their respective sole discretion), in each case with respect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without the consent of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58" w:lineRule="auto"/>
        <w:tabs>
          <w:tab w:leader="none" w:pos="1078" w:val="left"/>
        </w:tabs>
        <w:numPr>
          <w:ilvl w:val="1"/>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Term Loans acquired by any Affiliated Lender shall, to the extent permitted by applicable Requirements of Law, be retired and cancelled immediately upon the acquisition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any such retirement and cancellation, the aggregate outstanding principal amount of the Term Loans shall be deemed reduced by the full par value of the aggregate principal amount of the Term Loans so retired and cancelled, and each principal repayment installment with respect to the Initial Term Loans pursuant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xml:space="preserve"> shall be reduced on a pro rata basis by the full par value of the aggregate principal amount of Initial Term Loans so cancelled;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0"/>
          </w:cols>
          <w:pgMar w:left="440" w:top="269" w:right="459" w:bottom="1440" w:gutter="0" w:footer="0" w:header="0"/>
        </w:sectPr>
      </w:pPr>
    </w:p>
    <w:bookmarkStart w:id="558" w:name="page559"/>
    <w:bookmarkEnd w:id="558"/>
    <w:p>
      <w:pPr>
        <w:ind w:left="1120" w:hanging="261"/>
        <w:spacing w:after="0"/>
        <w:tabs>
          <w:tab w:leader="none" w:pos="1120"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relevant Affiliated Lender and assigning Lender shall have executed an Affiliated Lender Assignment and Assumption;</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any assignment effected pursuant to a Dutch Auction and/or open market purchase conducted by the Borrower or any of its Restricted Subsidiaries, (A) the relevant Person may not use the proceeds of any Revolving Loans to fund such assignment and (B) no Event of Default exists at the time of acceptance of bids for the Dutch Auction or the confirmation of such open market purchase, as applicable;</w:t>
      </w:r>
    </w:p>
    <w:p>
      <w:pPr>
        <w:spacing w:after="0" w:line="6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218"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Affiliated Lender shall be required to represent or warrant that it is not in possession of material non-public information with respect to the Borrower and/or any subsidiary thereof and/or their respective securities in connection with any assignment permitted by this</w:t>
      </w: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10.05(g)</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1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and shall survive the execution and delivery of the Loan Documents and the making of any Loan and issuance of any Letter of Credit regardless of any investigation made by any such other party or on its behalf and notwithstanding that the Administrative Agent or the Collateral Agent may have had notice or knowledge of any Default or Event of Default or incorrect representation or warranty at the time any credit is extended hereunder, and shall continue in full force and effect until the Termination Date. The provisions of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10.13</w:t>
      </w:r>
      <w:r>
        <w:rPr>
          <w:rFonts w:ascii="Times New Roman" w:cs="Times New Roman" w:eastAsia="Times New Roman" w:hAnsi="Times New Roman"/>
          <w:sz w:val="18"/>
          <w:szCs w:val="18"/>
          <w:color w:val="auto"/>
        </w:rPr>
        <w:t xml:space="preserve"> (with respect to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only for a period of one year following such Termination Date) and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shall survive and remain in full force and effect regardless of the consummation of the transactions contemplated hereby, the repayment of the Loans, the expiration or termination of the Letters of Credit or any Commitment, the occurrence of the Termination Date or the termination of this Agreement or any provision hereof but in each case, subject to the limitations set forth in this Agreement.</w:t>
      </w:r>
    </w:p>
    <w:p>
      <w:pPr>
        <w:spacing w:after="0" w:line="194"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on different counterparts), each of which shall constitute an original, but all of which when taken together shall constitute a single contract. This Agreement, the other Loan Documents and the Fee Letters and any separate letter agreements with respect to fees payable to the Administrative Agent and the Collateral Agent constitute the entire agreement among the parties relating to the subject matter hereof and supersede any and all previous agreements and understandings, oral or written, relating to the subject matter hereof. This Agreement shall be binding upon and inure to</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0980"/>
          </w:cols>
          <w:pgMar w:left="440" w:top="269" w:right="479" w:bottom="1440" w:gutter="0" w:footer="0" w:header="0"/>
        </w:sectPr>
      </w:pPr>
    </w:p>
    <w:bookmarkStart w:id="559" w:name="page560"/>
    <w:bookmarkEnd w:id="559"/>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benefit of the parties hereto and their respective successors and permitted assigns. Delivery of an executed counterpart of a signature page to this Agreement by email as a “.pdf” or “.tif” attachment shall be effective as delivery of a manually executed counterpart of this Agreement. The words “execution,” “signed,” “signature,” “delivery,” and words of like import in this Agreement, any other Loan Document or any other document to be signed in connection with this Agreement and the transactions contemplated hereby shall be deemed to include electronic signatures, electronic records or the electronic matching of assignment terms and contract formations on electronic platforms approved by the Administrative Agent and/or the Collateral Agent,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8"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To the extent permitted by applicable Requirements of Law, any provision of any Loan Document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w:t>
      </w:r>
    </w:p>
    <w:p>
      <w:pPr>
        <w:spacing w:after="0" w:line="180"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Right of Setoff</w:t>
      </w:r>
      <w:r>
        <w:rPr>
          <w:rFonts w:ascii="Times New Roman" w:cs="Times New Roman" w:eastAsia="Times New Roman" w:hAnsi="Times New Roman"/>
          <w:sz w:val="18"/>
          <w:szCs w:val="18"/>
          <w:color w:val="auto"/>
        </w:rPr>
        <w:t xml:space="preserve">. At any time when an Event of Default exists, upon the written consent of the Administrative Agent and each Issuing Bank, each Lender is hereby authorized at any time and from time to time, to the fullest extent permitted by applicable Requirements of Law, to set off and apply any and all deposits (general or special, time or demand, provisional or final) at any time held and other obligations (in any currency) at any time owing by such Administrative Agent, the Collateral Agent, such Issuing Bank or such Lender to or for the credit or the account of the Borrower or any other Loan Party (excluding, for the avoidance of doubt, any Settlement Assets except to effect Settlement Payments such Lender is obligated to make to a third party in respect of such Settlement Assets or as otherwise agreed in writing between the Borrower and such Lender) against any of and all the Obligations held by such Administrative Agent, the Collateral Agent, such Issuing Bank or such Lender, irrespective of whether or not such Administrative Agent, the Collateral Agent, such Issuing Bank or such Lender shall have made any demand under the Loan Documents and although such obligations may be contingent or unmatured or are owed to a branch or office of such Lender or Issuing Bank different than the branch or office holding such deposit or obligation on such Indebtedness. Any applicable Lender or Issuing Bank shall promptly notify the Borrower and the Administrative Agent of such set-off or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any delay in giving such notice shall not affect the validity of any such set-off or application under this Section. The rights of each Lender, each Issuing Bank, the Collateral Agent and the Administrative Agent under this Section are in addition to other rights and remedies (including other rights of setoff) which such Lender, such Issuing Bank, the Collateral Agent or such Administrative Agent may have.</w:t>
      </w:r>
    </w:p>
    <w:p>
      <w:pPr>
        <w:spacing w:after="0" w:line="19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10.10. </w:t>
      </w:r>
      <w:r>
        <w:rPr>
          <w:rFonts w:ascii="Times New Roman" w:cs="Times New Roman" w:eastAsia="Times New Roman" w:hAnsi="Times New Roman"/>
          <w:sz w:val="18"/>
          <w:szCs w:val="18"/>
          <w:u w:val="single" w:color="auto"/>
          <w:color w:val="auto"/>
        </w:rPr>
        <w:t>Governing Law;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8" w:lineRule="auto"/>
        <w:tabs>
          <w:tab w:leader="none" w:pos="685"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(OTHER THAN AS EXPRESSLY SET FORTH IN ANY OTHER LOAN DOCUMENT) AND ANY CLAIM, CONTROVERSY OR DISPUTE ARISING UNDER OR RELATED TO THIS AGREEMENT AND THE OTHER LOAN DOCUMENTS (OTHER THAN AS EXPRESSLY SET FORTH IN ANY OTHER LOAN DOCUMENT), WHETHER IN TORT, CONTRACT (AT LAW OR IN EQUITY) OR OTHERWISE, SHALL BE GOVERNED BY, AND CONSTRUED AND INTERPRETED IN ACCORDANCE WITH, THE LAWS OF THE STATE OF NEW YORK.</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1020"/>
          </w:cols>
          <w:pgMar w:left="440" w:top="269" w:right="439" w:bottom="1440" w:gutter="0" w:footer="0" w:header="0"/>
        </w:sectPr>
      </w:pPr>
    </w:p>
    <w:bookmarkStart w:id="560" w:name="page561"/>
    <w:bookmarkEnd w:id="560"/>
    <w:p>
      <w:pPr>
        <w:ind w:right="60" w:firstLine="436"/>
        <w:spacing w:after="0" w:line="269" w:lineRule="auto"/>
        <w:tabs>
          <w:tab w:leader="none" w:pos="695" w:val="left"/>
        </w:tabs>
        <w:numPr>
          <w:ilvl w:val="0"/>
          <w:numId w:val="7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HERETO HEREBY IRREVOCABLY AND UNCONDITIONALLY SUBMITS, FOR ITSELF AND ITS PROPERTY, TO THE EXCLUSIVE JURISDICTION OF ANY U.S. FEDERAL OR NEW YORK STATE COURT SITTING IN THE BOROUGH OF MANHATTAN, IN THE CITY OF NEW YORK (OR ANY APPELLATE COURT THEREFROM) OVER ANY SUIT, ACTION OR PROCEEDING ARISING OUT OF OR RELATING TO ANY LOAN DOCUMENT AND AGREES THAT ALL CLAIMS IN RESPECT OF ANY SUCH ACTION OR PROCEEDING SHALL (EXCEPT AS PERMITTED BELOW) BE HEARD AND DETERMINED IN SUCH NEW YORK STATE OR, TO THE EXTENT PERMITTED BY APPLICABLE REQUIREMENTS OF LAW, FEDERAL COURT. EACH PARTY HERETO AGREES THAT SERVICE OF ANY PROCESS, SUMMONS, NOTICE OR DOCUMENT BY REGISTERED MAIL ADDRESSED TO SUCH PERSON SHALL BE EFFECTIVE SERVICE OF PROCESS AGAINST SUCH PERSON FOR ANY SUIT, ACTION OR PROCEEDING BROUGHT IN ANY SUCH COURT. EACH PARTY HERETO AGREES THAT A FINAL JUDGMENT IN ANY SUCH ACTION OR PROCEEDING MAY BE ENFORCED IN OTHER JURISDICTIONS BY SUIT ON THE JUDGMENT OR IN ANY OTHER MANNER PROVIDED BY APPLICABLE REQUIREMENTS OF LAW. EACH PARTY HERETO AGREES THAT EACH OF THE ADMINISTRATIVE AGENT AND THE COLLATERAL AGENT RETAINS THE RIGHT TO BRING PROCEEDINGS AGAINST ANY LOAN PARTY IN THE COURTS OF ANY OTHER JURISDICTION SOLELY IN CONNECTION WITH THE EXERCISE OF ANY RIGHTS UNDER ANY COLLATERAL DOCUMENT.</w:t>
      </w:r>
    </w:p>
    <w:p>
      <w:pPr>
        <w:spacing w:after="0" w:line="175" w:lineRule="exact"/>
        <w:rPr>
          <w:rFonts w:ascii="Times New Roman" w:cs="Times New Roman" w:eastAsia="Times New Roman" w:hAnsi="Times New Roman"/>
          <w:sz w:val="17"/>
          <w:szCs w:val="17"/>
          <w:color w:val="auto"/>
        </w:rPr>
      </w:pPr>
    </w:p>
    <w:p>
      <w:pPr>
        <w:ind w:right="120" w:firstLine="436"/>
        <w:spacing w:after="0" w:line="256" w:lineRule="auto"/>
        <w:tabs>
          <w:tab w:leader="none" w:pos="685"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EACH PARTY HERETO HEREBY IRREVOCABLY WAIVES, TO THE FULLEST EXTENT PERMITTED BY APPLICABLE REQUIREMENTS OF LAW, ANY CLAIM OR DEFENSE OF AN INCONVENIENT FORUM TO THE MAINTENANCE OF SUCH ACTION, SUIT OR PROCEEDING IN ANY SUCH COURT.</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PERMITTED BY APPLICABLE REQUIREMENTS OF LAW, EACH PARTY HERETO HEREBY IRREVOCABLY WAIVES PERSONAL SERVICE OF ANY AND ALL PROCESS UPON IT AND AGREES THAT ALL SUCH SERVICE OF PROCESS MAY BE MADE BY REGISTERED MAIL (OR ANY SUBSTANTIALLY SIMILAR FORM OF MAIL) DIRECTED TO IT AT ITS ADDRESS FOR NOTICES AS PROVIDED FOR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EACH PARTY HERETO HEREBY WAIVES ANY OBJECTION TO SUCH SERVICE OF PROCESS AND FURTHER IRREVOCABLY WAIVES AND AGREES NOT TO PLEAD OR CLAIM IN ANY ACTION OR PROCEEDING COMMENCED HEREUNDER OR UNDER ANY LOAN DOCUMENT THAT SERVICE OF PROCESS WAS INVALID AND INEFFECTIVE. NOTHING IN THIS AGREEMENT OR ANY OTHER LOAN DOCUMENT WILL AFFECT THE RIGHT OF ANY PARTY TO THIS AGREEMENT TO SERVE PROCESS IN ANY OTHER MANNER PERMITTED BY APPLICABLE REQUIREMENTS OF LAW.</w:t>
      </w:r>
    </w:p>
    <w:p>
      <w:pPr>
        <w:spacing w:after="0" w:line="192"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HERETO HEREBY IRREVOCABLY WAIVES, TO THE FULLEST EXTENT PERMITTED BY APPLICABLE REQUIREMENTS OF LAW, ANY RIGHT IT MAY HAVE TO A TRIAL BY JURY IN ANY SUIT, ACTION, PROCEEDING OR COUNTERCLAIM (WHETHER BASED ON CONTRACT, TORT OR ANY OTHER THEORY, AND WHETHER AT LAW OR IN EQUITY) DIRECTLY OR INDIRECTLY ARISING OUT OF OR RELATING TO THIS AGREEMENT, ANY OTHER LOAN DOCUMENT OR THE TRANSACTIONS CONTEMPLATED HEREBY OR THEREBY. EACH PARTY HERETO (a) CERTIFIES THAT NO REPRESENTATIVE, AGENT OR ATTORNEY OF ANY OTHER PARTY HERETO HAS</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00"/>
          </w:cols>
          <w:pgMar w:left="440" w:top="269" w:right="459" w:bottom="1440" w:gutter="0" w:footer="0" w:header="0"/>
        </w:sectPr>
      </w:pPr>
    </w:p>
    <w:bookmarkStart w:id="561" w:name="page562"/>
    <w:bookmarkEnd w:id="561"/>
    <w:p>
      <w:pPr>
        <w:ind w:right="1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5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each Lender, each Issuing Bank and each Arranger agrees (and each Lender agrees to cause its SPC, if any) to maintain the confidentiality of the Confidential Information (as defined below), except that Confidential Information may be disclosed (a) to its and its Affiliates’ directors, officers, managers, employees, independent auditors, or other experts and advisors, including accountants, legal counsel and other advisors (collectively, the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xml:space="preserve">”) on a confidential “need to know” basis solely in connection with the transactions contemplated hereby and who are informed of the confidential nature of the Confidential Information and are or have been advised of their obligation to keep the Confidential Information of this type confidential;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shall be responsible for its Affiliates’ and their Representatives’ compliance with this paragraph;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unless the Borrower otherwise consents, no such disclosure shall be made by the Administrative Agent, any Arranger, any Issuing Bank, any Lender or any Affiliate or Representative thereof to any Affiliate or Representative of the Administrative Agent, any Arranger, any Issuing Bank or any Lender that is a Disqualified Institution, (b) upon the demand or request of any regulatory or governmental authority having jurisdiction over such Person or its Affiliates (in which case such Person shall, except with respect to any audit or examination conducted by bank accountants or any Governmental Authority or regulatory authority exercising examination or regulatory authority, to the extent permitted by applicable Requirements of Law, (i) inform the Borrower promptly in advance thereof and (ii) ensure that any information so disclosed is accorded confidential treatment), (c) to the extent compelled by legal process in, or reasonably necessary to, the defense of such legal, judicial or administrative proceeding, in any legal, judicial or administrative proceeding or otherwise as required by applicable Requirements of Law (in which case such Person shall (i) to the extent permitted by law, inform the Borrower promptly in advance thereof, (ii) ensure that any such information so disclosed is accorded confidential treatment and (iii) allow the Borrower a reasonable opportunity to object to such disclosure in such proceeding), (d) to any other party to this Agreement, (e) subject to an acknowledgment and agreement by the relevant recipient that the Confidential Information is being disseminated on a confidential basis (on substantially the terms set forth in this paragraph or as otherwise reasonably acceptable to the Borrower and the Administrative Agent) in accordance with the standard syndication process of the Arrangers or market standards for dissemination of the relevant type of information, which shall in any event require “click through” or other affirmative action on the part of the recipient to access the Confidential Information and acknowledge its confidentiality obligations in respect thereof, to (i) any Eligible Assignee of or Participant in, or any prospective Eligible Assignee of or prospective Participant in, any of its rights or obligations under this Agreement, including any SPC (in each case other than a Disqualified Institution), (ii) any pledgee referred to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(iii) any actual or prospective direct or indirect contractual counterparty (or its advisors, but not any Disqualified Institution) to any Derivative Transaction (including any credit default swap) or similar derivative product to which any Loan Party is a party and (iv) subject to the Borrower’s prior approval of the information to be disclosed (not to be unreasonably withheld or delayed), to Moody’s or S&amp;P on a confidential basis in connection with obtaining or maintaining ratings as required under </w:t>
      </w:r>
      <w:r>
        <w:rPr>
          <w:rFonts w:ascii="Times New Roman" w:cs="Times New Roman" w:eastAsia="Times New Roman" w:hAnsi="Times New Roman"/>
          <w:sz w:val="18"/>
          <w:szCs w:val="18"/>
          <w:u w:val="single" w:color="auto"/>
          <w:color w:val="auto"/>
        </w:rPr>
        <w:t>Section 5.13</w:t>
      </w:r>
      <w:r>
        <w:rPr>
          <w:rFonts w:ascii="Times New Roman" w:cs="Times New Roman" w:eastAsia="Times New Roman" w:hAnsi="Times New Roman"/>
          <w:sz w:val="18"/>
          <w:szCs w:val="18"/>
          <w:color w:val="auto"/>
        </w:rPr>
        <w:t>, (f) with the prior written consent of the Borrower and (g) to the extent the Confidential Information becomes publicly available other than as a result of a breach of this Section by such Person, its Affiliates or their respective Representatives. In addition, the Administrative Agent, the Collateral Agent or any Lender may disclose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00"/>
          </w:cols>
          <w:pgMar w:left="440" w:top="269" w:right="459" w:bottom="1440" w:gutter="0" w:footer="0" w:header="0"/>
        </w:sectPr>
      </w:pPr>
    </w:p>
    <w:bookmarkStart w:id="562" w:name="page563"/>
    <w:bookmarkEnd w:id="562"/>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existence of this Agreement and publicly available information about this Agreement to market data collectors and similar service providers to the lending industry (including to the CUSIP Service Bureau in connection with the issuance and monitoring of CUSIP numbers with respect to the facilities). For purposes of this Section,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means all information relating to the Borrower and/or any of its subsidiaries and their respective businesses, the Transactions (including any information obtained by the Administrative Agent, the Collateral Agent, any Issuing Bank, any Lender or any Arranger, or any of their respective Affiliates or Representatives, based on a review of any books and records relating to the Borrower and/or any of its subsidiaries and their respective Affiliates from time to time, including prior to the date hereof) other than any such information that is publicly available to the Administrative Agent or the Collateral Agent or any Arranger, Issuing Bank, or Lender on a non-confidential basis prior to disclosure by the Borrower or any of its subsidiaries. For the avoidance of doubt, in no event shall any disclosure of any Confidential Information be made to a Person that is a Disqualified Institution at the time of disclosure. The respective obligations of the Administrative Agent, each Lender, each Issuing Bank and each Arranger under this Section shall survive, to the extent applicable to such Person, (x) the occurrence of the Termination Date,</w:t>
      </w:r>
    </w:p>
    <w:p>
      <w:pPr>
        <w:spacing w:after="0" w:line="4" w:lineRule="exact"/>
        <w:rPr>
          <w:sz w:val="20"/>
          <w:szCs w:val="20"/>
          <w:color w:val="auto"/>
        </w:rPr>
      </w:pPr>
    </w:p>
    <w:p>
      <w:pPr>
        <w:ind w:left="4" w:right="120" w:hanging="4"/>
        <w:spacing w:after="0" w:line="260" w:lineRule="auto"/>
        <w:tabs>
          <w:tab w:leader="none" w:pos="259"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assignment of its rights and obligations under this Agreement and (z) the resignation or removal of the Administrative Agent, any Issuing Bank or any Lender.</w:t>
      </w:r>
    </w:p>
    <w:p>
      <w:pPr>
        <w:spacing w:after="0" w:line="181"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impede or prohibit the Borrower, any of its affiliates, or any of their officers, directors or employees from voluntarily disclosing or providing any information within the scope of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to any governmental, regulatory or self-regulatory organization (any such entity, a “</w:t>
      </w:r>
      <w:r>
        <w:rPr>
          <w:rFonts w:ascii="Times New Roman" w:cs="Times New Roman" w:eastAsia="Times New Roman" w:hAnsi="Times New Roman"/>
          <w:sz w:val="18"/>
          <w:szCs w:val="18"/>
          <w:b w:val="1"/>
          <w:bCs w:val="1"/>
          <w:color w:val="auto"/>
        </w:rPr>
        <w:t>Regulatory Authority</w:t>
      </w:r>
      <w:r>
        <w:rPr>
          <w:rFonts w:ascii="Times New Roman" w:cs="Times New Roman" w:eastAsia="Times New Roman" w:hAnsi="Times New Roman"/>
          <w:sz w:val="18"/>
          <w:szCs w:val="18"/>
          <w:color w:val="auto"/>
        </w:rPr>
        <w:t xml:space="preserve">”) to the extent that any such impediment to or prohibition on disclosure set forth in this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xml:space="preserve"> shall be prohibited by the laws or regulations applicable to such Regulatory Authority.</w:t>
      </w:r>
    </w:p>
    <w:p>
      <w:pPr>
        <w:spacing w:after="0" w:line="180" w:lineRule="exact"/>
        <w:rPr>
          <w:sz w:val="20"/>
          <w:szCs w:val="20"/>
          <w:color w:val="auto"/>
        </w:rPr>
      </w:pPr>
    </w:p>
    <w:p>
      <w:pPr>
        <w:ind w:left="4" w:right="6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10.14. </w:t>
      </w:r>
      <w:r>
        <w:rPr>
          <w:rFonts w:ascii="Times New Roman" w:cs="Times New Roman" w:eastAsia="Times New Roman" w:hAnsi="Times New Roman"/>
          <w:sz w:val="17"/>
          <w:szCs w:val="17"/>
          <w:u w:val="single" w:color="auto"/>
          <w:color w:val="auto"/>
        </w:rPr>
        <w:t>No Fiduciary Duty</w:t>
      </w:r>
      <w:r>
        <w:rPr>
          <w:rFonts w:ascii="Times New Roman" w:cs="Times New Roman" w:eastAsia="Times New Roman" w:hAnsi="Times New Roman"/>
          <w:sz w:val="17"/>
          <w:szCs w:val="17"/>
          <w:color w:val="auto"/>
        </w:rPr>
        <w:t>. Each of the Administrative Agent, the Collateral Agent, the Arrangers, each Lender, each Issuing Bank and their respective Affiliates (collectively, solely for purposes of this paragraph, the “</w:t>
      </w:r>
      <w:r>
        <w:rPr>
          <w:rFonts w:ascii="Times New Roman" w:cs="Times New Roman" w:eastAsia="Times New Roman" w:hAnsi="Times New Roman"/>
          <w:sz w:val="17"/>
          <w:szCs w:val="17"/>
          <w:b w:val="1"/>
          <w:bCs w:val="1"/>
          <w:color w:val="auto"/>
        </w:rPr>
        <w:t>Lenders</w:t>
      </w:r>
      <w:r>
        <w:rPr>
          <w:rFonts w:ascii="Times New Roman" w:cs="Times New Roman" w:eastAsia="Times New Roman" w:hAnsi="Times New Roman"/>
          <w:sz w:val="17"/>
          <w:szCs w:val="17"/>
          <w:color w:val="auto"/>
        </w:rPr>
        <w:t>”), may have economic interests that conflict with those of the Loan Parties, their stockholders and/or their respective affiliates. Each Loan Party agrees that nothing in the Loan Documents or otherwise will be deemed to create an advisory, fiduciary or agency relationship or fiduciary or other implied duty between any Lender, on the one hand, and such Loan Party, its respective stockholders or its respective affiliates, on the other. Each Loan Party acknowledges and agrees that: (i) the transactions contemplated by the Loan Documents (including the exercise of rights and remedies hereunder and thereunder) are arm’s-length commercial transactions between the Lenders, on the one hand, and the Loan Parties, on the other, and (ii) in connection therewith and with the process leading thereto, (x) no Lender, in its capacity as such, has assumed an advisory or fiduciary responsibility in favor of any Loan Party, its respective stockholders or its respective affiliates with respect to the transactions contemplated hereby (or the exercise of rights or remedies with respect thereto) or the process leading thereto (irrespective of whether any Lender has advised, is currently advising or will advise any Loan Party, its respective stockholders or its respective Affiliates on other matters) or any other obligation to any Loan Party except the obligations expressly set forth in the Loan Documents and</w:t>
      </w:r>
    </w:p>
    <w:p>
      <w:pPr>
        <w:spacing w:after="0" w:line="2" w:lineRule="exact"/>
        <w:rPr>
          <w:sz w:val="20"/>
          <w:szCs w:val="20"/>
          <w:color w:val="auto"/>
        </w:rPr>
      </w:pPr>
    </w:p>
    <w:p>
      <w:pPr>
        <w:ind w:left="4" w:right="360" w:hanging="4"/>
        <w:spacing w:after="0" w:line="253" w:lineRule="auto"/>
        <w:tabs>
          <w:tab w:leader="none" w:pos="259"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in its capacity as such, is acting solely as principal and not as the agent or fiduciary of such Loan Party, its respective management, stockholders, creditors or any other Person. Each Loan Party acknowledges and agrees that such Loan Party has consulted its own legal, tax and financial advisors to the extent it deemed appropriate and that it is responsible for making its own independent judgment with respect to such transactions and the process leading thereto.</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04"/>
          </w:cols>
          <w:pgMar w:left="436" w:top="269" w:right="459" w:bottom="1440" w:gutter="0" w:footer="0" w:header="0"/>
        </w:sectPr>
      </w:pPr>
    </w:p>
    <w:bookmarkStart w:id="563" w:name="page564"/>
    <w:bookmarkEnd w:id="56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10.15. </w:t>
      </w:r>
      <w:r>
        <w:rPr>
          <w:rFonts w:ascii="Times New Roman" w:cs="Times New Roman" w:eastAsia="Times New Roman" w:hAnsi="Times New Roman"/>
          <w:sz w:val="18"/>
          <w:szCs w:val="18"/>
          <w:u w:val="single" w:color="auto"/>
          <w:color w:val="auto"/>
        </w:rPr>
        <w:t>Several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82" w:lineRule="auto"/>
        <w:tabs>
          <w:tab w:leader="none" w:pos="685" w:val="left"/>
        </w:tabs>
        <w:numPr>
          <w:ilvl w:val="0"/>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obligations of the Lenders hereunder are several and not joint and the failure of any Lender to make any Loan, issue any Letter of Credit or perform any of its obligations hereunder shall not relieve any other Lender from any of its obligations hereunder.</w:t>
      </w:r>
    </w:p>
    <w:p>
      <w:pPr>
        <w:spacing w:after="0" w:line="161" w:lineRule="exact"/>
        <w:rPr>
          <w:rFonts w:ascii="Times New Roman" w:cs="Times New Roman" w:eastAsia="Times New Roman" w:hAnsi="Times New Roman"/>
          <w:sz w:val="18"/>
          <w:szCs w:val="18"/>
          <w:color w:val="auto"/>
        </w:rPr>
      </w:pPr>
    </w:p>
    <w:p>
      <w:pPr>
        <w:jc w:val="both"/>
        <w:ind w:right="140" w:firstLine="436"/>
        <w:spacing w:after="0" w:line="272" w:lineRule="auto"/>
        <w:tabs>
          <w:tab w:leader="none" w:pos="695" w:val="left"/>
        </w:tabs>
        <w:numPr>
          <w:ilvl w:val="0"/>
          <w:numId w:val="7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respective obligations of the Borrowers hereunder are several and not joint;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event that, if as the result of an addition of an Additional Borrower more than one Borrower is liable (as “borrower”) in respect of the Obligations of any Class, such Borrowers shall be jointly and severally liable with respect to the Obligations of such Class unless provided to the contrary in the applicable Additional Borrower Agreement.</w:t>
      </w:r>
    </w:p>
    <w:p>
      <w:pPr>
        <w:spacing w:after="0" w:line="1" w:lineRule="exact"/>
        <w:rPr>
          <w:rFonts w:ascii="Times New Roman" w:cs="Times New Roman" w:eastAsia="Times New Roman" w:hAnsi="Times New Roman"/>
          <w:sz w:val="17"/>
          <w:szCs w:val="17"/>
          <w:color w:val="auto"/>
        </w:rPr>
      </w:pPr>
    </w:p>
    <w:p>
      <w:pPr>
        <w:ind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References herein to “Obligations of the Borrowers” or similar words of import are used solely for administrative convenience and are not intended to create liability that is joint and several.</w:t>
      </w:r>
    </w:p>
    <w:p>
      <w:pPr>
        <w:spacing w:after="0" w:line="181"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10.16. </w:t>
      </w:r>
      <w:r>
        <w:rPr>
          <w:rFonts w:ascii="Times New Roman" w:cs="Times New Roman" w:eastAsia="Times New Roman" w:hAnsi="Times New Roman"/>
          <w:sz w:val="17"/>
          <w:szCs w:val="17"/>
          <w:u w:val="single" w:color="auto"/>
          <w:color w:val="auto"/>
        </w:rPr>
        <w:t>USA PATRIOT Act; Beneficial Ownership</w:t>
      </w:r>
      <w:r>
        <w:rPr>
          <w:rFonts w:ascii="Times New Roman" w:cs="Times New Roman" w:eastAsia="Times New Roman" w:hAnsi="Times New Roman"/>
          <w:sz w:val="17"/>
          <w:szCs w:val="17"/>
          <w:color w:val="auto"/>
        </w:rPr>
        <w:t>. Each Lender that is subject to the requirements of the USA PATRIOT Act or the Beneficial Ownership Regulation hereby notifies the Loan Parties that, pursuant to the requirements of the USA PATRIOT Act or the Beneficial Ownership Regulation (if applicable with respect to the Borrower and its Subsidiaries), it is required to obtain, verify and record information that identifies each Loan Party, which information includes the name, address and tax identification number of such Loan Party and other information that will allow such Lender to identify such Loan Party in accordance with the USA PATRIOT Act or the Beneficial Ownership Regulation (as applicable).</w:t>
      </w:r>
    </w:p>
    <w:p>
      <w:pPr>
        <w:spacing w:after="0" w:line="168"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Each Loan Party, each Issuing Bank and each Lender hereby acknowledges and agrees that the Administrative Agent, the Collateral Agent and/or their respective Affiliates from time to time may hold investments in, make other loans to or have other relationships with any of the Loan Parties and their respective Affiliates.</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Appointment for Perfection</w:t>
      </w:r>
      <w:r>
        <w:rPr>
          <w:rFonts w:ascii="Times New Roman" w:cs="Times New Roman" w:eastAsia="Times New Roman" w:hAnsi="Times New Roman"/>
          <w:sz w:val="18"/>
          <w:szCs w:val="18"/>
          <w:color w:val="auto"/>
        </w:rPr>
        <w:t>. Each Lender hereby appoints each other Lender and each Issuing Bank as its agent for the purpose of perfecting Liens for the benefit of the Collateral Agent, the Administrative Agent, the Issuing Banks and the Lenders, in assets which, in accordance with Article 10 of the UCC or any other applicable Requirements of Law can be perfected only by possession. If any Lender or Issuing Bank (other than the Collateral Agent) obtains possession of any Collateral, such Lender or such Issuing Bank shall notify the Collateral Agent thereof and, promptly upon the Collateral Agent’s request therefor, shall deliver such Collateral to the Collateral Agent or otherwise deal with such Collateral in accordance with the Collateral Agent’s instructions.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herein to the contrary, if at any time the interest rate applicable to any Loan or Letter of Credit, together with all fees, charges and other amounts which are treated as interest on such Loan or Letter of Credit under applicable law (collectively, the “</w:t>
      </w:r>
      <w:r>
        <w:rPr>
          <w:rFonts w:ascii="Times New Roman" w:cs="Times New Roman" w:eastAsia="Times New Roman" w:hAnsi="Times New Roman"/>
          <w:sz w:val="18"/>
          <w:szCs w:val="18"/>
          <w:b w:val="1"/>
          <w:bCs w:val="1"/>
          <w:color w:val="auto"/>
        </w:rPr>
        <w:t>Applicable 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which may be contracted for, charged, taken, received or reserved by the Lender or Issuing Bank holding such Loan or Letter of Credit in accordance with applicable Requirements of Law, the rate of interest payable in respect of such Loan or Letter of Credit hereunder, together with all Applicable Charges payable in respect thereof, shall be limited to the Maximum Rate and, to the extent lawful, the interest and Applicable Charges that would have been payable in respect of such Loan or Letter of Credit but were not payable as a result of the operation of this Section shall be cumulated and the interest and Applicable Charges payable to such Lender or Issuing Bank in respect of other Loans or Letters of Credit or periods shall be increased (but not above the Maximum Rate therefor) until such cumulated amount, together with interest thereon at the Federal Funds Effective Rate to the date of repayment, shall have been received by such Lender or Issuing Bank.</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1000"/>
          </w:cols>
          <w:pgMar w:left="440" w:top="269" w:right="459" w:bottom="1440" w:gutter="0" w:footer="0" w:header="0"/>
        </w:sectPr>
      </w:pPr>
    </w:p>
    <w:bookmarkStart w:id="564" w:name="page565"/>
    <w:bookmarkEnd w:id="56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10.20.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5" w:lineRule="auto"/>
        <w:tabs>
          <w:tab w:leader="none" w:pos="685"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the purpose of obtaining or enforcing judgment against any Loan Party in any court in any jurisdiction, it becomes necessary to convert into any other currency (such other currency being hereinafter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referred to as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an amount due under any Loan Document in any currency (the “</w:t>
      </w:r>
      <w:r>
        <w:rPr>
          <w:rFonts w:ascii="Times New Roman" w:cs="Times New Roman" w:eastAsia="Times New Roman" w:hAnsi="Times New Roman"/>
          <w:sz w:val="18"/>
          <w:szCs w:val="18"/>
          <w:b w:val="1"/>
          <w:bCs w:val="1"/>
          <w:color w:val="auto"/>
        </w:rPr>
        <w:t>Obligation Currency</w:t>
      </w:r>
      <w:r>
        <w:rPr>
          <w:rFonts w:ascii="Times New Roman" w:cs="Times New Roman" w:eastAsia="Times New Roman" w:hAnsi="Times New Roman"/>
          <w:sz w:val="18"/>
          <w:szCs w:val="18"/>
          <w:color w:val="auto"/>
        </w:rPr>
        <w:t xml:space="preserve">”) other than the Judgment Currency, the conversion shall be made at the rate of exchange prevailing on the Business Day immediately preceding the date of actual payment of the amount due, in the case of any proceeding in the courts of any jurisdiction that will give effect to such conversion being made on such date, or the date on which the judgment is given, in the case of any proceeding in the courts of any other jurisdiction (the applicable date as of which such conversion is made pursuant to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being hereinafter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referred to as the “</w:t>
      </w:r>
      <w:r>
        <w:rPr>
          <w:rFonts w:ascii="Times New Roman" w:cs="Times New Roman" w:eastAsia="Times New Roman" w:hAnsi="Times New Roman"/>
          <w:sz w:val="18"/>
          <w:szCs w:val="18"/>
          <w:b w:val="1"/>
          <w:bCs w:val="1"/>
          <w:color w:val="auto"/>
        </w:rPr>
        <w:t>Judgment Conversion Date</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the case of any proceeding in the court of any jurisdiction referred to in </w:t>
      </w:r>
      <w:r>
        <w:rPr>
          <w:rFonts w:ascii="Times New Roman" w:cs="Times New Roman" w:eastAsia="Times New Roman" w:hAnsi="Times New Roman"/>
          <w:sz w:val="18"/>
          <w:szCs w:val="18"/>
          <w:u w:val="single" w:color="auto"/>
          <w:color w:val="auto"/>
        </w:rPr>
        <w:t>Section 10.20(a)</w:t>
      </w:r>
      <w:r>
        <w:rPr>
          <w:rFonts w:ascii="Times New Roman" w:cs="Times New Roman" w:eastAsia="Times New Roman" w:hAnsi="Times New Roman"/>
          <w:sz w:val="18"/>
          <w:szCs w:val="18"/>
          <w:color w:val="auto"/>
        </w:rPr>
        <w:t xml:space="preserve">, there is a change in the rate of exchange prevailing between the Judgment Conversion Date and the date of actual receipt for value of the amount due, then the applicable Loan Party or Loan Parties shall pay such additional amount (if any, but in any event not a lesser amount) as may be necessary to ensure that the amount actually received in the Judgment Currency, when converted at the rate of exchange prevailing on the date of payment, will provide the amount of the Obligation Currency which could have been purchased with the amount of the Judgment Currency stipulated in the judgment or judicial order at the rate of exchange prevailing on the Judgment Conversion Date. Any amount due from any Loan Party under this </w:t>
      </w:r>
      <w:r>
        <w:rPr>
          <w:rFonts w:ascii="Times New Roman" w:cs="Times New Roman" w:eastAsia="Times New Roman" w:hAnsi="Times New Roman"/>
          <w:sz w:val="18"/>
          <w:szCs w:val="18"/>
          <w:u w:val="single" w:color="auto"/>
          <w:color w:val="auto"/>
        </w:rPr>
        <w:t>Section 10.20(b)</w:t>
      </w:r>
      <w:r>
        <w:rPr>
          <w:rFonts w:ascii="Times New Roman" w:cs="Times New Roman" w:eastAsia="Times New Roman" w:hAnsi="Times New Roman"/>
          <w:sz w:val="18"/>
          <w:szCs w:val="18"/>
          <w:color w:val="auto"/>
        </w:rPr>
        <w:t xml:space="preserve"> shall be due as a separate debt and shall not be affected by judgment being obtained for any other amounts due under or in respect of any of the Loan Documents.</w:t>
      </w:r>
    </w:p>
    <w:p>
      <w:pPr>
        <w:spacing w:after="0" w:line="188"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term “rate of exchange” in this </w:t>
      </w:r>
      <w:r>
        <w:rPr>
          <w:rFonts w:ascii="Times New Roman" w:cs="Times New Roman" w:eastAsia="Times New Roman" w:hAnsi="Times New Roman"/>
          <w:sz w:val="18"/>
          <w:szCs w:val="18"/>
          <w:u w:val="single" w:color="auto"/>
          <w:color w:val="auto"/>
        </w:rPr>
        <w:t>Section 10.20</w:t>
      </w:r>
      <w:r>
        <w:rPr>
          <w:rFonts w:ascii="Times New Roman" w:cs="Times New Roman" w:eastAsia="Times New Roman" w:hAnsi="Times New Roman"/>
          <w:sz w:val="18"/>
          <w:szCs w:val="18"/>
          <w:color w:val="auto"/>
        </w:rPr>
        <w:t xml:space="preserve"> means the rate of exchange at which Administrative Agent, on the relevant date at or about 12:00 noon (New York time), would be prepared to sell, in accordance with Administrative Agent’s normal course foreign currency exchange practices, the Obligation Currency against the Judgment Currency.</w:t>
      </w:r>
    </w:p>
    <w:p>
      <w:pPr>
        <w:spacing w:after="0" w:line="176" w:lineRule="exact"/>
        <w:rPr>
          <w:sz w:val="20"/>
          <w:szCs w:val="20"/>
          <w:color w:val="auto"/>
        </w:rPr>
      </w:pPr>
    </w:p>
    <w:p>
      <w:pPr>
        <w:ind w:right="2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10.21.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xml:space="preserve">. Notwithstanding anything to the contrary contained herein or in any other Loan Document (but excluding any Acceptable Intercreditor Agreement), in the event of any conflict or inconsistency between this Agreement and any other Loan Document (excluding any Acceptable Intercreditor Agreement), the terms of this Agreement shall govern and control;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any conflict or inconsistency between any Acceptable Intercreditor Agreement, on the one hand, and any other Loan Document, on the other hand, the terms of such Acceptable Intercreditor Agreement shall govern and control.</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Release of Guarantors and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to the contrary, (x) any Subsidiary Guarantor shall automatically be released from its obligations hereunder and under the other Loan Documents (and its Loan Guarantee and any Liens on its property securing any of the Obligations shall be automatically released) (i) upon the consummation of any permitted transaction or series of related transactions or the occurrence of any other permitted event or circumstance if as a result thereof such Subsidiary Guarantor ceases to be a Restricted Subsidiary (including by merger, amalgamation or dissolution) or becomes an Excluded Subsidiary as a result of a single transaction or series of related transactions or other event or circumstance permitted hereunder or (ii) upon the occurrence of the Termination Date and/or (y) any Subsidiary Guarantor that qualifies as an “Excluded Subsidiary” but was made a Subsidiary Guarantor at the option of the Borrower in each case shall be released from its obligations hereunder and under the other Loan Documents (and its Loan Guarantee and any Liens on its property securing any of the Obligations shall be automatically released) upon delivery of a written release request by the Borrower to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Subsidiary Guarantor shall be released from its obligations under the Loan Documents solely by reason of such Subsidiary Guarantor</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0980"/>
          </w:cols>
          <w:pgMar w:left="440" w:top="269" w:right="479" w:bottom="1440" w:gutter="0" w:footer="0" w:header="0"/>
        </w:sectPr>
      </w:pPr>
    </w:p>
    <w:bookmarkStart w:id="565" w:name="page566"/>
    <w:bookmarkEnd w:id="565"/>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becoming or being an Excluded Subsidiary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unless either (x) it is no longer a direct or indirect Subsidiary of the Borrower or (y) such Subsidiary Guarantor ceases to be a Wholly-Owned Subsidiary as a result of a sale, issuance or transfer of Capital Stock to (A) a third party that is not an Affiliate of the Borrower or (B) an Affiliate of the Borrower if, in the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such sale or transfer is made for a bona fide business purpose of the Borrower and its Subsidiaries and not for the primary purpose of evading the Collateral and Guarantee Requirement (as determined by the Borrower in good faith).</w:t>
      </w:r>
    </w:p>
    <w:p>
      <w:pPr>
        <w:spacing w:after="0" w:line="183" w:lineRule="exact"/>
        <w:rPr>
          <w:sz w:val="20"/>
          <w:szCs w:val="20"/>
          <w:color w:val="auto"/>
        </w:rPr>
      </w:pPr>
    </w:p>
    <w:p>
      <w:pPr>
        <w:ind w:firstLine="436"/>
        <w:spacing w:after="0" w:line="252" w:lineRule="auto"/>
        <w:tabs>
          <w:tab w:leader="none" w:pos="695"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xml:space="preserve"> to the contrary, any Lien on any asset or property granted to or held by the Administrative Agent under any Loan Document shall be automatically released without the need for further action by any Person (i) upon the occurrence of the Termination Date, (ii) upon the sale, transfer or other Disposition of such asset or property as part of or in connection with any sale, transfer or other Disposition or Investment permitted under the Loan Documents to a Person that is not a Loan Party (or, if to a Loan Party, if such transferee Loan Party grants perfected Lien on such property to the Collateral Agent in compliance with the Collateral and Guarantee Requirement and </w:t>
      </w:r>
      <w:r>
        <w:rPr>
          <w:rFonts w:ascii="Times New Roman" w:cs="Times New Roman" w:eastAsia="Times New Roman" w:hAnsi="Times New Roman"/>
          <w:sz w:val="18"/>
          <w:szCs w:val="18"/>
          <w:u w:val="single" w:color="auto"/>
          <w:color w:val="auto"/>
        </w:rPr>
        <w:t>Section 5.12 or during such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longer period as agreed to by the Collateral Agent</w:t>
      </w:r>
      <w:r>
        <w:rPr>
          <w:rFonts w:ascii="Times New Roman" w:cs="Times New Roman" w:eastAsia="Times New Roman" w:hAnsi="Times New Roman"/>
          <w:sz w:val="18"/>
          <w:szCs w:val="18"/>
          <w:color w:val="auto"/>
        </w:rPr>
        <w:t xml:space="preserve">), (iii) upon such asset or property becoming an Excluded Asset or if such asset or property does not constitute (or ceases to constitute) Collateral, (iv) if the property subject to such Lien is owned by a Borrower or Subsidiary Guarantor, upon the release of such Borrower or Subsidiary Guarantor in accordance with </w:t>
      </w:r>
      <w:r>
        <w:rPr>
          <w:rFonts w:ascii="Times New Roman" w:cs="Times New Roman" w:eastAsia="Times New Roman" w:hAnsi="Times New Roman"/>
          <w:sz w:val="18"/>
          <w:szCs w:val="18"/>
          <w:u w:val="single" w:color="auto"/>
          <w:color w:val="auto"/>
        </w:rPr>
        <w:t>Section 10.22(a)</w:t>
      </w:r>
      <w:r>
        <w:rPr>
          <w:rFonts w:ascii="Times New Roman" w:cs="Times New Roman" w:eastAsia="Times New Roman" w:hAnsi="Times New Roman"/>
          <w:sz w:val="18"/>
          <w:szCs w:val="18"/>
          <w:color w:val="auto"/>
        </w:rPr>
        <w:t xml:space="preserve">, (v) as provided for under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or as provided for in any other Loan Document or (vi) if approved, authorized or ratified in writing by the Required Lenders (or such other number or percentage of Lenders as shall be necessary under the relevant circumstances as provided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Without limiting the foregoing, in the event that Receivables Facility Assets become subject to a Qualified Receivables Facility, whether by transfer or conveyance or by placing a security interest, trust or other encumbrance required by a Qualified Receivables Facility with respect to such Receivables Facility Assets, the Liens under the Loan Documents on such Receivables Facility Assets (including proceeds thereof and any deposit accounts holding exclusively such proceeds) shall be automatically released (or such Receivables Facility Assets, proceeds or deposit accounts re-assigned). Each Secured Party hereby consents to any release or re-assignment contemplated by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and any steps any Agent may take or request to give effect to such release or re-assignment under the governing law of such Lien.</w:t>
      </w:r>
    </w:p>
    <w:p>
      <w:pPr>
        <w:spacing w:after="0" w:line="194" w:lineRule="exact"/>
        <w:rPr>
          <w:rFonts w:ascii="Times New Roman" w:cs="Times New Roman" w:eastAsia="Times New Roman" w:hAnsi="Times New Roman"/>
          <w:sz w:val="18"/>
          <w:szCs w:val="18"/>
          <w:color w:val="auto"/>
        </w:rPr>
      </w:pPr>
    </w:p>
    <w:p>
      <w:pPr>
        <w:ind w:right="20" w:firstLine="436"/>
        <w:spacing w:after="0" w:line="253" w:lineRule="auto"/>
        <w:tabs>
          <w:tab w:leader="none" w:pos="685"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such release referred to in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the Administrative Agent shall, subject to receipt of an officer’s certificate from the Borrower certifying that such transaction and release are permitted hereunder, promptly execute and deliver to the relevant Loan Party, at such Loan Party’s expense, all documents that such Loan Party shall reasonably request to evidence termination or release. Any execution and delivery of any document pursuant to the preceding sentence of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shall be without recourse to or warranty by the Administrative Agent. Notwithstanding the foregoing, no Subsidiary Guarantor shall be released solely on the basis of the applicable Guarantor ceasing to be a Wholly-Owned Subsidiary (unless the Guarantor shall no longer be a Restricted Subsidiary of the Borrower) unless (I) such Guarantor ceases to be a Restricted Subsidiary that is a Wholly-Owned Subsidiary as a result of (x) the issuance or other Disposition of equity interests of such Subsidiary in either case to a Person that is not a Loan Party or an Affiliate of a Loan Party, (y) such issuance or Disposition was not entered into for the primary purpose of such Subsidiary’s ceasing to constitute a Loan Party or to invoke the release provisions of this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 xml:space="preserve"> and (z) such issuance or Disposition was pursuant to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joint venture (as determined by the Borrower in good faith) and is otherwise permitted to exist under the other terms of this Agreement and (II) at the time of such transaction, no Specified Event of Default has occurred and is continuing or would immediately result therefrom.</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00"/>
          </w:cols>
          <w:pgMar w:left="440" w:top="269" w:right="459" w:bottom="1440" w:gutter="0" w:footer="0" w:header="0"/>
        </w:sectPr>
      </w:pPr>
    </w:p>
    <w:bookmarkStart w:id="566" w:name="page567"/>
    <w:bookmarkEnd w:id="566"/>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10.23.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each party hereto agrees and consents to, and acknowledges and agrees to be bound by:</w:t>
      </w:r>
    </w:p>
    <w:p>
      <w:pPr>
        <w:spacing w:after="0" w:line="72" w:lineRule="exact"/>
        <w:rPr>
          <w:sz w:val="20"/>
          <w:szCs w:val="20"/>
          <w:color w:val="auto"/>
        </w:rPr>
      </w:pPr>
    </w:p>
    <w:p>
      <w:pPr>
        <w:ind w:right="340" w:firstLine="436"/>
        <w:spacing w:after="0" w:line="282" w:lineRule="auto"/>
        <w:tabs>
          <w:tab w:leader="none" w:pos="685"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78"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436"/>
        <w:spacing w:after="0" w:line="261" w:lineRule="auto"/>
        <w:tabs>
          <w:tab w:leader="none" w:pos="685"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56" w:lineRule="auto"/>
        <w:tabs>
          <w:tab w:leader="none" w:pos="1128" w:val="left"/>
        </w:tabs>
        <w:numPr>
          <w:ilvl w:val="1"/>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00"/>
          </w:cols>
          <w:pgMar w:left="440" w:top="269" w:right="459" w:bottom="1440" w:gutter="0" w:footer="0" w:header="0"/>
        </w:sectPr>
      </w:pPr>
    </w:p>
    <w:bookmarkStart w:id="567" w:name="page568"/>
    <w:bookmarkEnd w:id="567"/>
    <w:p>
      <w:pPr>
        <w:ind w:left="440" w:right="160" w:firstLine="419"/>
        <w:spacing w:after="0" w:line="255" w:lineRule="auto"/>
        <w:tabs>
          <w:tab w:leader="none" w:pos="1178"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among the Administrative Agent and the Collateral Agent, in their sole discretion, and such Lender.</w:t>
      </w:r>
    </w:p>
    <w:p>
      <w:pPr>
        <w:spacing w:after="0" w:line="16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unless either (1) the preceding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is true with respect to a Lender or (2) a Lender has provided another representation, warranty and covenant in accordance with the preceding </w:t>
      </w:r>
      <w:r>
        <w:rPr>
          <w:rFonts w:ascii="Times New Roman" w:cs="Times New Roman" w:eastAsia="Times New Roman" w:hAnsi="Times New Roman"/>
          <w:sz w:val="18"/>
          <w:szCs w:val="18"/>
          <w:u w:val="single" w:color="auto"/>
          <w:color w:val="auto"/>
        </w:rPr>
        <w:t>clause (a)(iv)</w:t>
      </w:r>
      <w:r>
        <w:rPr>
          <w:rFonts w:ascii="Times New Roman" w:cs="Times New Roman" w:eastAsia="Times New Roman" w:hAnsi="Times New Roman"/>
          <w:sz w:val="18"/>
          <w:szCs w:val="18"/>
          <w:color w:val="auto"/>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the Collateral Agent, and not, for the avoidance of doubt, to or for the benefit of the Borrower or any other Loan Party, that neither the Administrative Agent nor the Collateral Agent is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or the Collateral Agent under this Agreement, any Loan Document or any documents related hereto or thereto).</w:t>
      </w:r>
    </w:p>
    <w:p>
      <w:pPr>
        <w:spacing w:after="0" w:line="19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10.25. </w:t>
      </w:r>
      <w:r>
        <w:rPr>
          <w:rFonts w:ascii="Times New Roman" w:cs="Times New Roman" w:eastAsia="Times New Roman" w:hAnsi="Times New Roman"/>
          <w:sz w:val="18"/>
          <w:szCs w:val="18"/>
          <w:u w:val="single" w:color="auto"/>
          <w:color w:val="auto"/>
        </w:rPr>
        <w:t>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Hedge Agreements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7" w:lineRule="exact"/>
        <w:rPr>
          <w:sz w:val="20"/>
          <w:szCs w:val="20"/>
          <w:color w:val="auto"/>
        </w:rPr>
      </w:pPr>
    </w:p>
    <w:p>
      <w:pPr>
        <w:ind w:firstLine="436"/>
        <w:spacing w:after="0" w:line="254" w:lineRule="auto"/>
        <w:tabs>
          <w:tab w:leader="none" w:pos="685"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00"/>
          </w:cols>
          <w:pgMar w:left="440" w:top="269" w:right="459" w:bottom="1440" w:gutter="0" w:footer="0" w:header="0"/>
        </w:sectPr>
      </w:pPr>
    </w:p>
    <w:bookmarkStart w:id="568" w:name="page569"/>
    <w:bookmarkEnd w:id="568"/>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As used in this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 the following terms have the following meanings:</w:t>
      </w:r>
    </w:p>
    <w:p>
      <w:pPr>
        <w:spacing w:after="0" w:line="113" w:lineRule="exact"/>
        <w:rPr>
          <w:sz w:val="20"/>
          <w:szCs w:val="20"/>
          <w:color w:val="auto"/>
        </w:rPr>
      </w:pPr>
    </w:p>
    <w:p>
      <w:pPr>
        <w:ind w:left="440" w:right="1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w:t>
      </w:r>
    </w:p>
    <w:p>
      <w:pPr>
        <w:spacing w:after="0" w:line="121" w:lineRule="exact"/>
        <w:rPr>
          <w:sz w:val="20"/>
          <w:szCs w:val="20"/>
          <w:color w:val="auto"/>
        </w:rPr>
      </w:pPr>
    </w:p>
    <w:p>
      <w:pPr>
        <w:ind w:left="1080" w:hanging="221"/>
        <w:spacing w:after="0"/>
        <w:tabs>
          <w:tab w:leader="none" w:pos="108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§252.82(b);</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§47.3(b);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§382.2(b).</w:t>
      </w:r>
    </w:p>
    <w:p>
      <w:pPr>
        <w:spacing w:after="0" w:line="113" w:lineRule="exact"/>
        <w:rPr>
          <w:sz w:val="20"/>
          <w:szCs w:val="20"/>
          <w:color w:val="auto"/>
        </w:rPr>
      </w:pPr>
    </w:p>
    <w:p>
      <w:pPr>
        <w:ind w:left="440" w:firstLine="423"/>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700" w:hanging="264"/>
        <w:spacing w:after="0"/>
        <w:tabs>
          <w:tab w:leader="none" w:pos="700"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(8)(D).</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10.26.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0" w:firstLine="419"/>
        <w:spacing w:after="0" w:line="252" w:lineRule="auto"/>
        <w:tabs>
          <w:tab w:leader="none" w:pos="1078" w:val="left"/>
        </w:tabs>
        <w:numPr>
          <w:ilvl w:val="0"/>
          <w:numId w:val="7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Issuing Bank or Secured Party or any Person who has received funds on behalf of a Lender, Issuing Bank or Secured Party (any such Lender, Issuing Bank, Secured Party or other recipient (and each of their respective successors and assigns),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such Administrative Agent has determined in its sole discretion (whether or not after receipt of any notice under immediately succeeding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that any funds (as set forth in such notice from such Administrative Agent) received by such Payment Recipient from such Administrative Agent or any of its Affiliates were erroneously or mistakenly transmitted to, or otherwise erroneously or mistakenly received by, such Payment Recipient (whether or not known to such Lender, Issuing Bank,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such Administrative Agent pending its return or repayment as contemplated below in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and held in trust for the benefit of such Administrative Agent, and such Lender, Issuing Bank or Secured Party shall (or, with respect to any Payment Recipient who received such funds on its behalf, shall cause such Payment Recipient to) promptly, but in no event later than two Business Days thereafter (or such later date as such Administrative Agent may, in its sole discretion, specify in writing), return to such Administrative Agent the amount of any such Erroneous Payment (or portion thereof) as to which such a demand was made, in same day funds (in the currency so received), together with interest thereon (except to the extent waived in writing by such Administrative Agent) in respect of each day from and including the date such Erroneous Payment (or portion thereof) was received by such Payment Recipient to the date such amount is repaid to such Administrative Agent in same day funds at the greater of the Federal Funds Rate and a rate determined by such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shall be conclusive, absent manifest error.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00"/>
          </w:cols>
          <w:pgMar w:left="440" w:top="269" w:right="459" w:bottom="1440" w:gutter="0" w:footer="0" w:header="0"/>
        </w:sectPr>
      </w:pPr>
    </w:p>
    <w:bookmarkStart w:id="569" w:name="page570"/>
    <w:bookmarkEnd w:id="569"/>
    <w:p>
      <w:pPr>
        <w:ind w:firstLine="419"/>
        <w:spacing w:after="0" w:line="254" w:lineRule="auto"/>
        <w:tabs>
          <w:tab w:leader="none" w:pos="688"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each Lender, Issuing Bank, Secured Party or any Person who has received funds on behalf of a Lender, Issuing Bank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such Administrative Agent (or any of its Affiliates) with respect to such payment, prepayment or repayment, (y) that was not preceded or accompanied by a notice of payment, prepayment or repayment sent by such Administrative Agent (or any of its Affiliates), or (z) that such Lender, Issuing Bank, Secured Party or other such recipient, otherwise becomes aware was transmitted, or received, in error or by mistake (in whole or in part), then in each such case:</w:t>
      </w:r>
    </w:p>
    <w:p>
      <w:pPr>
        <w:spacing w:after="0" w:line="83" w:lineRule="exact"/>
        <w:rPr>
          <w:rFonts w:ascii="Times New Roman" w:cs="Times New Roman" w:eastAsia="Times New Roman" w:hAnsi="Times New Roman"/>
          <w:sz w:val="18"/>
          <w:szCs w:val="18"/>
          <w:color w:val="auto"/>
        </w:rPr>
      </w:pPr>
    </w:p>
    <w:p>
      <w:pPr>
        <w:ind w:left="540" w:right="20" w:firstLine="408"/>
        <w:spacing w:after="0" w:line="289" w:lineRule="auto"/>
        <w:tabs>
          <w:tab w:leader="none" w:pos="1236" w:val="left"/>
        </w:tabs>
        <w:numPr>
          <w:ilvl w:val="1"/>
          <w:numId w:val="7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acknowledges and agrees that (I) in the case of immediately preceding </w:t>
      </w:r>
      <w:r>
        <w:rPr>
          <w:rFonts w:ascii="Times New Roman" w:cs="Times New Roman" w:eastAsia="Times New Roman" w:hAnsi="Times New Roman"/>
          <w:sz w:val="17"/>
          <w:szCs w:val="17"/>
          <w:u w:val="single" w:color="auto"/>
          <w:color w:val="auto"/>
        </w:rPr>
        <w:t>clauses (x)</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(y)</w:t>
      </w:r>
      <w:r>
        <w:rPr>
          <w:rFonts w:ascii="Times New Roman" w:cs="Times New Roman" w:eastAsia="Times New Roman" w:hAnsi="Times New Roman"/>
          <w:sz w:val="17"/>
          <w:szCs w:val="17"/>
          <w:color w:val="auto"/>
        </w:rPr>
        <w:t xml:space="preserve">, an error and mistake shall be presumed to have been made (absent written confirmation from such Administrative Agent to the contrary) or (II) an error and mistake has been made (in the case of immediately preceding </w:t>
      </w:r>
      <w:r>
        <w:rPr>
          <w:rFonts w:ascii="Times New Roman" w:cs="Times New Roman" w:eastAsia="Times New Roman" w:hAnsi="Times New Roman"/>
          <w:sz w:val="17"/>
          <w:szCs w:val="17"/>
          <w:u w:val="single" w:color="auto"/>
          <w:color w:val="auto"/>
        </w:rPr>
        <w:t>clause (z)</w:t>
      </w:r>
      <w:r>
        <w:rPr>
          <w:rFonts w:ascii="Times New Roman" w:cs="Times New Roman" w:eastAsia="Times New Roman" w:hAnsi="Times New Roman"/>
          <w:sz w:val="17"/>
          <w:szCs w:val="17"/>
          <w:color w:val="auto"/>
        </w:rPr>
        <w:t>), in each case, with respect to such payment, prepayment or repayment; and</w:t>
      </w:r>
    </w:p>
    <w:p>
      <w:pPr>
        <w:spacing w:after="0" w:line="49" w:lineRule="exact"/>
        <w:rPr>
          <w:rFonts w:ascii="Times New Roman" w:cs="Times New Roman" w:eastAsia="Times New Roman" w:hAnsi="Times New Roman"/>
          <w:sz w:val="17"/>
          <w:szCs w:val="17"/>
          <w:color w:val="auto"/>
        </w:rPr>
      </w:pPr>
    </w:p>
    <w:p>
      <w:pPr>
        <w:ind w:left="540" w:right="20" w:firstLine="408"/>
        <w:spacing w:after="0" w:line="261" w:lineRule="auto"/>
        <w:tabs>
          <w:tab w:leader="none" w:pos="1226" w:val="left"/>
        </w:tabs>
        <w:numPr>
          <w:ilvl w:val="1"/>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Issuing Bank or Secured Party shall (and shall cause any other recipient that receives funds on its respective behalf to) promptly (and, in all events, within one Business Day of its knowledge of the occurrence of any of the circumstances described in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such Administrative Agent of its receipt of such payment, prepayment or repayment, the details thereof (in reasonable detail) and that it is so notifying such Administrative Agent pursuant to this </w:t>
      </w:r>
      <w:r>
        <w:rPr>
          <w:rFonts w:ascii="Times New Roman" w:cs="Times New Roman" w:eastAsia="Times New Roman" w:hAnsi="Times New Roman"/>
          <w:sz w:val="18"/>
          <w:szCs w:val="18"/>
          <w:u w:val="single" w:color="auto"/>
          <w:color w:val="auto"/>
        </w:rPr>
        <w:t>Section 10.26(ii)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10.26(ii)</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10.26(i)</w:t>
      </w:r>
      <w:r>
        <w:rPr>
          <w:rFonts w:ascii="Times New Roman" w:cs="Times New Roman" w:eastAsia="Times New Roman" w:hAnsi="Times New Roman"/>
          <w:sz w:val="18"/>
          <w:szCs w:val="18"/>
          <w:color w:val="auto"/>
        </w:rPr>
        <w:t xml:space="preserve"> or on whether or not an Erroneous Payment has been made.</w:t>
      </w:r>
    </w:p>
    <w:p>
      <w:pPr>
        <w:spacing w:after="0" w:line="54" w:lineRule="exact"/>
        <w:rPr>
          <w:sz w:val="20"/>
          <w:szCs w:val="20"/>
          <w:color w:val="auto"/>
        </w:rPr>
      </w:pPr>
    </w:p>
    <w:p>
      <w:pPr>
        <w:ind w:right="20" w:firstLine="419"/>
        <w:spacing w:after="0" w:line="281" w:lineRule="auto"/>
        <w:tabs>
          <w:tab w:leader="none" w:pos="738" w:val="left"/>
        </w:tabs>
        <w:numPr>
          <w:ilvl w:val="0"/>
          <w:numId w:val="7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Lender, Issuing Bank or Secured Party hereby authorizes the Administrative Agent to set off, net and apply any and all amounts at any time owing to such Lender, Issuing Bank or Secured Party under any Loan Document, or otherwise payable or distributable by such Administrative Agent to such Lender, Issuing Bank or Secured Party under any Loan Document with respect to any payment of principal, interest, fees or other amounts, against any amount that such Administrative Agent has demanded to be returned under immediately preceding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w:t>
      </w:r>
    </w:p>
    <w:p>
      <w:pPr>
        <w:spacing w:after="0" w:line="56" w:lineRule="exact"/>
        <w:rPr>
          <w:rFonts w:ascii="Times New Roman" w:cs="Times New Roman" w:eastAsia="Times New Roman" w:hAnsi="Times New Roman"/>
          <w:sz w:val="17"/>
          <w:szCs w:val="17"/>
          <w:color w:val="auto"/>
        </w:rPr>
      </w:pPr>
    </w:p>
    <w:p>
      <w:pPr>
        <w:ind w:right="360" w:firstLine="419"/>
        <w:spacing w:after="0" w:line="255" w:lineRule="auto"/>
        <w:tabs>
          <w:tab w:leader="none" w:pos="728"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In the event that an Erroneous Payment (or portion thereof) is not recovered by the Administrative Agent for any reason, after demand therefor in accordance with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upon such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u w:val="single" w:color="auto"/>
          <w:color w:val="auto"/>
        </w:rPr>
        <w:t>Erroneous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0560"/>
          </w:cols>
          <w:pgMar w:left="880" w:top="269" w:right="459" w:bottom="1440" w:gutter="0" w:footer="0" w:header="0"/>
        </w:sectPr>
      </w:pPr>
    </w:p>
    <w:bookmarkStart w:id="570" w:name="page571"/>
    <w:bookmarkEnd w:id="570"/>
    <w:p>
      <w:pPr>
        <w:ind w:right="20"/>
        <w:spacing w:after="0" w:line="25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Impacted Class</w:t>
      </w:r>
      <w:r>
        <w:rPr>
          <w:rFonts w:ascii="Times New Roman" w:cs="Times New Roman" w:eastAsia="Times New Roman" w:hAnsi="Times New Roman"/>
          <w:sz w:val="18"/>
          <w:szCs w:val="18"/>
          <w:color w:val="auto"/>
        </w:rPr>
        <w:t>”) in an amount equal to the Erroneous Payment Return Deficiency (or such lesser amount as such Administrative Agent may specify) (such assignment of the Loans (but not Commitments) of the Erroneous Payment Impacted Class,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(on a cashless basis and such amount calculated at par plus any accrued and unpaid interest), and is hereby (together with the Borrower) deemed to execute and deliver an Assignment and Assumption (or, to the extent applicable, an agreement incorporating an Assignment and Assumption by reference pursuant to an approved electronic platform as to which such Administrative Agent and such parties are participants) with respect to such Erroneous Payment Deficiency Assignment, and such Lender shall deliver any Notes evidencing such Loans to the Borrower or such Administrative Agent (but the failure of such Person to deliver any such Notes shall not affect the effectiveness of the foregoing assignment), (B) such Administrative Agent as the assignee Lender shall be deemed to have acquired the Erroneous Payment Deficiency Assignment, (C) upon such deemed acquisition, such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such Administrative Agent and the Borrower shall each be deemed to have waived any consents required under this Agreement to any such Erroneous Payment Deficiency Assignment, and (E) such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87" w:lineRule="exact"/>
        <w:rPr>
          <w:sz w:val="20"/>
          <w:szCs w:val="20"/>
          <w:color w:val="auto"/>
        </w:rPr>
      </w:pPr>
    </w:p>
    <w:p>
      <w:pPr>
        <w:ind w:right="20" w:firstLine="948"/>
        <w:spacing w:after="0" w:line="253" w:lineRule="auto"/>
        <w:tabs>
          <w:tab w:leader="none" w:pos="1207" w:val="left"/>
        </w:tabs>
        <w:numPr>
          <w:ilvl w:val="1"/>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but excluding, in all events, any assignment consent or approval requirements (other than from the Borrower, to the extent the Borrower would have a consent right over such assignment in accordance with the terms of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(such consent not to be unreasonably withheld or delayed)),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such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such Administrative Agent on or with respect to any such Loans acquired from such Lender pursuant to an Erroneous Payment Deficiency Assignment (to the extent that any such Loans are then owned by such Administrative Agent) and (y) may, in the sole discretion of such Administrative Agent, be reduced by any amount specified by such Administrative Agent in writing to the applicable Lender from time to time.</w:t>
      </w:r>
    </w:p>
    <w:p>
      <w:pPr>
        <w:spacing w:after="0" w:line="83"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agree that, subject in any event to each proviso below, (x) irrespective of whether such Administrative Agent may be equitably subrogated, in the event that an Erroneous Payment (or portion thereof) is not recovered from any Payment Recipient that has received such Erroneous Payment (or portion thereof) for any reason, such Administrative Agent shall be subrogated to all the rights and interests of such Payment Recipient (and, in the case of any Payment Recipient who has received funds on behalf of a Lender, Issuing Bank or Secured Party, to the rights and interests of such Lender, Issuing Bank or Secured Party, as the case may be) under the Loan Documents with respect to such amount (the “</w:t>
      </w:r>
      <w:r>
        <w:rPr>
          <w:rFonts w:ascii="Times New Roman" w:cs="Times New Roman" w:eastAsia="Times New Roman" w:hAnsi="Times New Roman"/>
          <w:sz w:val="18"/>
          <w:szCs w:val="18"/>
          <w:u w:val="single" w:color="auto"/>
          <w:color w:val="auto"/>
        </w:rPr>
        <w:t>Erroneous Payment Subrogation Rights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Loan Parties’ Obligations under the Loan Documents in</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580"/>
          </w:cols>
          <w:pgMar w:left="880" w:top="269" w:right="439" w:bottom="1440" w:gutter="0" w:footer="0" w:header="0"/>
        </w:sectPr>
      </w:pPr>
    </w:p>
    <w:bookmarkStart w:id="571" w:name="page572"/>
    <w:bookmarkEnd w:id="571"/>
    <w:p>
      <w:pPr>
        <w:ind w:left="440"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respect of the Erroneous Payment Subrogation Rights shall not be duplicative of such Obligations in respect of Loans that have been assigned to such Administrative Agent under an Erroneous Payment Deficiency Assignment and no such subrogation shall apply to the extent an Erroneous Payment is, and with respect to the amount of such Erroneous Payment that is, compromised of funds of the Borrower or any other Loan Party) and (y) an Erroneous Payment shall not pay, prepay, repay, discharge or otherwise satisfy any Obligations owed by the Borrower or any other Loan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not be interpreted to increase (or accelerate the due date for), or have the effect of increasing (or accelerating the due date for), the Obligations of the Borrower or any other Loan Party (including indemnification obligations of the Borrower or any other Loan Party under the Loan Documents to the extent relating to principal, interest, premium or fees or similar payment obligations under the Loan Documents) relative to the amount (and/or timing for payment) of the Obligations that would have been payable had such Erroneous Payment not been made by such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above shall not apply to the extent any such Erroneous Payment is, and solely with respect to the amount of such Erroneous Payment that is, comprised of funds received by such Administrative Agent from the Borrower for the purpose of making such Erroneous Payment.</w:t>
      </w:r>
    </w:p>
    <w:p>
      <w:pPr>
        <w:spacing w:after="0" w:line="84" w:lineRule="exact"/>
        <w:rPr>
          <w:sz w:val="20"/>
          <w:szCs w:val="20"/>
          <w:color w:val="auto"/>
        </w:rPr>
      </w:pPr>
    </w:p>
    <w:p>
      <w:pPr>
        <w:ind w:left="440" w:right="140" w:firstLine="419"/>
        <w:spacing w:after="0" w:line="261" w:lineRule="auto"/>
        <w:tabs>
          <w:tab w:leader="none" w:pos="1168"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71" w:lineRule="exact"/>
        <w:rPr>
          <w:rFonts w:ascii="Times New Roman" w:cs="Times New Roman" w:eastAsia="Times New Roman" w:hAnsi="Times New Roman"/>
          <w:sz w:val="18"/>
          <w:szCs w:val="18"/>
          <w:color w:val="auto"/>
        </w:rPr>
      </w:pPr>
    </w:p>
    <w:p>
      <w:pPr>
        <w:ind w:left="440" w:right="780" w:firstLine="419"/>
        <w:spacing w:after="0" w:line="266" w:lineRule="auto"/>
        <w:tabs>
          <w:tab w:leader="none" w:pos="1218"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party’s obligations, agreements and waivers under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Issuing Bank, the termination of the Commitments and/or the repayment, satisfaction or discharge of all Obligations (or any portion thereof) under any Loan Document.</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268" w:val="left"/>
        </w:tabs>
        <w:numPr>
          <w:ilvl w:val="0"/>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 xml:space="preserve"> shall solely be an agreement between the Administrative Agent, the Lenders and the Issuing Banks;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 and the other Loan Parties hereby acknowledge and consent to the provisions and agreements set forth in this </w:t>
      </w:r>
      <w:r>
        <w:rPr>
          <w:rFonts w:ascii="Times New Roman" w:cs="Times New Roman" w:eastAsia="Times New Roman" w:hAnsi="Times New Roman"/>
          <w:sz w:val="18"/>
          <w:szCs w:val="18"/>
          <w:u w:val="single" w:color="auto"/>
          <w:color w:val="auto"/>
        </w:rPr>
        <w:t>Section 10.26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10.28.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10.29. </w:t>
      </w:r>
      <w:r>
        <w:rPr>
          <w:rFonts w:ascii="Times New Roman" w:cs="Times New Roman" w:eastAsia="Times New Roman" w:hAnsi="Times New Roman"/>
          <w:sz w:val="18"/>
          <w:szCs w:val="18"/>
          <w:u w:val="single" w:color="auto"/>
          <w:color w:val="auto"/>
        </w:rPr>
        <w:t>Permitted Reorganization Transactions</w:t>
      </w:r>
      <w:r>
        <w:rPr>
          <w:rFonts w:ascii="Times New Roman" w:cs="Times New Roman" w:eastAsia="Times New Roman" w:hAnsi="Times New Roman"/>
          <w:sz w:val="18"/>
          <w:szCs w:val="18"/>
          <w:color w:val="auto"/>
        </w:rPr>
        <w:t>. Notwithstanding anything to the contrary in this Agreement, the Borrower and its Subsidiaries may consummate a Permitted Reorganization. If in connection with such Permitted Reorganization, a new company is created that directly or indirectly wholly owns the Borrower, then, so long as such new company is an obligor on the Obligations (as a borrower or guarantor), the Borrower may choose to have the covenants and financial calculations in the this Agreement and the other Loan Documents (as applicable) apply from and after such time to such new company and its Restricted Subsidiaries, rather than to the existing Borrower and its Restricted Subsidiaries, and all references herein thereafter to the Borrower shall refer to such company. In connection with the foregoing, the Lenders and other Secured Parties hereby consent to, and authorize and direct the Administrative Agent and the Collateral Agent to enter into, at the election of the Borrower, any amendment or other modification to this Agreement and/or any other Loan Document to effectuate the foregoing, including the implementation of customary local law provisions and technical and other changes to reflect the revised corporate structure (including in the definition of Change of Control) and the application of this provision, in each case, without requiring the further consent of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00"/>
          </w:cols>
          <w:pgMar w:left="440" w:top="269" w:right="459" w:bottom="1440" w:gutter="0" w:footer="0" w:header="0"/>
        </w:sectPr>
      </w:pPr>
    </w:p>
    <w:bookmarkStart w:id="572" w:name="page573"/>
    <w:bookmarkEnd w:id="572"/>
    <w:p>
      <w:pPr>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Required Lenders or any other Lender or Secured Party. Correspondingly, in connection with any transaction otherwise permitted hereunder that results in a Successor Borrower (or any other creation and/or appointment of a Successor Borrower), at the election of the Borrower, the Administrative Agent and Collateral Agent are each hereby authorized and directed by the Lenders and the other Secured Parties to enter into amendments or other modifications to this Agreement and the other applicable Loan Documents to effectuate such Borrower succession and/or substitution, including the implementation of customary local law provisions and technical and other changes to reflect the revised corporate structure (including in the definition of Change of Control) and the application of this provision (and the Lenders and other Secured Parties hereby consent thereto), in each case, without requiring the further consent of the Required Lenders or any other Lender or Secured Party. None of the Administrative Agent nor the Collateral Agent shall be liable to the Lenders (including any Revolving Lenders) or any other Secured Party for any action taken or not taken in connection with any such amendment or modification pursuant to the consent, authorization or directive of the Lenders provided in this </w:t>
      </w:r>
      <w:r>
        <w:rPr>
          <w:rFonts w:ascii="Times New Roman" w:cs="Times New Roman" w:eastAsia="Times New Roman" w:hAnsi="Times New Roman"/>
          <w:sz w:val="17"/>
          <w:szCs w:val="17"/>
          <w:u w:val="single" w:color="auto"/>
          <w:color w:val="auto"/>
        </w:rPr>
        <w:t>Section 10.29</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0920"/>
          </w:cols>
          <w:pgMar w:left="440" w:top="269" w:right="539" w:bottom="1440" w:gutter="0" w:footer="0" w:header="0"/>
        </w:sectPr>
      </w:pPr>
    </w:p>
    <w:bookmarkStart w:id="573" w:name="page574"/>
    <w:bookmarkEnd w:id="573"/>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29" w:lineRule="exact"/>
        <w:rPr>
          <w:sz w:val="20"/>
          <w:szCs w:val="20"/>
          <w:color w:val="auto"/>
        </w:rPr>
      </w:pPr>
    </w:p>
    <w:p>
      <w:pPr>
        <w:ind w:left="4" w:right="280" w:hanging="4"/>
        <w:spacing w:after="0" w:line="282" w:lineRule="auto"/>
        <w:tabs>
          <w:tab w:leader="none" w:pos="439"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information in this document has been excluded pursuant to Regulation S-K, Item 601(a)(6). Such excluded information is not material and is the type that the registrant treats as private or confidential.</w:t>
      </w:r>
    </w:p>
    <w:p>
      <w:pPr>
        <w:spacing w:after="0" w:line="1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182880</wp:posOffset>
            </wp:positionV>
            <wp:extent cx="699516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225425</wp:posOffset>
            </wp:positionV>
            <wp:extent cx="699516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$1,000,000,000 7.250% SENIOR SECURED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237490</wp:posOffset>
            </wp:positionV>
            <wp:extent cx="147447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INDENTURE</w:t>
      </w:r>
    </w:p>
    <w:p>
      <w:pPr>
        <w:spacing w:after="0" w:line="31"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DATED AS OF OCTOBER 29,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228600</wp:posOffset>
            </wp:positionV>
            <wp:extent cx="147447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5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CITIBANK, N.A.,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TRUSTEE, REGISTRAR, TRANSFER AGENT, PAYING AGENT AND NOTES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117" w:right="439" w:bottom="1440" w:gutter="0" w:footer="0" w:header="0"/>
        </w:sectPr>
      </w:pPr>
    </w:p>
    <w:bookmarkStart w:id="574" w:name="page575"/>
    <w:bookmarkEnd w:id="574"/>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9480" w:type="dxa"/>
            <w:vAlign w:val="bottom"/>
          </w:tcPr>
          <w:p>
            <w:pPr>
              <w:ind w:left="33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200" w:type="dxa"/>
            <w:vAlign w:val="bottom"/>
          </w:tcPr>
          <w:p>
            <w:pPr>
              <w:spacing w:after="0"/>
              <w:rPr>
                <w:sz w:val="24"/>
                <w:szCs w:val="24"/>
                <w:color w:val="auto"/>
              </w:rPr>
            </w:pPr>
          </w:p>
        </w:tc>
        <w:tc>
          <w:tcPr>
            <w:tcW w:w="948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412"/>
        </w:trPr>
        <w:tc>
          <w:tcPr>
            <w:tcW w:w="1200" w:type="dxa"/>
            <w:vAlign w:val="bottom"/>
          </w:tcPr>
          <w:p>
            <w:pPr>
              <w:spacing w:after="0"/>
              <w:rPr>
                <w:sz w:val="24"/>
                <w:szCs w:val="24"/>
                <w:color w:val="auto"/>
              </w:rPr>
            </w:pPr>
          </w:p>
        </w:tc>
        <w:tc>
          <w:tcPr>
            <w:tcW w:w="9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ARTICLE 1</w:t>
            </w:r>
          </w:p>
        </w:tc>
        <w:tc>
          <w:tcPr>
            <w:tcW w:w="28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48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280" w:type="dxa"/>
            <w:vAlign w:val="bottom"/>
          </w:tcPr>
          <w:p>
            <w:pPr>
              <w:spacing w:after="0"/>
              <w:rPr>
                <w:sz w:val="24"/>
                <w:szCs w:val="24"/>
                <w:color w:val="auto"/>
              </w:rPr>
            </w:pP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432"/>
        </w:trPr>
        <w:tc>
          <w:tcPr>
            <w:tcW w:w="1200" w:type="dxa"/>
            <w:vAlign w:val="bottom"/>
          </w:tcPr>
          <w:p>
            <w:pPr>
              <w:spacing w:after="0"/>
              <w:rPr>
                <w:sz w:val="24"/>
                <w:szCs w:val="24"/>
                <w:color w:val="auto"/>
              </w:rPr>
            </w:pPr>
          </w:p>
        </w:tc>
        <w:tc>
          <w:tcPr>
            <w:tcW w:w="9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ARTICLE 2</w:t>
            </w:r>
          </w:p>
        </w:tc>
        <w:tc>
          <w:tcPr>
            <w:tcW w:w="28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THE SECURITIES</w:t>
            </w:r>
          </w:p>
        </w:tc>
        <w:tc>
          <w:tcPr>
            <w:tcW w:w="280" w:type="dxa"/>
            <w:vAlign w:val="bottom"/>
          </w:tcPr>
          <w:p>
            <w:pPr>
              <w:spacing w:after="0"/>
              <w:rPr>
                <w:sz w:val="24"/>
                <w:szCs w:val="24"/>
                <w:color w:val="auto"/>
              </w:rPr>
            </w:pP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and Dating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Registrar, Paying Agent and Transfer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Paying Agent to Hold Money in Trust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Replacement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Treasury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Temporary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Legend; Additional Transfer and Exchange Requirements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CUSIP, Common Code and ISIN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432"/>
        </w:trPr>
        <w:tc>
          <w:tcPr>
            <w:tcW w:w="1200" w:type="dxa"/>
            <w:vAlign w:val="bottom"/>
          </w:tcPr>
          <w:p>
            <w:pPr>
              <w:spacing w:after="0"/>
              <w:rPr>
                <w:sz w:val="24"/>
                <w:szCs w:val="24"/>
                <w:color w:val="auto"/>
              </w:rPr>
            </w:pPr>
          </w:p>
        </w:tc>
        <w:tc>
          <w:tcPr>
            <w:tcW w:w="9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8"/>
              </w:rPr>
              <w:t>ARTICLE 3</w:t>
            </w:r>
          </w:p>
        </w:tc>
        <w:tc>
          <w:tcPr>
            <w:tcW w:w="28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9480" w:type="dxa"/>
            <w:vAlign w:val="bottom"/>
          </w:tcPr>
          <w:p>
            <w:pPr>
              <w:jc w:val="center"/>
              <w:ind w:right="1230"/>
              <w:spacing w:after="0"/>
              <w:rPr>
                <w:sz w:val="20"/>
                <w:szCs w:val="20"/>
                <w:color w:val="auto"/>
              </w:rPr>
            </w:pPr>
            <w:r>
              <w:rPr>
                <w:rFonts w:ascii="Times New Roman" w:cs="Times New Roman" w:eastAsia="Times New Roman" w:hAnsi="Times New Roman"/>
                <w:sz w:val="18"/>
                <w:szCs w:val="18"/>
                <w:color w:val="auto"/>
                <w:w w:val="99"/>
              </w:rPr>
              <w:t>REDEMPTION AND PURCHASES</w:t>
            </w:r>
          </w:p>
        </w:tc>
        <w:tc>
          <w:tcPr>
            <w:tcW w:w="280" w:type="dxa"/>
            <w:vAlign w:val="bottom"/>
          </w:tcPr>
          <w:p>
            <w:pPr>
              <w:spacing w:after="0"/>
              <w:rPr>
                <w:sz w:val="24"/>
                <w:szCs w:val="24"/>
                <w:color w:val="auto"/>
              </w:rPr>
            </w:pP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 to Redeem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Selection of Notes to Be Redeemed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4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Redeemed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5" w:right="499" w:bottom="1440" w:gutter="0" w:footer="0" w:header="0"/>
        </w:sectPr>
      </w:pPr>
    </w:p>
    <w:bookmarkStart w:id="575" w:name="page576"/>
    <w:bookmarkEnd w:id="575"/>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Optional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3.08</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Purchase of Notes at Option of the Holder Upon Change of Control</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Effect of Change of Control Purchase Notice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Deposit of Change of Control Purchase Price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Notes Purchased in Part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3.12</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Compliance with Securities Laws upon Purchase of Notes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Repayment to the Issuer</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3.14</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Offer to Purchase by Application of Excess Proceeds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Mandatory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Special Mandatory Redemption</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432"/>
        </w:trPr>
        <w:tc>
          <w:tcPr>
            <w:tcW w:w="1200" w:type="dxa"/>
            <w:vAlign w:val="bottom"/>
          </w:tcPr>
          <w:p>
            <w:pPr>
              <w:spacing w:after="0"/>
              <w:rPr>
                <w:sz w:val="24"/>
                <w:szCs w:val="24"/>
                <w:color w:val="auto"/>
              </w:rPr>
            </w:pPr>
          </w:p>
        </w:tc>
        <w:tc>
          <w:tcPr>
            <w:tcW w:w="784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ARTICLE 4</w:t>
            </w:r>
          </w:p>
        </w:tc>
        <w:tc>
          <w:tcPr>
            <w:tcW w:w="192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7840" w:type="dxa"/>
            <w:vAlign w:val="bottom"/>
          </w:tcPr>
          <w:p>
            <w:pPr>
              <w:ind w:left="3520"/>
              <w:spacing w:after="0"/>
              <w:rPr>
                <w:sz w:val="20"/>
                <w:szCs w:val="20"/>
                <w:color w:val="auto"/>
              </w:rPr>
            </w:pPr>
            <w:r>
              <w:rPr>
                <w:rFonts w:ascii="Times New Roman" w:cs="Times New Roman" w:eastAsia="Times New Roman" w:hAnsi="Times New Roman"/>
                <w:sz w:val="18"/>
                <w:szCs w:val="18"/>
                <w:color w:val="auto"/>
              </w:rPr>
              <w:t>COVENANTS</w:t>
            </w:r>
          </w:p>
        </w:tc>
        <w:tc>
          <w:tcPr>
            <w:tcW w:w="1920" w:type="dxa"/>
            <w:vAlign w:val="bottom"/>
          </w:tcPr>
          <w:p>
            <w:pPr>
              <w:spacing w:after="0"/>
              <w:rPr>
                <w:sz w:val="24"/>
                <w:szCs w:val="24"/>
                <w:color w:val="auto"/>
              </w:rPr>
            </w:pP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 of Notes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Reports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Compliance Certificates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Further Instruments and Acts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Maintenance of Corporate Existence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Covenants When Notes Achieve Investment Grade Rating Status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Restricted Payments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Incurrence of Indebtedness and Issuance of Disqualified Stock or Preferred Stock</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Liens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Dividend and Other Payment Restrictions Affecting Restricted Subsidiaries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Asset Sales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Note Guarantees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Designation of Restricted and Unrestricted Subsidiaries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Stay, Extension and Usury Laws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of Default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4.18</w:t>
            </w:r>
          </w:p>
        </w:tc>
        <w:tc>
          <w:tcPr>
            <w:tcW w:w="78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[Reserved]</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9" w:right="499" w:bottom="1440" w:gutter="0" w:footer="0" w:header="0"/>
        </w:sectPr>
      </w:pPr>
    </w:p>
    <w:bookmarkStart w:id="576" w:name="page577"/>
    <w:bookmarkEnd w:id="576"/>
    <w:tbl>
      <w:tblPr>
        <w:tblLayout w:type="fixed"/>
        <w:tblInd w:w="0" w:type="dxa"/>
        <w:tblCellMar>
          <w:top w:w="0" w:type="dxa"/>
          <w:left w:w="0" w:type="dxa"/>
          <w:bottom w:w="0" w:type="dxa"/>
          <w:right w:w="0" w:type="dxa"/>
        </w:tblCellMar>
      </w:tblP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4.19</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After-Acquired Property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4.20</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Additional Material Real Estate Assets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4.21</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 Impairment of the Security Interests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r>
      <w:tr>
        <w:trPr>
          <w:trHeight w:val="432"/>
        </w:trPr>
        <w:tc>
          <w:tcPr>
            <w:tcW w:w="1200" w:type="dxa"/>
            <w:vAlign w:val="bottom"/>
          </w:tcPr>
          <w:p>
            <w:pPr>
              <w:spacing w:after="0"/>
              <w:rPr>
                <w:sz w:val="24"/>
                <w:szCs w:val="24"/>
                <w:color w:val="auto"/>
              </w:rPr>
            </w:pPr>
          </w:p>
        </w:tc>
        <w:tc>
          <w:tcPr>
            <w:tcW w:w="7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ARTICLE 5</w:t>
            </w:r>
          </w:p>
        </w:tc>
        <w:tc>
          <w:tcPr>
            <w:tcW w:w="1980" w:type="dxa"/>
            <w:vAlign w:val="bottom"/>
          </w:tcPr>
          <w:p>
            <w:pPr>
              <w:spacing w:after="0"/>
              <w:rPr>
                <w:sz w:val="24"/>
                <w:szCs w:val="24"/>
                <w:color w:val="auto"/>
              </w:rPr>
            </w:pPr>
          </w:p>
        </w:tc>
      </w:tr>
      <w:tr>
        <w:trPr>
          <w:trHeight w:val="446"/>
        </w:trPr>
        <w:tc>
          <w:tcPr>
            <w:tcW w:w="1200" w:type="dxa"/>
            <w:vAlign w:val="bottom"/>
          </w:tcPr>
          <w:p>
            <w:pPr>
              <w:spacing w:after="0"/>
              <w:rPr>
                <w:sz w:val="24"/>
                <w:szCs w:val="24"/>
                <w:color w:val="auto"/>
              </w:rPr>
            </w:pPr>
          </w:p>
        </w:tc>
        <w:tc>
          <w:tcPr>
            <w:tcW w:w="7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MERGER, CONSOLIDATION OR SALE OF ASSETS</w:t>
            </w:r>
          </w:p>
        </w:tc>
        <w:tc>
          <w:tcPr>
            <w:tcW w:w="1980" w:type="dxa"/>
            <w:vAlign w:val="bottom"/>
          </w:tcPr>
          <w:p>
            <w:pPr>
              <w:spacing w:after="0"/>
              <w:rPr>
                <w:sz w:val="24"/>
                <w:szCs w:val="24"/>
                <w:color w:val="auto"/>
              </w:rPr>
            </w:pPr>
          </w:p>
        </w:tc>
      </w:tr>
      <w:tr>
        <w:trPr>
          <w:trHeight w:val="42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Merger, Consolidation or Sale of Assets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Successor Substituted</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432"/>
        </w:trPr>
        <w:tc>
          <w:tcPr>
            <w:tcW w:w="1200" w:type="dxa"/>
            <w:vAlign w:val="bottom"/>
          </w:tcPr>
          <w:p>
            <w:pPr>
              <w:spacing w:after="0"/>
              <w:rPr>
                <w:sz w:val="24"/>
                <w:szCs w:val="24"/>
                <w:color w:val="auto"/>
              </w:rPr>
            </w:pPr>
          </w:p>
        </w:tc>
        <w:tc>
          <w:tcPr>
            <w:tcW w:w="7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ARTICLE 6</w:t>
            </w:r>
          </w:p>
        </w:tc>
        <w:tc>
          <w:tcPr>
            <w:tcW w:w="1980" w:type="dxa"/>
            <w:vAlign w:val="bottom"/>
          </w:tcPr>
          <w:p>
            <w:pPr>
              <w:spacing w:after="0"/>
              <w:rPr>
                <w:sz w:val="24"/>
                <w:szCs w:val="24"/>
                <w:color w:val="auto"/>
              </w:rPr>
            </w:pPr>
          </w:p>
        </w:tc>
      </w:tr>
      <w:tr>
        <w:trPr>
          <w:trHeight w:val="432"/>
        </w:trPr>
        <w:tc>
          <w:tcPr>
            <w:tcW w:w="1200" w:type="dxa"/>
            <w:vAlign w:val="bottom"/>
          </w:tcPr>
          <w:p>
            <w:pPr>
              <w:spacing w:after="0"/>
              <w:rPr>
                <w:sz w:val="24"/>
                <w:szCs w:val="24"/>
                <w:color w:val="auto"/>
              </w:rPr>
            </w:pPr>
          </w:p>
        </w:tc>
        <w:tc>
          <w:tcPr>
            <w:tcW w:w="7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DEFAULT AND REMEDIES</w:t>
            </w:r>
          </w:p>
        </w:tc>
        <w:tc>
          <w:tcPr>
            <w:tcW w:w="1980" w:type="dxa"/>
            <w:vAlign w:val="bottom"/>
          </w:tcPr>
          <w:p>
            <w:pPr>
              <w:spacing w:after="0"/>
              <w:rPr>
                <w:sz w:val="24"/>
                <w:szCs w:val="24"/>
                <w:color w:val="auto"/>
              </w:rPr>
            </w:pPr>
          </w:p>
        </w:tc>
      </w:tr>
      <w:tr>
        <w:trPr>
          <w:trHeight w:val="41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Acceleration</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Remedies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Waiver of Defaults and 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Control by Majority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Limitations on Suits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Priorities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Undertaking for Costs</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and Remedies Cumulative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6.13</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Delay or Omission Not Waiver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432"/>
        </w:trPr>
        <w:tc>
          <w:tcPr>
            <w:tcW w:w="1200" w:type="dxa"/>
            <w:vAlign w:val="bottom"/>
          </w:tcPr>
          <w:p>
            <w:pPr>
              <w:spacing w:after="0"/>
              <w:rPr>
                <w:sz w:val="24"/>
                <w:szCs w:val="24"/>
                <w:color w:val="auto"/>
              </w:rPr>
            </w:pPr>
          </w:p>
        </w:tc>
        <w:tc>
          <w:tcPr>
            <w:tcW w:w="7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8"/>
              </w:rPr>
              <w:t>ARTICLE 7</w:t>
            </w:r>
          </w:p>
        </w:tc>
        <w:tc>
          <w:tcPr>
            <w:tcW w:w="1980" w:type="dxa"/>
            <w:vAlign w:val="bottom"/>
          </w:tcPr>
          <w:p>
            <w:pPr>
              <w:spacing w:after="0"/>
              <w:rPr>
                <w:sz w:val="24"/>
                <w:szCs w:val="24"/>
                <w:color w:val="auto"/>
              </w:rPr>
            </w:pPr>
          </w:p>
        </w:tc>
      </w:tr>
      <w:tr>
        <w:trPr>
          <w:trHeight w:val="445"/>
        </w:trPr>
        <w:tc>
          <w:tcPr>
            <w:tcW w:w="1200" w:type="dxa"/>
            <w:vAlign w:val="bottom"/>
          </w:tcPr>
          <w:p>
            <w:pPr>
              <w:spacing w:after="0"/>
              <w:rPr>
                <w:sz w:val="24"/>
                <w:szCs w:val="24"/>
                <w:color w:val="auto"/>
              </w:rPr>
            </w:pPr>
          </w:p>
        </w:tc>
        <w:tc>
          <w:tcPr>
            <w:tcW w:w="77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TRUSTEE</w:t>
            </w:r>
          </w:p>
        </w:tc>
        <w:tc>
          <w:tcPr>
            <w:tcW w:w="1980" w:type="dxa"/>
            <w:vAlign w:val="bottom"/>
          </w:tcPr>
          <w:p>
            <w:pPr>
              <w:spacing w:after="0"/>
              <w:rPr>
                <w:sz w:val="24"/>
                <w:szCs w:val="24"/>
                <w:color w:val="auto"/>
              </w:rPr>
            </w:pPr>
          </w:p>
        </w:tc>
      </w:tr>
      <w:tr>
        <w:trPr>
          <w:trHeight w:val="427"/>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Duties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Rights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Trustee’s Disclaimer</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Notice of Default or Events of Default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7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Replacement of Trustee</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9" w:right="499" w:bottom="1440" w:gutter="0" w:footer="0" w:header="0"/>
        </w:sectPr>
      </w:pPr>
    </w:p>
    <w:bookmarkStart w:id="577" w:name="page578"/>
    <w:bookmarkEnd w:id="577"/>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Successor Trustee by Merger, Etc</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Preferential Collection of Claims Against the Issuer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Collateral Documents; Intercreditor Agreements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432"/>
        </w:trPr>
        <w:tc>
          <w:tcPr>
            <w:tcW w:w="126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8</w:t>
            </w:r>
          </w:p>
        </w:tc>
        <w:tc>
          <w:tcPr>
            <w:tcW w:w="16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DEFEASANCE; SATISFACTION AND DISCHARGE OF INDENTURE</w:t>
            </w:r>
          </w:p>
        </w:tc>
        <w:tc>
          <w:tcPr>
            <w:tcW w:w="1640" w:type="dxa"/>
            <w:vAlign w:val="bottom"/>
          </w:tcPr>
          <w:p>
            <w:pPr>
              <w:spacing w:after="0"/>
              <w:rPr>
                <w:sz w:val="24"/>
                <w:szCs w:val="24"/>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Satisfaction and Discharge of Indenture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Legal Defeasance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Covenant Defeasance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Application of Trust Money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Repayment to the Issuer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Reinstatement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432"/>
        </w:trPr>
        <w:tc>
          <w:tcPr>
            <w:tcW w:w="126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ARTICLE 9</w:t>
            </w:r>
          </w:p>
        </w:tc>
        <w:tc>
          <w:tcPr>
            <w:tcW w:w="16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AMENDMENTS, SUPPLEMENTS AND WAIVERS</w:t>
            </w:r>
          </w:p>
        </w:tc>
        <w:tc>
          <w:tcPr>
            <w:tcW w:w="1640" w:type="dxa"/>
            <w:vAlign w:val="bottom"/>
          </w:tcPr>
          <w:p>
            <w:pPr>
              <w:spacing w:after="0"/>
              <w:rPr>
                <w:sz w:val="24"/>
                <w:szCs w:val="24"/>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With Consent of Holders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Notice of Amendment, Supplement or Waiver</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Trustee, Agents and the Notes Collateral Agent to Sign Amendments, Etc</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Effect of Supplemental Indentures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432"/>
        </w:trPr>
        <w:tc>
          <w:tcPr>
            <w:tcW w:w="126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ARTICLE 10</w:t>
            </w:r>
          </w:p>
        </w:tc>
        <w:tc>
          <w:tcPr>
            <w:tcW w:w="1640" w:type="dxa"/>
            <w:vAlign w:val="bottom"/>
          </w:tcPr>
          <w:p>
            <w:pPr>
              <w:spacing w:after="0"/>
              <w:rPr>
                <w:sz w:val="24"/>
                <w:szCs w:val="24"/>
                <w:color w:val="auto"/>
              </w:rPr>
            </w:pPr>
          </w:p>
        </w:tc>
      </w:tr>
      <w:tr>
        <w:trPr>
          <w:trHeight w:val="432"/>
        </w:trPr>
        <w:tc>
          <w:tcPr>
            <w:tcW w:w="1260" w:type="dxa"/>
            <w:vAlign w:val="bottom"/>
          </w:tcPr>
          <w:p>
            <w:pPr>
              <w:spacing w:after="0"/>
              <w:rPr>
                <w:sz w:val="24"/>
                <w:szCs w:val="24"/>
                <w:color w:val="auto"/>
              </w:rPr>
            </w:pPr>
          </w:p>
        </w:tc>
        <w:tc>
          <w:tcPr>
            <w:tcW w:w="80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NOTE GUARANTEES</w:t>
            </w:r>
          </w:p>
        </w:tc>
        <w:tc>
          <w:tcPr>
            <w:tcW w:w="1640" w:type="dxa"/>
            <w:vAlign w:val="bottom"/>
          </w:tcPr>
          <w:p>
            <w:pPr>
              <w:spacing w:after="0"/>
              <w:rPr>
                <w:sz w:val="24"/>
                <w:szCs w:val="24"/>
                <w:color w:val="auto"/>
              </w:rPr>
            </w:pPr>
          </w:p>
        </w:tc>
      </w:tr>
      <w:tr>
        <w:trPr>
          <w:trHeight w:val="41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Note Guarantees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Execution and Delivery of Note Guarantees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Limitation on Guarantor Liability</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Merger and Consolidation of Guarantors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80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Release</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9" w:right="499" w:bottom="1440" w:gutter="0" w:footer="0" w:header="0"/>
        </w:sectPr>
      </w:pPr>
    </w:p>
    <w:bookmarkStart w:id="578" w:name="page579"/>
    <w:bookmarkEnd w:id="578"/>
    <w:tbl>
      <w:tblPr>
        <w:tblLayout w:type="fixed"/>
        <w:tblInd w:w="0" w:type="dxa"/>
        <w:tblCellMar>
          <w:top w:w="0" w:type="dxa"/>
          <w:left w:w="0" w:type="dxa"/>
          <w:bottom w:w="0" w:type="dxa"/>
          <w:right w:w="0" w:type="dxa"/>
        </w:tblCellMar>
      </w:tblPr>
      <w:tr>
        <w:trPr>
          <w:trHeight w:val="234"/>
        </w:trPr>
        <w:tc>
          <w:tcPr>
            <w:tcW w:w="1280" w:type="dxa"/>
            <w:vAlign w:val="bottom"/>
          </w:tcPr>
          <w:p>
            <w:pPr>
              <w:spacing w:after="0"/>
              <w:rPr>
                <w:sz w:val="20"/>
                <w:szCs w:val="20"/>
                <w:color w:val="auto"/>
              </w:rPr>
            </w:pPr>
          </w:p>
        </w:tc>
        <w:tc>
          <w:tcPr>
            <w:tcW w:w="7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ARTICLE 11</w:t>
            </w:r>
          </w:p>
        </w:tc>
        <w:tc>
          <w:tcPr>
            <w:tcW w:w="19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7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MISCELLANEOUS</w:t>
            </w:r>
          </w:p>
        </w:tc>
        <w:tc>
          <w:tcPr>
            <w:tcW w:w="1900" w:type="dxa"/>
            <w:vAlign w:val="bottom"/>
          </w:tcPr>
          <w:p>
            <w:pPr>
              <w:spacing w:after="0"/>
              <w:rPr>
                <w:sz w:val="24"/>
                <w:szCs w:val="24"/>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Certain Trust Indenture Act Sections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Notices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Communications by Holders With Other 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Certificate and Opinion of Counsel as to Conditions Precedent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Record Date for Vote or Consent of Holders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Rules by Trustee, Paying Agent and Registrar</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 Dates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Governing Law; Submission to Jurisdiction; Waiver of Jury Trial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 Recourse Against Others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Successors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Multiple Counterparts; Execution</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Separability</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Calculations in Respect of the Notes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11.17</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11.18</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Currency Equivalent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11.19</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 Matters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11.20.</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Issuer’s Right to Redirect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432"/>
        </w:trPr>
        <w:tc>
          <w:tcPr>
            <w:tcW w:w="1280" w:type="dxa"/>
            <w:vAlign w:val="bottom"/>
          </w:tcPr>
          <w:p>
            <w:pPr>
              <w:spacing w:after="0"/>
              <w:rPr>
                <w:sz w:val="24"/>
                <w:szCs w:val="24"/>
                <w:color w:val="auto"/>
              </w:rPr>
            </w:pPr>
          </w:p>
        </w:tc>
        <w:tc>
          <w:tcPr>
            <w:tcW w:w="7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7"/>
              </w:rPr>
              <w:t>ARTICLE 12</w:t>
            </w:r>
          </w:p>
        </w:tc>
        <w:tc>
          <w:tcPr>
            <w:tcW w:w="1900" w:type="dxa"/>
            <w:vAlign w:val="bottom"/>
          </w:tcPr>
          <w:p>
            <w:pPr>
              <w:spacing w:after="0"/>
              <w:rPr>
                <w:sz w:val="24"/>
                <w:szCs w:val="24"/>
                <w:color w:val="auto"/>
              </w:rPr>
            </w:pPr>
          </w:p>
        </w:tc>
      </w:tr>
      <w:tr>
        <w:trPr>
          <w:trHeight w:val="432"/>
        </w:trPr>
        <w:tc>
          <w:tcPr>
            <w:tcW w:w="1280" w:type="dxa"/>
            <w:vAlign w:val="bottom"/>
          </w:tcPr>
          <w:p>
            <w:pPr>
              <w:spacing w:after="0"/>
              <w:rPr>
                <w:sz w:val="24"/>
                <w:szCs w:val="24"/>
                <w:color w:val="auto"/>
              </w:rPr>
            </w:pPr>
          </w:p>
        </w:tc>
        <w:tc>
          <w:tcPr>
            <w:tcW w:w="7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COLLATERAL</w:t>
            </w:r>
          </w:p>
        </w:tc>
        <w:tc>
          <w:tcPr>
            <w:tcW w:w="1900" w:type="dxa"/>
            <w:vAlign w:val="bottom"/>
          </w:tcPr>
          <w:p>
            <w:pPr>
              <w:spacing w:after="0"/>
              <w:rPr>
                <w:sz w:val="24"/>
                <w:szCs w:val="24"/>
                <w:color w:val="auto"/>
              </w:rPr>
            </w:pPr>
          </w:p>
        </w:tc>
      </w:tr>
      <w:tr>
        <w:trPr>
          <w:trHeight w:val="41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Collateral Documents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12.02</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of Collateral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12.03</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Suits to Protect the Collateral</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12.04</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Authorization of Receipt of Funds by the Trustee Under the Collateral Documents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12.05</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Purchaser Protected</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Powers Exercisable by Receiver or Trustee</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6"/>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12.07</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Release Upon Termination of the Issuer’s Obligations</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34"/>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12.08</w:t>
            </w:r>
          </w:p>
        </w:tc>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Notes Collateral Agent</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69" w:right="499" w:bottom="1440" w:gutter="0" w:footer="0" w:header="0"/>
        </w:sectPr>
      </w:pPr>
    </w:p>
    <w:bookmarkStart w:id="579" w:name="page580"/>
    <w:bookmarkEnd w:id="579"/>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560" w:type="dxa"/>
            <w:vAlign w:val="bottom"/>
          </w:tcPr>
          <w:p>
            <w:pPr>
              <w:ind w:left="3460"/>
              <w:spacing w:after="0"/>
              <w:rPr>
                <w:sz w:val="20"/>
                <w:szCs w:val="20"/>
                <w:color w:val="auto"/>
              </w:rPr>
            </w:pPr>
            <w:r>
              <w:rPr>
                <w:rFonts w:ascii="Times New Roman" w:cs="Times New Roman" w:eastAsia="Times New Roman" w:hAnsi="Times New Roman"/>
                <w:sz w:val="18"/>
                <w:szCs w:val="18"/>
                <w:color w:val="auto"/>
              </w:rPr>
              <w:t>ARTICLE 13</w:t>
            </w:r>
          </w:p>
        </w:tc>
        <w:tc>
          <w:tcPr>
            <w:tcW w:w="1080" w:type="dxa"/>
            <w:vAlign w:val="bottom"/>
          </w:tcPr>
          <w:p>
            <w:pPr>
              <w:spacing w:after="0"/>
              <w:rPr>
                <w:sz w:val="20"/>
                <w:szCs w:val="20"/>
                <w:color w:val="auto"/>
              </w:rPr>
            </w:pPr>
          </w:p>
        </w:tc>
      </w:tr>
      <w:tr>
        <w:trPr>
          <w:trHeight w:val="432"/>
        </w:trPr>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ESCROW MATTERS</w:t>
            </w:r>
          </w:p>
        </w:tc>
        <w:tc>
          <w:tcPr>
            <w:tcW w:w="1080" w:type="dxa"/>
            <w:vAlign w:val="bottom"/>
          </w:tcPr>
          <w:p>
            <w:pPr>
              <w:spacing w:after="0"/>
              <w:rPr>
                <w:sz w:val="24"/>
                <w:szCs w:val="24"/>
                <w:color w:val="auto"/>
              </w:rPr>
            </w:pPr>
          </w:p>
        </w:tc>
      </w:tr>
      <w:tr>
        <w:trPr>
          <w:trHeight w:val="41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280" w:type="dxa"/>
            <w:vAlign w:val="bottom"/>
          </w:tcPr>
          <w:p>
            <w:pPr>
              <w:spacing w:after="0"/>
              <w:rPr>
                <w:sz w:val="24"/>
                <w:szCs w:val="24"/>
                <w:color w:val="auto"/>
              </w:rPr>
            </w:pPr>
          </w:p>
        </w:tc>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Escrow Account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13.02</w:t>
            </w:r>
          </w:p>
        </w:tc>
        <w:tc>
          <w:tcPr>
            <w:tcW w:w="280" w:type="dxa"/>
            <w:vAlign w:val="bottom"/>
          </w:tcPr>
          <w:p>
            <w:pPr>
              <w:spacing w:after="0"/>
              <w:rPr>
                <w:sz w:val="18"/>
                <w:szCs w:val="18"/>
                <w:color w:val="auto"/>
              </w:rPr>
            </w:pPr>
          </w:p>
        </w:tc>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 of Escrowed Funds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Section 13.03</w:t>
            </w:r>
          </w:p>
        </w:tc>
        <w:tc>
          <w:tcPr>
            <w:tcW w:w="280" w:type="dxa"/>
            <w:vAlign w:val="bottom"/>
          </w:tcPr>
          <w:p>
            <w:pPr>
              <w:spacing w:after="0"/>
              <w:rPr>
                <w:sz w:val="20"/>
                <w:szCs w:val="20"/>
                <w:color w:val="auto"/>
              </w:rPr>
            </w:pPr>
          </w:p>
        </w:tc>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Trustee Direction to Execute Escrow Agreement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540"/>
        </w:trPr>
        <w:tc>
          <w:tcPr>
            <w:tcW w:w="1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28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44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1"/>
              </w:rPr>
              <w:t>EXHIBIT A  </w:t>
            </w:r>
          </w:p>
        </w:tc>
        <w:tc>
          <w:tcPr>
            <w:tcW w:w="280" w:type="dxa"/>
            <w:vAlign w:val="bottom"/>
          </w:tcPr>
          <w:p>
            <w:pPr>
              <w:ind w:left="80"/>
              <w:spacing w:after="0"/>
              <w:rPr>
                <w:sz w:val="20"/>
                <w:szCs w:val="20"/>
                <w:color w:val="auto"/>
              </w:rPr>
            </w:pPr>
            <w:r>
              <w:rPr>
                <w:rFonts w:ascii="Times New Roman" w:cs="Times New Roman" w:eastAsia="Times New Roman" w:hAnsi="Times New Roman"/>
                <w:sz w:val="16"/>
                <w:szCs w:val="16"/>
                <w:color w:val="auto"/>
                <w:w w:val="70"/>
              </w:rPr>
              <w:t>-  </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NOTE</w:t>
            </w:r>
          </w:p>
        </w:tc>
        <w:tc>
          <w:tcPr>
            <w:tcW w:w="1080" w:type="dxa"/>
            <w:vAlign w:val="bottom"/>
          </w:tcPr>
          <w:p>
            <w:pPr>
              <w:spacing w:after="0"/>
              <w:rPr>
                <w:sz w:val="24"/>
                <w:szCs w:val="24"/>
                <w:color w:val="auto"/>
              </w:rPr>
            </w:pPr>
          </w:p>
        </w:tc>
      </w:t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1"/>
              </w:rPr>
              <w:t>EXHIBIT B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0"/>
              </w:rPr>
              <w:t>-  </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SUPPLEMENTAL INDENTURE TO BE DELIVERED BY SUBSEQUENT GUARANTORS</w:t>
            </w:r>
          </w:p>
        </w:tc>
        <w:tc>
          <w:tcPr>
            <w:tcW w:w="1080" w:type="dxa"/>
            <w:vAlign w:val="bottom"/>
          </w:tcPr>
          <w:p>
            <w:pPr>
              <w:spacing w:after="0"/>
              <w:rPr>
                <w:sz w:val="18"/>
                <w:szCs w:val="18"/>
                <w:color w:val="auto"/>
              </w:rPr>
            </w:pPr>
          </w:p>
        </w:tc>
      </w:t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w w:val="91"/>
              </w:rPr>
              <w:t>EXHIBIT C  </w:t>
            </w:r>
          </w:p>
        </w:tc>
        <w:tc>
          <w:tcPr>
            <w:tcW w:w="2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70"/>
              </w:rPr>
              <w:t>-  </w:t>
            </w:r>
          </w:p>
        </w:tc>
        <w:tc>
          <w:tcPr>
            <w:tcW w:w="8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w:t>
            </w:r>
          </w:p>
        </w:tc>
        <w:tc>
          <w:tcPr>
            <w:tcW w:w="1080" w:type="dxa"/>
            <w:vAlign w:val="bottom"/>
          </w:tcPr>
          <w:p>
            <w:pPr>
              <w:spacing w:after="0"/>
              <w:rPr>
                <w:sz w:val="20"/>
                <w:szCs w:val="20"/>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vi</w:t>
      </w:r>
    </w:p>
    <w:p>
      <w:pPr>
        <w:sectPr>
          <w:pgSz w:w="11900" w:h="16838" w:orient="portrait"/>
          <w:cols w:equalWidth="0" w:num="1">
            <w:col w:w="10960"/>
          </w:cols>
          <w:pgMar w:left="440" w:top="269" w:right="499" w:bottom="1440" w:gutter="0" w:footer="0" w:header="0"/>
        </w:sectPr>
      </w:pPr>
    </w:p>
    <w:bookmarkStart w:id="580" w:name="page581"/>
    <w:bookmarkEnd w:id="580"/>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INDENTURE dated as of October 29, 2025 is among Versant Media Group, Inc., a corporation organized under the laws of Pennsylvania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Guarantors party hereto, Citibank, N.A., acting through its agency and trust division as trustee (in such capacity,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registrar (in such capacity, the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transfer agent (in such capacity, the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and paying agent (in such capacity, the “</w:t>
      </w:r>
      <w:r>
        <w:rPr>
          <w:rFonts w:ascii="Times New Roman" w:cs="Times New Roman" w:eastAsia="Times New Roman" w:hAnsi="Times New Roman"/>
          <w:sz w:val="18"/>
          <w:szCs w:val="18"/>
          <w:b w:val="1"/>
          <w:bCs w:val="1"/>
          <w:color w:val="auto"/>
        </w:rPr>
        <w:t>Paying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and Citibank, N.A., as notes collateral agent (in such capacity, the “</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consideration of the premises and the purchase of the Notes by the Holders thereof, all parties agree as follows for the benefit of the other and for the equal and ratable benefit of the registered Holders of the Notes.</w:t>
      </w:r>
    </w:p>
    <w:p>
      <w:pPr>
        <w:spacing w:after="0" w:line="3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144A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initially be issued in a denomination equal to the principal amount of the Notes sold in reliance on Rule 144A.</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Intercreditor Agreement</w:t>
      </w:r>
      <w:r>
        <w:rPr>
          <w:rFonts w:ascii="Times New Roman" w:cs="Times New Roman" w:eastAsia="Times New Roman" w:hAnsi="Times New Roman"/>
          <w:sz w:val="18"/>
          <w:szCs w:val="18"/>
          <w:color w:val="auto"/>
        </w:rPr>
        <w:t>” means each of (i) the Pari Passu Intercreditor Agreement, as amended, modified, supplemented, substituted, replaced or restated, in whole or in part, from time to time in accordance with the terms thereof and (ii) an intercreditor or subordination agreement or arrangement (which may take the form of a “waterfall” or similar provision) the terms of which are either (a) consistent with market terms governing intercreditor arrangements for the sharing or subordination of liens or arrangements relating to the distribution of payments, as applicable, at the time the applicable agreement or arrangement is proposed to be established in light of the type of Indebtedness subject thereto or (b) in the event an “Acceptable Intercreditor Agreement” has been entered into after the Escrow Release Date meeting the requirement of preceding clause (a), the terms of which are, taken as a whole, not materially less favorable to the Holders of the Notes than the terms of such Acceptable Intercreditor Agreement to the extent such agreement governs similar priorities, in each case of clause (a) or (b) as determined by the Issuer in good faith. For the avoidance of doubt, any intercreditor agreement attached as an exhibit to any Credit Agreement to be entered into on or prior to the Escrow Release Date shall constitute an Acceptable Intercreditor Agreement.</w:t>
      </w:r>
    </w:p>
    <w:p>
      <w:pPr>
        <w:spacing w:after="0" w:line="18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Notes</w:t>
      </w:r>
      <w:r>
        <w:rPr>
          <w:rFonts w:ascii="Times New Roman" w:cs="Times New Roman" w:eastAsia="Times New Roman" w:hAnsi="Times New Roman"/>
          <w:sz w:val="18"/>
          <w:szCs w:val="18"/>
          <w:color w:val="auto"/>
        </w:rPr>
        <w:t xml:space="preserve">” means the additional principal amount of Notes (other than the Initial Notes) that the Issuer may issue from time to time under this Indenture in accordance with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of this Indenture as part of the same series of Notes issued on the date hereof other than Notes issued in exchange for, or replacement of outstanding Notes.</w:t>
      </w:r>
    </w:p>
    <w:p>
      <w:pPr>
        <w:spacing w:after="0" w:line="171"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as applied to any Person, any other Person directly or indirectly Controlling, Controlled by, or under common Control with, that Person. Notwithstanding anything herein to the contrary, neither Comcast nor any of its Subsidiaries (after giving effect to the Separation) shall be considered an Affiliate of the Issuer or any subsidiary thereof.</w:t>
      </w:r>
    </w:p>
    <w:p>
      <w:pPr>
        <w:sectPr>
          <w:pgSz w:w="11900" w:h="16838" w:orient="portrait"/>
          <w:cols w:equalWidth="0" w:num="1">
            <w:col w:w="10980"/>
          </w:cols>
          <w:pgMar w:left="440" w:top="269" w:right="479" w:bottom="1440" w:gutter="0" w:footer="0" w:header="0"/>
        </w:sectPr>
      </w:pPr>
    </w:p>
    <w:bookmarkStart w:id="581" w:name="page582"/>
    <w:bookmarkEnd w:id="581"/>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After-Acquired Property</w:t>
      </w:r>
      <w:r>
        <w:rPr>
          <w:rFonts w:ascii="Times New Roman" w:cs="Times New Roman" w:eastAsia="Times New Roman" w:hAnsi="Times New Roman"/>
          <w:sz w:val="18"/>
          <w:szCs w:val="18"/>
          <w:color w:val="auto"/>
        </w:rPr>
        <w:t xml:space="preserve">” means property (other than Excluded Assets) that is intended to be Collateral acquired by the Issuer or a Guarantor that is not automatically subject to a perfected security interest under the Collateral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while any obligations under any Credit Agreement are outstanding, After-Acquired Property shall only be Collateral that is pledged to secure the obligations under the Credit Agreements (including property of a Person that becomes a new Guarantor) after the Escrow Release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w:t>
      </w:r>
      <w:r>
        <w:rPr>
          <w:rFonts w:ascii="Times New Roman" w:cs="Times New Roman" w:eastAsia="Times New Roman" w:hAnsi="Times New Roman"/>
          <w:sz w:val="18"/>
          <w:szCs w:val="18"/>
          <w:color w:val="auto"/>
        </w:rPr>
        <w:t>” means the Notes Custodian, any Registrar, Transfer Agent, or Paying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Premium</w:t>
      </w:r>
      <w:r>
        <w:rPr>
          <w:rFonts w:ascii="Times New Roman" w:cs="Times New Roman" w:eastAsia="Times New Roman" w:hAnsi="Times New Roman"/>
          <w:sz w:val="18"/>
          <w:szCs w:val="18"/>
          <w:color w:val="auto"/>
        </w:rPr>
        <w:t>” means, with respect to the Notes, as determined by the Issuer, the greater of:</w:t>
      </w:r>
    </w:p>
    <w:p>
      <w:pPr>
        <w:spacing w:after="0" w:line="121" w:lineRule="exact"/>
        <w:rPr>
          <w:sz w:val="20"/>
          <w:szCs w:val="20"/>
          <w:color w:val="auto"/>
        </w:rPr>
      </w:pPr>
    </w:p>
    <w:p>
      <w:pPr>
        <w:ind w:left="1120" w:hanging="261"/>
        <w:spacing w:after="0"/>
        <w:tabs>
          <w:tab w:leader="none" w:pos="112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of the then outstanding principal amount of such Notes, and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present value of all remaining required interest payments and the outstanding principal amount due on such Notes and all premium payments relating to such Notes assuming a Redemption Date of January 30, 2028, computed using a discount rate equal to the Treasury Rate plus 50 basis points, </w:t>
      </w:r>
      <w:r>
        <w:rPr>
          <w:rFonts w:ascii="Times New Roman" w:cs="Times New Roman" w:eastAsia="Times New Roman" w:hAnsi="Times New Roman"/>
          <w:sz w:val="18"/>
          <w:szCs w:val="18"/>
          <w:i w:val="1"/>
          <w:iCs w:val="1"/>
          <w:color w:val="auto"/>
        </w:rPr>
        <w:t>minus</w:t>
      </w:r>
    </w:p>
    <w:p>
      <w:pPr>
        <w:spacing w:after="0" w:line="6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then outstanding principal amount of such Notes, </w:t>
      </w:r>
      <w:r>
        <w:rPr>
          <w:rFonts w:ascii="Times New Roman" w:cs="Times New Roman" w:eastAsia="Times New Roman" w:hAnsi="Times New Roman"/>
          <w:sz w:val="18"/>
          <w:szCs w:val="18"/>
          <w:i w:val="1"/>
          <w:iCs w:val="1"/>
          <w:color w:val="auto"/>
        </w:rPr>
        <w:t>minus</w:t>
      </w:r>
    </w:p>
    <w:p>
      <w:pPr>
        <w:spacing w:after="0" w:line="119"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interest paid on the date of redemption.</w:t>
      </w:r>
    </w:p>
    <w:p>
      <w:pPr>
        <w:spacing w:after="0" w:line="22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Procedures</w:t>
      </w:r>
      <w:r>
        <w:rPr>
          <w:rFonts w:ascii="Times New Roman" w:cs="Times New Roman" w:eastAsia="Times New Roman" w:hAnsi="Times New Roman"/>
          <w:sz w:val="18"/>
          <w:szCs w:val="18"/>
          <w:color w:val="auto"/>
        </w:rPr>
        <w:t>” means, with respect to any transfer or exchange of beneficial ownership interests in the Global Notes, the rules and procedures of the Depositary, Euroclear and Clearstream, in each case to the extent applicable, to such transfer or exchange.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60" w:firstLine="419"/>
        <w:spacing w:after="0" w:line="261" w:lineRule="auto"/>
        <w:tabs>
          <w:tab w:leader="none" w:pos="1118"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lease, conveyance or other disposition of assets, property or rights outside of the ordinary course of business (including by way of Sale Leaseback);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sale, lease, conveyance or other disposition of all or substantially all of the assets of the Issuer and its Restricted Subsidiaries taken as a whole will be governed by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hereof and not by the provisions of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 and</w:t>
      </w:r>
    </w:p>
    <w:p>
      <w:pPr>
        <w:spacing w:after="0" w:line="71"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Equity Interests by any of the Issuer’s Restricted Subsidiaries or the sale of Equity Interests in any of its Restricted Subsidiaries, in each case other than directors’ qualifying shares.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preceding, none of the following items will be deemed to be an Asset Sale:</w:t>
      </w:r>
    </w:p>
    <w:p>
      <w:pPr>
        <w:spacing w:after="0" w:line="117" w:lineRule="exact"/>
        <w:rPr>
          <w:sz w:val="20"/>
          <w:szCs w:val="20"/>
          <w:color w:val="auto"/>
        </w:rPr>
      </w:pPr>
    </w:p>
    <w:p>
      <w:pPr>
        <w:ind w:left="440" w:right="300" w:firstLine="419"/>
        <w:spacing w:after="0" w:line="282" w:lineRule="auto"/>
        <w:tabs>
          <w:tab w:leader="none" w:pos="1118"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(including of Capital Stock) among the Issuer or any Restricted Subsidiary or (ii) an issuance of Equity Interests by a Restricted Subsidiary of the Issuer to the Issuer or to another Restricted Subsidiary of the Issuer;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65" w:right="499" w:bottom="1440" w:gutter="0" w:footer="0" w:header="0"/>
        </w:sectPr>
      </w:pPr>
    </w:p>
    <w:bookmarkStart w:id="582" w:name="page583"/>
    <w:bookmarkEnd w:id="582"/>
    <w:p>
      <w:pPr>
        <w:ind w:left="4" w:right="600" w:firstLine="419"/>
        <w:spacing w:after="0" w:line="282" w:lineRule="auto"/>
        <w:tabs>
          <w:tab w:leader="none" w:pos="681" w:val="left"/>
        </w:tabs>
        <w:numPr>
          <w:ilvl w:val="1"/>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(x) dispositions of inventory or goods held for sale, equipment or other assets in the ordinary course of business (including on an intercompany basis) and (y) the leasing or subleasing of real property in the ordinary course of business;</w:t>
      </w:r>
    </w:p>
    <w:p>
      <w:pPr>
        <w:spacing w:after="0" w:line="53" w:lineRule="exact"/>
        <w:rPr>
          <w:rFonts w:ascii="Times New Roman" w:cs="Times New Roman" w:eastAsia="Times New Roman" w:hAnsi="Times New Roman"/>
          <w:sz w:val="18"/>
          <w:szCs w:val="18"/>
          <w:color w:val="auto"/>
        </w:rPr>
      </w:pPr>
    </w:p>
    <w:p>
      <w:pPr>
        <w:jc w:val="both"/>
        <w:ind w:left="4" w:right="360" w:firstLine="419"/>
        <w:spacing w:after="0" w:line="266" w:lineRule="auto"/>
        <w:tabs>
          <w:tab w:leader="none" w:pos="681" w:val="left"/>
        </w:tabs>
        <w:numPr>
          <w:ilvl w:val="1"/>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surplus, obsolete, used or worn out property or other property that, in the good faith judgment of the Issuer, is (A) no longer useful in its business (or in the business of any Restricted Subsidiary of the Issuer) or (B) otherwise economically impracticable or not commercially reasonable to maintain;</w:t>
      </w:r>
    </w:p>
    <w:p>
      <w:pPr>
        <w:spacing w:after="0" w:line="67" w:lineRule="exact"/>
        <w:rPr>
          <w:rFonts w:ascii="Times New Roman" w:cs="Times New Roman" w:eastAsia="Times New Roman" w:hAnsi="Times New Roman"/>
          <w:sz w:val="18"/>
          <w:szCs w:val="18"/>
          <w:color w:val="auto"/>
        </w:rPr>
      </w:pPr>
    </w:p>
    <w:p>
      <w:pPr>
        <w:ind w:left="4" w:right="440" w:firstLine="419"/>
        <w:spacing w:after="0" w:line="282" w:lineRule="auto"/>
        <w:tabs>
          <w:tab w:leader="none" w:pos="681" w:val="left"/>
        </w:tabs>
        <w:numPr>
          <w:ilvl w:val="1"/>
          <w:numId w:val="7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Cash, Cash Equivalents and/or Investment Grade Securities or other assets that were Cash, Cash Equivalents and/or Investment Grade Securities when the relevant original Investment was made;</w:t>
      </w:r>
    </w:p>
    <w:p>
      <w:pPr>
        <w:spacing w:after="0" w:line="53" w:lineRule="exact"/>
        <w:rPr>
          <w:rFonts w:ascii="Times New Roman" w:cs="Times New Roman" w:eastAsia="Times New Roman" w:hAnsi="Times New Roman"/>
          <w:sz w:val="18"/>
          <w:szCs w:val="18"/>
          <w:color w:val="auto"/>
        </w:rPr>
      </w:pPr>
    </w:p>
    <w:p>
      <w:pPr>
        <w:jc w:val="both"/>
        <w:ind w:left="4" w:right="140" w:firstLine="419"/>
        <w:spacing w:after="0" w:line="276" w:lineRule="auto"/>
        <w:tabs>
          <w:tab w:leader="none" w:pos="681" w:val="left"/>
        </w:tabs>
        <w:numPr>
          <w:ilvl w:val="1"/>
          <w:numId w:val="7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dispositions that constitute (or are made in order to effectuate) (i) any Restricted Payment (including any Investment) not prohibited by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hereof (other than pursuant to </w:t>
      </w:r>
      <w:r>
        <w:rPr>
          <w:rFonts w:ascii="Times New Roman" w:cs="Times New Roman" w:eastAsia="Times New Roman" w:hAnsi="Times New Roman"/>
          <w:sz w:val="17"/>
          <w:szCs w:val="17"/>
          <w:u w:val="single" w:color="auto"/>
          <w:color w:val="auto"/>
        </w:rPr>
        <w:t>Section 4.08(b)(vi)</w:t>
      </w:r>
      <w:r>
        <w:rPr>
          <w:rFonts w:ascii="Times New Roman" w:cs="Times New Roman" w:eastAsia="Times New Roman" w:hAnsi="Times New Roman"/>
          <w:sz w:val="17"/>
          <w:szCs w:val="17"/>
          <w:color w:val="auto"/>
        </w:rPr>
        <w:t xml:space="preserve"> and clause (9) of the definition of “Permitted Investments”) or Permitted Liens or</w:t>
      </w:r>
    </w:p>
    <w:p>
      <w:pPr>
        <w:ind w:left="264" w:hanging="264"/>
        <w:spacing w:after="0"/>
        <w:tabs>
          <w:tab w:leader="none" w:pos="264"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Leasebacks;</w:t>
      </w:r>
    </w:p>
    <w:p>
      <w:pPr>
        <w:spacing w:after="0" w:line="98"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681"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the extent that (i) the relevant property is exchanged for credit against the purchase price of similar replacement property or (ii) the proceeds of the relevant disposition are promptly applied to the purchase price of such replacement property;</w:t>
      </w:r>
    </w:p>
    <w:p>
      <w:pPr>
        <w:spacing w:after="0" w:line="53" w:lineRule="exact"/>
        <w:rPr>
          <w:rFonts w:ascii="Times New Roman" w:cs="Times New Roman" w:eastAsia="Times New Roman" w:hAnsi="Times New Roman"/>
          <w:sz w:val="18"/>
          <w:szCs w:val="18"/>
          <w:color w:val="auto"/>
        </w:rPr>
      </w:pPr>
    </w:p>
    <w:p>
      <w:pPr>
        <w:ind w:left="4" w:right="180" w:firstLine="419"/>
        <w:spacing w:after="0" w:line="261" w:lineRule="auto"/>
        <w:tabs>
          <w:tab w:leader="none" w:pos="681"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(or assets of) Joint Ventures or other non-Wholly-Owned Subsidiaries to the extent required by, or made pursuant to, buy/sell arrangements between joint venture or similar parties set forth in the relevant joint venture arrangements and/or similar binding arrangements, or made on a pro rata basis to the owners thereof (or on a greater than pro rata basis to the extent the recipient of such greater amount is the Issuer or a Restricted Subsidiary);</w:t>
      </w:r>
    </w:p>
    <w:p>
      <w:pPr>
        <w:spacing w:after="0" w:line="71"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receivables in connection with a Qualified Securitization Transaction;</w:t>
      </w:r>
    </w:p>
    <w:p>
      <w:pPr>
        <w:spacing w:after="0" w:line="117" w:lineRule="exact"/>
        <w:rPr>
          <w:rFonts w:ascii="Times New Roman" w:cs="Times New Roman" w:eastAsia="Times New Roman" w:hAnsi="Times New Roman"/>
          <w:sz w:val="18"/>
          <w:szCs w:val="18"/>
          <w:color w:val="auto"/>
        </w:rPr>
      </w:pPr>
    </w:p>
    <w:p>
      <w:pPr>
        <w:ind w:left="4" w:right="360" w:firstLine="419"/>
        <w:spacing w:after="0" w:line="312" w:lineRule="auto"/>
        <w:tabs>
          <w:tab w:leader="none" w:pos="681" w:val="left"/>
        </w:tabs>
        <w:numPr>
          <w:ilvl w:val="1"/>
          <w:numId w:val="7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dispositions of notes receivable or accounts receivable in the ordinary course of business (including any discount and/or forgiveness thereof) or in connection with the collection or compromise thereof, or as part of any bankruptcy, insolvency or similar proceeding;</w:t>
      </w:r>
    </w:p>
    <w:p>
      <w:pPr>
        <w:spacing w:after="0" w:line="31" w:lineRule="exact"/>
        <w:rPr>
          <w:rFonts w:ascii="Times New Roman" w:cs="Times New Roman" w:eastAsia="Times New Roman" w:hAnsi="Times New Roman"/>
          <w:sz w:val="17"/>
          <w:szCs w:val="17"/>
          <w:color w:val="auto"/>
        </w:rPr>
      </w:pPr>
    </w:p>
    <w:p>
      <w:pPr>
        <w:ind w:left="4" w:right="80" w:firstLine="419"/>
        <w:spacing w:after="0" w:line="261" w:lineRule="auto"/>
        <w:tabs>
          <w:tab w:leader="none" w:pos="771"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and/or terminations of, or constituting, leases, subleases, licenses, sublicenses or cross-licenses (including the provision of software under any open source license), the dispositions or terminations of which (i) do not materially interfere with the business of the Issuer and its Restricted Subsidiaries, (ii) relate to closed facilities or the discontinuation of any product line or (iii) are made in the ordinary course of business;</w:t>
      </w:r>
    </w:p>
    <w:p>
      <w:pPr>
        <w:spacing w:after="0" w:line="71" w:lineRule="exact"/>
        <w:rPr>
          <w:rFonts w:ascii="Times New Roman" w:cs="Times New Roman" w:eastAsia="Times New Roman" w:hAnsi="Times New Roman"/>
          <w:sz w:val="18"/>
          <w:szCs w:val="18"/>
          <w:color w:val="auto"/>
        </w:rPr>
      </w:pPr>
    </w:p>
    <w:p>
      <w:pPr>
        <w:ind w:left="4" w:firstLine="419"/>
        <w:spacing w:after="0" w:line="261" w:lineRule="auto"/>
        <w:tabs>
          <w:tab w:leader="none" w:pos="765"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termination of any lease, sublease, license or sub-license in the ordinary course of business (and any related disposition of improvements made to leased real property resulting therefrom), (ii) any expiration of any option agreement in respect of real or personal property and (iii) any surrender or waiver of contractual rights or the settlement, release or surrender of contractual rights or litigation claims (including in tort) in the ordinary course of business;</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44"/>
          </w:cols>
          <w:pgMar w:left="876" w:top="269" w:right="479" w:bottom="1440" w:gutter="0" w:footer="0" w:header="0"/>
        </w:sectPr>
      </w:pPr>
    </w:p>
    <w:bookmarkStart w:id="583" w:name="page584"/>
    <w:bookmarkEnd w:id="583"/>
    <w:p>
      <w:pPr>
        <w:ind w:left="4" w:right="820" w:firstLine="419"/>
        <w:spacing w:after="0" w:line="282" w:lineRule="auto"/>
        <w:tabs>
          <w:tab w:leader="none" w:pos="771"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dispositions of property subject to foreclosure, expropriation, forced disposition, casualty, eminent domain, expropriation or condemnation proceedings (including in lieu thereof or any similar proceeding);</w:t>
      </w:r>
    </w:p>
    <w:p>
      <w:pPr>
        <w:spacing w:after="0" w:line="53" w:lineRule="exact"/>
        <w:rPr>
          <w:rFonts w:ascii="Times New Roman" w:cs="Times New Roman" w:eastAsia="Times New Roman" w:hAnsi="Times New Roman"/>
          <w:sz w:val="18"/>
          <w:szCs w:val="18"/>
          <w:color w:val="auto"/>
        </w:rPr>
      </w:pPr>
    </w:p>
    <w:p>
      <w:pPr>
        <w:jc w:val="both"/>
        <w:ind w:left="4" w:right="80" w:firstLine="419"/>
        <w:spacing w:after="0" w:line="266" w:lineRule="auto"/>
        <w:tabs>
          <w:tab w:leader="none" w:pos="771" w:val="left"/>
        </w:tabs>
        <w:numPr>
          <w:ilvl w:val="1"/>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consignments of equipment, inventory or other assets (including leasehold or licensed interests and Settlement Assets, but excluding intellectual property or other IP Rights) (x) with respect to facilities that are temporarily not in use, held for sale or closed or (y) in the ordinary course of business;</w:t>
      </w:r>
    </w:p>
    <w:p>
      <w:pPr>
        <w:spacing w:after="0" w:line="67" w:lineRule="exact"/>
        <w:rPr>
          <w:rFonts w:ascii="Times New Roman" w:cs="Times New Roman" w:eastAsia="Times New Roman" w:hAnsi="Times New Roman"/>
          <w:sz w:val="18"/>
          <w:szCs w:val="18"/>
          <w:color w:val="auto"/>
        </w:rPr>
      </w:pPr>
    </w:p>
    <w:p>
      <w:pPr>
        <w:ind w:left="4" w:right="360" w:firstLine="419"/>
        <w:spacing w:after="0" w:line="272" w:lineRule="auto"/>
        <w:tabs>
          <w:tab w:leader="none" w:pos="771" w:val="left"/>
        </w:tabs>
        <w:numPr>
          <w:ilvl w:val="1"/>
          <w:numId w:val="7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of non-core assets and sales of Real Estate Assets, in each case acquired in any acquisition or other Investment not prohibited by this Indenture, (II) dispositions (x) made in order to obtain the approval of any anti-trust authority or otherwise necessary or advisable in the good faith determination of the Issuer to consummate any acquisition or other Investment not prohibited by this Indenture or</w:t>
      </w:r>
    </w:p>
    <w:p>
      <w:pPr>
        <w:spacing w:after="0" w:line="1" w:lineRule="exact"/>
        <w:rPr>
          <w:rFonts w:ascii="Times New Roman" w:cs="Times New Roman" w:eastAsia="Times New Roman" w:hAnsi="Times New Roman"/>
          <w:sz w:val="17"/>
          <w:szCs w:val="17"/>
          <w:color w:val="auto"/>
        </w:rPr>
      </w:pPr>
    </w:p>
    <w:p>
      <w:pPr>
        <w:jc w:val="both"/>
        <w:ind w:left="4" w:hanging="4"/>
        <w:spacing w:after="0" w:line="255" w:lineRule="auto"/>
        <w:tabs>
          <w:tab w:leader="none" w:pos="258" w:val="left"/>
        </w:tabs>
        <w:numPr>
          <w:ilvl w:val="0"/>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within 180 days of the date of such acquisition or Investment, are designated in writing to the Trustee as being held for sale and not for the continued operation of the Issuer or any of their Restricted Subsidiaries or any of their respective businesses or (III) dispositions of immaterial assets (considered in the aggregate and as reasonably determined by the Issuer in good faith);</w:t>
      </w:r>
    </w:p>
    <w:p>
      <w:pPr>
        <w:spacing w:after="0" w:line="77"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771" w:val="left"/>
        </w:tabs>
        <w:numPr>
          <w:ilvl w:val="1"/>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exchanges or swaps, including transactions covered by Section 1031 of the Code (or any comparable provision of any foreign jurisdiction), of property or assets so long as any such exchange or swap is made for fair value (as determined by the Issuer in good faith) for like property or assets or property, assets or services of greater value or usefulness to the business of the Issuer and its Restricted Subsidiaries as a whole, as determined in good faith by the Issuer; </w:t>
      </w:r>
      <w:r>
        <w:rPr>
          <w:rFonts w:ascii="Times New Roman" w:cs="Times New Roman" w:eastAsia="Times New Roman" w:hAnsi="Times New Roman"/>
          <w:sz w:val="18"/>
          <w:szCs w:val="18"/>
          <w:i w:val="1"/>
          <w:iCs w:val="1"/>
          <w:color w:val="auto"/>
        </w:rPr>
        <w:t>provided that</w:t>
      </w:r>
      <w:r>
        <w:rPr>
          <w:rFonts w:ascii="Times New Roman" w:cs="Times New Roman" w:eastAsia="Times New Roman" w:hAnsi="Times New Roman"/>
          <w:sz w:val="18"/>
          <w:szCs w:val="18"/>
          <w:color w:val="auto"/>
        </w:rPr>
        <w:t xml:space="preserve"> upon the consummation of any such exchange or swap by the Issuer or any Guarantor, to the extent the property received does not constitute an Excluded Asset, the Notes Collateral Agent has a perfected Lien with the same priority as the Lien held on the property or assets so exchanged or swapped;</w:t>
      </w:r>
    </w:p>
    <w:p>
      <w:pPr>
        <w:spacing w:after="0" w:line="79"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771" w:val="left"/>
        </w:tabs>
        <w:numPr>
          <w:ilvl w:val="1"/>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assets that do not constitute Collateral having a Fair Market Value of not more than, in any fiscal year, the greater of (a) $337.5 million and (b) 15.0% of LTM Consolidated Adjusted EBITDA, which amounts if not used in any fiscal year may be carried forward to subsequent fiscal years (until so applied);</w:t>
      </w:r>
    </w:p>
    <w:p>
      <w:pPr>
        <w:spacing w:after="0" w:line="67" w:lineRule="exact"/>
        <w:rPr>
          <w:rFonts w:ascii="Times New Roman" w:cs="Times New Roman" w:eastAsia="Times New Roman" w:hAnsi="Times New Roman"/>
          <w:sz w:val="18"/>
          <w:szCs w:val="18"/>
          <w:color w:val="auto"/>
        </w:rPr>
      </w:pPr>
    </w:p>
    <w:p>
      <w:pPr>
        <w:ind w:left="4" w:right="100" w:firstLine="419"/>
        <w:spacing w:after="0" w:line="255" w:lineRule="auto"/>
        <w:tabs>
          <w:tab w:leader="none" w:pos="771" w:val="left"/>
        </w:tabs>
        <w:numPr>
          <w:ilvl w:val="1"/>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licensing and cross-licensing (including sub-licensing) arrangements involving any technology, intellectual property or other IP Rights of the Issuer or any Restricted Subsidiary in the ordinary course of business, (ii) dispositions, abandonments, cancellations or lapses of intellectual property or other IP Rights, including issuances or registrations thereof, or applications for issuances or registrations thereof, in accordance with their statutory terms, or in the ordinary course of business or which, in the good faith determination of the Issuer, are not necessary to the conduct of the business of the Issuer or their Restricted Subsidiaries or are obsolete or no longer economical to maintain in light of their use, and (iii) dispositions of any technology, intellectual property or other IP Rights of the Issuer or any Restricted Subsidiary involving their customers in the ordinary course of business;</w:t>
      </w:r>
    </w:p>
    <w:p>
      <w:pPr>
        <w:spacing w:after="0" w:line="121"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04"/>
          </w:cols>
          <w:pgMar w:left="876" w:top="269" w:right="519" w:bottom="1440" w:gutter="0" w:footer="0" w:header="0"/>
        </w:sectPr>
      </w:pPr>
    </w:p>
    <w:bookmarkStart w:id="584" w:name="page585"/>
    <w:bookmarkEnd w:id="584"/>
    <w:p>
      <w:pPr>
        <w:ind w:left="760" w:hanging="341"/>
        <w:spacing w:after="0"/>
        <w:tabs>
          <w:tab w:leader="none" w:pos="7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terminations or unwinds of Derivative Transactions;</w:t>
      </w:r>
    </w:p>
    <w:p>
      <w:pPr>
        <w:spacing w:after="0" w:line="117"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768"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Capital Stock of, or sales of Indebtedness or other Securities of, Unrestricted Subsidiaries (or any Restricted Subsidiary that owns one or more Unrestricted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Restricted Subsidiary owns no other material assets other than Capital Stock of one or more Unrestricted Subsidiaries), in each case other than Unrestricted Subsidiaries, the primary assets of which are Cash and/or Cash Equivalents;</w:t>
      </w:r>
    </w:p>
    <w:p>
      <w:pPr>
        <w:spacing w:after="0" w:line="71" w:lineRule="exact"/>
        <w:rPr>
          <w:rFonts w:ascii="Times New Roman" w:cs="Times New Roman" w:eastAsia="Times New Roman" w:hAnsi="Times New Roman"/>
          <w:sz w:val="18"/>
          <w:szCs w:val="18"/>
          <w:color w:val="auto"/>
        </w:rPr>
      </w:pPr>
    </w:p>
    <w:p>
      <w:pPr>
        <w:ind w:right="500" w:firstLine="419"/>
        <w:spacing w:after="0" w:line="282" w:lineRule="auto"/>
        <w:tabs>
          <w:tab w:leader="none" w:pos="768"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Real Estate Assets and related assets in the ordinary course of business in connection with relocation activities for directors, officers, employees, members of management, managers or consultants, the Issuer and/or any Restricted Subsidiary;</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768"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made to comply with any order or other directive of any Governmental Authority or any applicable Requirements of Law, including dispositions of any Restricted Subsidiary’s Capital Stock required to qualify directors;</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768"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single transaction or series of related transactions that involves assets having a Fair Market Value of no more than the greater of (a) $112.5 million and (b) 5.0% of LTM Consolidated Adjusted EBITDA;</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constituting any part of a Permitted Reorganization;</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of motor vehicles and information technology equipment purchased at the end of an operating lease and resold thereafter;</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dispositions of assets having a Fair Market Value of not more than, in the aggregate, the greater of (a) $562.5 million and (b)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of LTM Consolidated Adjusted EBITDA;</w:t>
      </w:r>
    </w:p>
    <w:p>
      <w:pPr>
        <w:spacing w:after="0" w:line="99" w:lineRule="exact"/>
        <w:rPr>
          <w:sz w:val="20"/>
          <w:szCs w:val="20"/>
          <w:color w:val="auto"/>
        </w:rPr>
      </w:pPr>
    </w:p>
    <w:p>
      <w:pPr>
        <w:ind w:firstLine="419"/>
        <w:spacing w:after="0" w:line="256" w:lineRule="auto"/>
        <w:tabs>
          <w:tab w:leader="none" w:pos="768"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sales, transfers or other dispositions of assets for consideration at least equal to the Fair Market Value of the assets sold or disposed of, but only if the consideration received consists of property or assets (other than cash, except to the extent used as a bona fide means of equalizing the value of the property or assets involved in the swap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that cash does not exceed 10% of the sum of the amount of the cash and the Fair Market Value of the assets received or given) of a nature or type that are used in a business having property or assets of a nature or type or engaged in a Permitted Business (or Capital Stock of a Person whose assets consist of assets of the type described in this clause (26));</w:t>
      </w:r>
    </w:p>
    <w:p>
      <w:pPr>
        <w:spacing w:after="0" w:line="79" w:lineRule="exact"/>
        <w:rPr>
          <w:rFonts w:ascii="Times New Roman" w:cs="Times New Roman" w:eastAsia="Times New Roman" w:hAnsi="Times New Roman"/>
          <w:sz w:val="18"/>
          <w:szCs w:val="18"/>
          <w:color w:val="auto"/>
        </w:rPr>
      </w:pPr>
    </w:p>
    <w:p>
      <w:pPr>
        <w:ind w:right="120" w:firstLine="419"/>
        <w:spacing w:after="0" w:line="312" w:lineRule="auto"/>
        <w:tabs>
          <w:tab w:leader="none" w:pos="768" w:val="left"/>
        </w:tabs>
        <w:numPr>
          <w:ilvl w:val="0"/>
          <w:numId w:val="7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issuance, sale or disposition of Capital Stock to directors, officers, managers or employees for purposes of satisfying requirements with respect to directors’ qualifying shares and shares issued to foreign nationals, in each case as required by applicable Requirements of Law;</w:t>
      </w:r>
    </w:p>
    <w:p>
      <w:pPr>
        <w:spacing w:after="0" w:line="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69" w:right="459" w:bottom="1440" w:gutter="0" w:footer="0" w:header="0"/>
        </w:sectPr>
      </w:pPr>
    </w:p>
    <w:bookmarkStart w:id="585" w:name="page586"/>
    <w:bookmarkEnd w:id="585"/>
    <w:p>
      <w:pPr>
        <w:ind w:right="280" w:firstLine="419"/>
        <w:spacing w:after="0" w:line="282" w:lineRule="auto"/>
        <w:tabs>
          <w:tab w:leader="none" w:pos="76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netting arrangement of accounts receivable between or among the Issuer and their Restricted Subsidiaries or among Restricted Subsidiaries of the Issuer made in the ordinary course of business;</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76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or in connection with, any Convertible Indebtedness, any Permitted Bond Hedge Transaction, any Permitted Warrant Transaction or any Packaged Right (including upon settlement, repurchase, exchange, termination or unwind thereof);</w:t>
      </w:r>
    </w:p>
    <w:p>
      <w:pPr>
        <w:spacing w:after="0" w:line="53" w:lineRule="exact"/>
        <w:rPr>
          <w:rFonts w:ascii="Times New Roman" w:cs="Times New Roman" w:eastAsia="Times New Roman" w:hAnsi="Times New Roman"/>
          <w:sz w:val="18"/>
          <w:szCs w:val="18"/>
          <w:color w:val="auto"/>
        </w:rPr>
      </w:pPr>
    </w:p>
    <w:p>
      <w:pPr>
        <w:ind w:right="280" w:firstLine="419"/>
        <w:spacing w:after="0" w:line="312" w:lineRule="auto"/>
        <w:tabs>
          <w:tab w:leader="none" w:pos="768" w:val="left"/>
        </w:tabs>
        <w:numPr>
          <w:ilvl w:val="0"/>
          <w:numId w:val="7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 in lieu” or other disposition of assets to any Governmental Authority that continue in use by the Issuer or any Restricted Subsidiary, so long as such Issuer or any Restricted Subsidiary may obtain title to such asset upon reasonable notice by paying a nominal fee;</w:t>
      </w:r>
    </w:p>
    <w:p>
      <w:pPr>
        <w:spacing w:after="0" w:line="31" w:lineRule="exact"/>
        <w:rPr>
          <w:rFonts w:ascii="Times New Roman" w:cs="Times New Roman" w:eastAsia="Times New Roman" w:hAnsi="Times New Roman"/>
          <w:sz w:val="17"/>
          <w:szCs w:val="17"/>
          <w:color w:val="auto"/>
        </w:rPr>
      </w:pPr>
    </w:p>
    <w:p>
      <w:pPr>
        <w:ind w:firstLine="419"/>
        <w:spacing w:after="0" w:line="258" w:lineRule="auto"/>
        <w:tabs>
          <w:tab w:leader="none" w:pos="76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formation, dissolution, liquidation or disposition of any Restricted Subsidiary that is a Delaware Divided LLC and (ii) any disposition to effect the formation of any Restricted Subsidiary that is a Delaware Divided LLC which disposition is not otherwise prohibited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upon formation of a Delaware Divided LLC, the Issuer complies with any requirements in this Indenture to cause such Delaware Divided LLC to provide a Note Guarantee or to add as Collateral the Capital Stock of such Delaware Divided LLC owned by the Issuer, as applicable;</w:t>
      </w:r>
    </w:p>
    <w:p>
      <w:pPr>
        <w:spacing w:after="0" w:line="75" w:lineRule="exact"/>
        <w:rPr>
          <w:rFonts w:ascii="Times New Roman" w:cs="Times New Roman" w:eastAsia="Times New Roman" w:hAnsi="Times New Roman"/>
          <w:sz w:val="18"/>
          <w:szCs w:val="18"/>
          <w:color w:val="auto"/>
        </w:rPr>
      </w:pPr>
    </w:p>
    <w:p>
      <w:pPr>
        <w:ind w:right="40" w:firstLine="419"/>
        <w:spacing w:after="0" w:line="266" w:lineRule="auto"/>
        <w:tabs>
          <w:tab w:leader="none" w:pos="76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or participations therein, or Permitted Receivables Facility Assets, or any disposition of the Capital Stock in a Subsidiary all or substantially all of the assets of which are Permitted Receivables Facility Assets, or other rights to payment and related assets, in each case in connection with any receivables facility;</w:t>
      </w:r>
    </w:p>
    <w:p>
      <w:pPr>
        <w:spacing w:after="0" w:line="67" w:lineRule="exact"/>
        <w:rPr>
          <w:rFonts w:ascii="Times New Roman" w:cs="Times New Roman" w:eastAsia="Times New Roman" w:hAnsi="Times New Roman"/>
          <w:sz w:val="18"/>
          <w:szCs w:val="18"/>
          <w:color w:val="auto"/>
        </w:rPr>
      </w:pPr>
    </w:p>
    <w:p>
      <w:pPr>
        <w:jc w:val="both"/>
        <w:ind w:right="340" w:firstLine="419"/>
        <w:spacing w:after="0" w:line="266" w:lineRule="auto"/>
        <w:tabs>
          <w:tab w:leader="none" w:pos="76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amalgamation, disposition or conveyance the sole purpose of which is to reincorporate or reorganize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Restricted Subsidiary is a Guarantor it must become a Guarantor in such other jurisdiction to the extent otherwise required hereunder);</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contemplated as of the Escrow Release Date as set forth in the Offering Memorandum;</w:t>
      </w:r>
    </w:p>
    <w:p>
      <w:pPr>
        <w:spacing w:after="0" w:line="117" w:lineRule="exact"/>
        <w:rPr>
          <w:rFonts w:ascii="Times New Roman" w:cs="Times New Roman" w:eastAsia="Times New Roman" w:hAnsi="Times New Roman"/>
          <w:sz w:val="18"/>
          <w:szCs w:val="18"/>
          <w:color w:val="auto"/>
        </w:rPr>
      </w:pPr>
    </w:p>
    <w:p>
      <w:pPr>
        <w:ind w:right="120" w:firstLine="419"/>
        <w:spacing w:after="0" w:line="266" w:lineRule="auto"/>
        <w:tabs>
          <w:tab w:leader="none" w:pos="76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made as part of, or which are reasonably necessary or appropriate (as determined by the Issuer in good faith) to effect or facilitate, the Separation, including the Restructuring, the Issuer Distribution and the Distribution, or otherwise pursuant to Separation Agreements; and</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or assets financed with the Available Excluded Contribution Amount or under 4.8(a)(3)(C) hereof.</w:t>
      </w:r>
    </w:p>
    <w:p>
      <w:pPr>
        <w:spacing w:after="0" w:line="158"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440"/>
          </w:cols>
          <w:pgMar w:left="880" w:top="269" w:right="579" w:bottom="1440" w:gutter="0" w:footer="0" w:header="0"/>
        </w:sectPr>
      </w:pPr>
    </w:p>
    <w:bookmarkStart w:id="586" w:name="page587"/>
    <w:bookmarkEnd w:id="586"/>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the foregoing, any Asset Sale (or other disposition) in the form of a transfer of actual legal title (or transfer of similar effect) or an exclusive license of Material Intellectual Property by the Issuer or any Restricted Subsidiary to Unrestricted Subsidiaries shall not be permitted;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notwithstanding the foregoing, for the avoidance of doubt, the above references to a transfer of actual legal title (or transfer of similar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Issuer in good faith) that is only exclusive with respect to a particular type or field (or types or fields) of usage or a certain territory or group of territories.</w:t>
      </w:r>
    </w:p>
    <w:p>
      <w:pPr>
        <w:spacing w:after="0" w:line="169"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 Prepayment Percentage</w:t>
      </w:r>
      <w:r>
        <w:rPr>
          <w:rFonts w:ascii="Times New Roman" w:cs="Times New Roman" w:eastAsia="Times New Roman" w:hAnsi="Times New Roman"/>
          <w:sz w:val="18"/>
          <w:szCs w:val="18"/>
          <w:color w:val="auto"/>
        </w:rPr>
        <w:t xml:space="preserve">” means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of receipt by the Issuer or the relevant Restricted Subsidiary of the Net Proceeds from any Asset Sale, on a Pro Forma Basis after giving effect to the applicable Asset Sale and the application of the Net Proceeds therefrom, (i) the Secured Net Leverage Ratio is less than or equal to 1.00 to 1.00 and greater than 0.75 to 1.00, such percentage shall instead be 50% or (ii) the Secured Net Leverage Ratio is less than or equal to 0.75 to 1.00, such percentage shall instead be 0%.</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Excluded Contribution Amount</w:t>
      </w:r>
      <w:r>
        <w:rPr>
          <w:rFonts w:ascii="Times New Roman" w:cs="Times New Roman" w:eastAsia="Times New Roman" w:hAnsi="Times New Roman"/>
          <w:sz w:val="18"/>
          <w:szCs w:val="18"/>
          <w:color w:val="auto"/>
        </w:rPr>
        <w:t>” means the aggregate amount of Cash or Cash Equivalents or the fair market value of other assets or property (as determined by the Issuer in good faith, but excluding any amounts that are applied to increase the basket set forth in Section 4.08(a)(3) hereof) received by the Issuer or any of its Restricted Subsidiaries after the Escrow Release Date from:</w:t>
      </w:r>
    </w:p>
    <w:p>
      <w:pPr>
        <w:spacing w:after="0" w:line="67" w:lineRule="exact"/>
        <w:rPr>
          <w:sz w:val="20"/>
          <w:szCs w:val="20"/>
          <w:color w:val="auto"/>
        </w:rPr>
      </w:pPr>
    </w:p>
    <w:p>
      <w:pPr>
        <w:ind w:left="440" w:right="700" w:firstLine="419"/>
        <w:spacing w:after="0" w:line="282" w:lineRule="auto"/>
        <w:tabs>
          <w:tab w:leader="none" w:pos="1118" w:val="left"/>
        </w:tabs>
        <w:numPr>
          <w:ilvl w:val="1"/>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respect of Qualified Capital Stock (other than any amounts or other assets received from the Issuer or any of its Restricted Subsidiaries),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76" w:lineRule="auto"/>
        <w:tabs>
          <w:tab w:leader="none" w:pos="1118" w:val="left"/>
        </w:tabs>
        <w:numPr>
          <w:ilvl w:val="1"/>
          <w:numId w:val="7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of Qualified Capital Stock of the Issuer or any of its Restricted Subsidiaries (other than (x) to the Issuer or any Restricted Subsidiary of the Issuer, (y) pursuant to any management equity plan or stock option plan or any other management or employee benefit plan or</w:t>
      </w:r>
    </w:p>
    <w:p>
      <w:pPr>
        <w:ind w:left="680" w:hanging="244"/>
        <w:spacing w:after="0"/>
        <w:tabs>
          <w:tab w:leader="none" w:pos="680"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proceeds of any loan or advance made pursuant to clause (7)(ii) of the definition of “Permitted Investments”).</w:t>
      </w:r>
    </w:p>
    <w:p>
      <w:pPr>
        <w:spacing w:after="0" w:line="203"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Banking Services</w:t>
      </w:r>
      <w:r>
        <w:rPr>
          <w:rFonts w:ascii="Times New Roman" w:cs="Times New Roman" w:eastAsia="Times New Roman" w:hAnsi="Times New Roman"/>
          <w:sz w:val="18"/>
          <w:szCs w:val="18"/>
          <w:color w:val="auto"/>
        </w:rPr>
        <w:t>” means each and any of the following bank services: commercial credit cards, stored value cards, debit cards, purchasing cards, treasury management services, netting services, overdraft protections, check drawing services, automated payment services (including depository, overdraft, controlled disbursement, ACH transactions, return items and interstate depository network services), employee credit card programs, cash pooling services, foreign exchange and currency management services, supply chain and vendor and customer or supplier financing services (including trade payable services and supplier account receivable and draft/bills of exchange purchases) and any arrangements or services similar to any of the foregoing and/or otherwise in connection with cash management and deposit accounts.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Bankruptcy Code</w:t>
      </w:r>
      <w:r>
        <w:rPr>
          <w:rFonts w:ascii="Times New Roman" w:cs="Times New Roman" w:eastAsia="Times New Roman" w:hAnsi="Times New Roman"/>
          <w:sz w:val="18"/>
          <w:szCs w:val="18"/>
          <w:color w:val="auto"/>
        </w:rPr>
        <w:t>” means Title 11 of the United States Code (11 U.S.C. § 101 et seq.).</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9" w:right="459" w:bottom="1440" w:gutter="0" w:footer="0" w:header="0"/>
        </w:sectPr>
      </w:pPr>
    </w:p>
    <w:bookmarkStart w:id="587" w:name="page588"/>
    <w:bookmarkEnd w:id="587"/>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assigned to such term in Rule 13d-3 and Rule 13d-5 under the Exchange Act, except that in calculating the beneficial ownership of any particular “person” (as that term is used in Section 13(d)(3) of the Exchange Act), such “person” will be deemed to have beneficial ownership of all securities that such “person” has the right to acquire by conversion or exercise of other securities, whether such right is currently exercisable or is exercisable only after the passage of time. The terms “Beneficially Owns” and “Beneficially Owned” have a corresponding meaning.</w:t>
      </w:r>
    </w:p>
    <w:p>
      <w:pPr>
        <w:spacing w:after="0" w:line="179"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BLR Group</w:t>
      </w:r>
      <w:r>
        <w:rPr>
          <w:rFonts w:ascii="Times New Roman" w:cs="Times New Roman" w:eastAsia="Times New Roman" w:hAnsi="Times New Roman"/>
          <w:sz w:val="18"/>
          <w:szCs w:val="18"/>
          <w:color w:val="auto"/>
        </w:rPr>
        <w:t xml:space="preserve">”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Exchange Act) of which any of the foregoing is a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such group, the member or members specified in clauses (i) through (vi) collectively own, directly or indirectly, more than 50% of the total voting power of the voting stock of the Issuer held by such group.</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40" w:firstLine="419"/>
        <w:spacing w:after="0" w:line="282" w:lineRule="auto"/>
        <w:tabs>
          <w:tab w:leader="none" w:pos="1118"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company or corporation, the board of directors of the company or corporation or any committee thereof duly authorized to act on behalf of such board;</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 partnership, the board of directors of the general partner of the partnership or any committee thereof duly authorized to act on behalf of such board;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Person, the board or committee of such Person serving a similar function.</w:t>
      </w:r>
    </w:p>
    <w:p>
      <w:pPr>
        <w:spacing w:after="0" w:line="221"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that is not a Saturday, Sunday or other day on which commercial banks in New York City are authorized or required by law to remain closed.</w:t>
      </w:r>
    </w:p>
    <w:p>
      <w:pPr>
        <w:spacing w:after="0" w:line="155"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Markets Indebtedness</w:t>
      </w:r>
      <w:r>
        <w:rPr>
          <w:rFonts w:ascii="Times New Roman" w:cs="Times New Roman" w:eastAsia="Times New Roman" w:hAnsi="Times New Roman"/>
          <w:sz w:val="18"/>
          <w:szCs w:val="18"/>
          <w:color w:val="auto"/>
        </w:rPr>
        <w:t>” means any Indebtedness consisting of bonds, debentures, notes or other similar debt securities issued in (a) a public offering registered under the Securities Act, (b) a private placement to institutional investors that is resold in accordance with Rule 144A or Regulation S under the Securities Act, whether or not it includes registration rights entitling the holders of such debt securities to registration thereof with the SEC or (c) a private placement to institutional investors. For the avoidance of doubt, the term “Capital Markets Indebtedness” does not include any Indebtedness under any Credit Agreement, Indebtedness incurred in connection with a Sale Leaseback transaction, Indebtedness incurred in the ordinary course of business of the Issuer, Finance Leases or recourse transfer of any financial asset or any other type of Indebtedness incurred in a manner not customarily viewed as a “securities offering.”</w:t>
      </w:r>
    </w:p>
    <w:p>
      <w:pPr>
        <w:spacing w:after="0" w:line="183"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means any and all shares, interests, participations or other equivalents (however designated) of capital stock of a corporation, any and all equivalent ownership interests in a Person (other than a corporation), including partnership interests and membership interests, and any and all warrants, rights or options to purchase or other arrangements or rights to acquire any of the foregoing, but excluding for the avoidance of doubt any Indebtedness convertible into or exchangeable for any of the foregoing (including Convertible Indebtedness) and any Packaged Rights.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5" w:right="459" w:bottom="1440" w:gutter="0" w:footer="0" w:header="0"/>
        </w:sectPr>
      </w:pPr>
    </w:p>
    <w:bookmarkStart w:id="588" w:name="page589"/>
    <w:bookmarkEnd w:id="588"/>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Restricted Subsidiary of the Issuer that is subject to regulation as an insurance company (or any Restricted Subsidiary thereof).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cash</w:t>
      </w:r>
      <w:r>
        <w:rPr>
          <w:rFonts w:ascii="Times New Roman" w:cs="Times New Roman" w:eastAsia="Times New Roman" w:hAnsi="Times New Roman"/>
          <w:sz w:val="18"/>
          <w:szCs w:val="18"/>
          <w:color w:val="auto"/>
        </w:rPr>
        <w:t>” means money, currency or a credit balance in any deposit account, in each case determined in accordance with GAAP.</w:t>
      </w:r>
    </w:p>
    <w:p>
      <w:pPr>
        <w:spacing w:after="0" w:line="225" w:lineRule="exact"/>
        <w:rPr>
          <w:sz w:val="20"/>
          <w:szCs w:val="20"/>
          <w:color w:val="auto"/>
        </w:rPr>
      </w:pPr>
    </w:p>
    <w:p>
      <w:pPr>
        <w:ind w:left="4" w:right="100" w:firstLine="440"/>
        <w:spacing w:after="0" w:line="26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Equivalents</w:t>
      </w:r>
      <w:r>
        <w:rPr>
          <w:rFonts w:ascii="Times New Roman" w:cs="Times New Roman" w:eastAsia="Times New Roman" w:hAnsi="Times New Roman"/>
          <w:sz w:val="17"/>
          <w:szCs w:val="17"/>
          <w:color w:val="auto"/>
        </w:rPr>
        <w:t>” means, as at any date of determination, (a) marketable securities (i) issued or directly and unconditionally guaranteed or insured as to interest and principal by the U.S., U.K., Canada, a member state of the European Union or Japan or any political subdivision of any of the foregoing or (ii) issued by any agency or instrumentality of the U.S., U.K., Canada, a member state of the European Union or Japan or any political subdivision of any of the foregoing, the obligations of which are backed by the full faith and credit of the U.S., U.K., Canada, a member state of the European Union or Japan or any political subdivision of any of the foregoing, in each case maturing within two years after such date and, in each case, including repurchase agreements and reverse repurchase agreements relating thereto; (b) marketable direct obligations issued by any state of the U.S., the District of Columbia or any political subdivision thereof or any public instrumentality thereof or by any foreign government, in each case maturing within two years after such date and having, at the time of the acquisition thereof, a rating of at least A-2 from S&amp;P or at least P-2 from Moody’s (or, if at any time neither S&amp;P nor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or at least P-2 from Moody’s (or, if at any time neither S&amp;P nor Moody’s shall be rating such obligations, an equivalent rating from another nationally recognized statistical rating agency);</w:t>
      </w:r>
    </w:p>
    <w:p>
      <w:pPr>
        <w:spacing w:after="0" w:line="5" w:lineRule="exact"/>
        <w:rPr>
          <w:sz w:val="20"/>
          <w:szCs w:val="20"/>
          <w:color w:val="auto"/>
        </w:rPr>
      </w:pPr>
    </w:p>
    <w:p>
      <w:pPr>
        <w:ind w:left="4" w:hanging="4"/>
        <w:spacing w:after="0" w:line="251" w:lineRule="auto"/>
        <w:tabs>
          <w:tab w:leader="none" w:pos="259"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money market deposits, time deposit accounts, certificates of deposit or bankers’ acceptances (or similar instruments) issued or accepted by any lender or by any bank organized under, or authorized to operate as a bank under, the laws of the U.S., any state thereof or the District of Columbia or any political subdivision thereof or any foreign bank or its branches or agencies and that has capital and surplus of not less than $75.0 million and, in each case, repurchase agreements and reverse repurchase agreements relating thereto; (e) securities with maturities of six months or less from the date of acquisition backed by standby letters of credit issued by any commercial bank having capital and surplus of not less than $75.0 million; (f) Indebtedness or Preferred Stock issued by Persons with a rating of at least BBB- from S&amp;P or at least Baa3 from Moody’s (or, if at the time, neither is issuing comparable ratings, then a comparable rating of another nationally recognized statistical rating agency) with maturities of 12 months or less from the date of acquisition; (g) bills of exchange issued in the U.S., U.K., Canada, a member state of the European Union or Japan eligible for rediscount at the relevant central bank and accepted by a bank (or any dematerialized equivalent); (h) shares of any money market mutual fund that has (i) substantially all of its assets invested in the types of investments referred to in clauses (a) through (g) above, (ii) net assets of not less than $250.0 million and (iii) a rating of at least A-2 from S&amp;P or at least P-2 from Moody’s (or, if at any time either S&amp;P or Moody’s are not rating such fund, an equivalent rating from another nationally recognized statistical rating agency); (i) solely with respect to any Captive Insurance Subsidiary,</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4"/>
          </w:cols>
          <w:pgMar w:left="436" w:top="265" w:right="439" w:bottom="1440" w:gutter="0" w:footer="0" w:header="0"/>
        </w:sectPr>
      </w:pPr>
    </w:p>
    <w:bookmarkStart w:id="589" w:name="page590"/>
    <w:bookmarkEnd w:id="589"/>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investment that such Captive Insurance Subsidiary is not prohibited to make in accordance with applicable law; (j) any Cash Equivalents (as determined in accordance with GAAP); and (k) shares or other interests of any investment company, money market mutual fund or other money market or enhanced high yield fund that invests 95% or more of its assets in instruments of the types specified in clauses (a) through (j) above (which investment company or fund may also hold Cash pending investment or distribution).</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term “Cash Equivalents” shall also include (x) credit card receivables, (y) Investments of the type and maturity described in the definition of “Cash Equivalents” of foreign obligors, which Investments or obligors (or the parent companies thereof) have the ratings (if any) described in such clauses or equivalent ratings from comparable foreign rating agencies and (z) other short-term Investments utilized by Foreign Subsidiaries in accordance with normal investment practices for cash management in Investments analogous to the Investments described in the definition of “Cash Equivalents” and in this paragraph.</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as defined in Section 957 of the Code.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21" w:lineRule="exact"/>
        <w:rPr>
          <w:sz w:val="20"/>
          <w:szCs w:val="20"/>
          <w:color w:val="auto"/>
        </w:rPr>
      </w:pPr>
    </w:p>
    <w:p>
      <w:pPr>
        <w:ind w:left="440" w:right="40" w:firstLine="419"/>
        <w:spacing w:after="0" w:line="258" w:lineRule="auto"/>
        <w:tabs>
          <w:tab w:leader="none" w:pos="1118"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(as that term is used in Section 13(d)(3) of the Exchange Act) but excluding (A) any Employee Benefit Plan and/or Person acting as the trustee, agent or other fiduciary or administrator therefor, (B) the BLR Group, (C) any underwriter in connection with any public offering or (D) any entity that shall hold the Capital Stock of the Issuer in connection with the Separation) becomes the Beneficial Owner, other than by way of merger or consolidation of the Issuer, of shares of the Issuer’s Voting Stock representing 50% or more of the total voting power of all of the Issuer’s outstanding Voting Stock;</w:t>
      </w:r>
    </w:p>
    <w:p>
      <w:pPr>
        <w:spacing w:after="0" w:line="75"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18"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consolidates with, or merges with or into, another Person (other than any entity described in clause (1)(D) above), or the Issuer, directly or indirectly, sells, assigns, conveys, transfers, leases or otherwise disposes of all or substantially all of the properties or assets of the Issuer and its Restricted Subsidiaries, taken as a whole (other than by way of merger or consolidation and other than to any entity pursuant to clause (1)(D) above), in one or a series of related transactions, or any Person (other than any entity pursuant to clause (1)(D) above) consolidates with, or merges with or into, the Issuer, in any such event other than pursuant to a transaction in which the Persons that Beneficially Owned the shares of the Issuer’s Voting Stock immediately prior to such transaction Beneficially Own at least a majority of the total voting power of all outstanding Voting Stock (other than Disqualified Stock) of the surviving or transferee Person; or</w:t>
      </w:r>
    </w:p>
    <w:p>
      <w:pPr>
        <w:spacing w:after="0" w:line="80"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the Issuer’s Capital Stock approve any plan or proposal for the liquidation or dissolution of the Issuer (whether or not otherwise in compliance with this Indenture).</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Notwithstanding the foregoing, a Parent Entity or special purpose acquisition vehicle or a Subsidiary thereof shall not be considered a “Person” and instead the equityholders of such Parent Entity or special purpose acquisition vehicle (other than any other Parent Entity or special purpose acquisition vehicle) shall be considered for purposes of the foregoing.</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69" w:right="539" w:bottom="1440" w:gutter="0" w:footer="0" w:header="0"/>
        </w:sectPr>
      </w:pPr>
    </w:p>
    <w:bookmarkStart w:id="590" w:name="page591"/>
    <w:bookmarkEnd w:id="590"/>
    <w:p>
      <w:pPr>
        <w:ind w:right="120"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notwithstanding the foregoing or any provision of Section 13d-3 of the Exchange Act as in effect on the Escrow Release Date, (1) a Person or group shall be deemed not to beneficially own Capital Stock subject to a stock or asset purchase agreement, merger agreement, option agreement, warrant agreement or similar agreement (or voting or option or similar agreement related thereto) until the consummation of the acquisition of the Capital Stock in connection with the transactions contemplated by such agreement and (2) a Person or group will not be deemed to beneficially own the Capital Stock of another Person as a result of its ownership of the Capital Stock or other securities of such other Person’s parent entity (or related contractual rights) unless (a) it owns 50% or more of the total voting power of the Voting Stock of such parent entity and (b) such directors or managers elected by the Person or group have a majority of the aggregate votes on the board of directors (or similar body) of such parent entity.</w:t>
      </w:r>
    </w:p>
    <w:p>
      <w:pPr>
        <w:spacing w:after="0" w:line="171"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In addition, without limiting the foregoing, any transaction made as part of, or which is reasonably necessary or appropriate (as determined by the Issuer in good faith) to effect or facilitate, the Separation, including the Restructuring, the Issuer Distribution and the Distribution, or otherwise pursuant to the Separation Agreements shall not be a Change of Control.</w:t>
      </w:r>
    </w:p>
    <w:p>
      <w:pPr>
        <w:spacing w:after="0" w:line="172"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Charge</w:t>
      </w:r>
      <w:r>
        <w:rPr>
          <w:rFonts w:ascii="Times New Roman" w:cs="Times New Roman" w:eastAsia="Times New Roman" w:hAnsi="Times New Roman"/>
          <w:sz w:val="18"/>
          <w:szCs w:val="18"/>
          <w:color w:val="auto"/>
        </w:rPr>
        <w:t>” means any fee, loss, charge, expense (including premium, make-whole or penalty payments), cost, accrual or reserve (including adjustments to existing reserves) of any kind.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Clearstream</w:t>
      </w:r>
      <w:r>
        <w:rPr>
          <w:rFonts w:ascii="Times New Roman" w:cs="Times New Roman" w:eastAsia="Times New Roman" w:hAnsi="Times New Roman"/>
          <w:sz w:val="18"/>
          <w:szCs w:val="18"/>
          <w:color w:val="auto"/>
        </w:rPr>
        <w:t>” means Clearstream Banking, société anonyme, Luxembourg.</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of the assets and properties subject to Liens granted by the Issuer or any Guarantor in favor of the Notes Collateral Agent for the benefit of the Trustee and the Holders.</w:t>
      </w:r>
    </w:p>
    <w:p>
      <w:pPr>
        <w:spacing w:after="0" w:line="15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means the security documents pursuant to which the Issuer and the Guarantors grant Liens in favor of the Notes Collateral Agent to secure Obligations under this Indenture and the Notes.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means Comcast Corporation, the indirect parent entity of the Issuer prior to the Separation.</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means, as to any Person for any period, an amount determined for such Person and its Restricted Subsidiaries on a consolidated basis equal to the total of (a) Consolidated Net Income for such period plus (b) the sum, without duplication and at the election of the Issuer, of (to the extent deducted in calculating Consolidated Net Income, other than in respect of clauses (6), (8), (10), (12), (14), (19) and (20) below) the amounts of:</w:t>
      </w:r>
    </w:p>
    <w:p>
      <w:pPr>
        <w:spacing w:after="0" w:line="72" w:lineRule="exact"/>
        <w:rPr>
          <w:sz w:val="20"/>
          <w:szCs w:val="20"/>
          <w:color w:val="auto"/>
        </w:rPr>
      </w:pPr>
    </w:p>
    <w:p>
      <w:pPr>
        <w:ind w:left="440" w:right="140" w:firstLine="419"/>
        <w:spacing w:after="0" w:line="272" w:lineRule="auto"/>
        <w:tabs>
          <w:tab w:leader="none" w:pos="1118" w:val="left"/>
        </w:tabs>
        <w:numPr>
          <w:ilvl w:val="1"/>
          <w:numId w:val="7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Consolidated Interest Expense (including (i) fees and expenses paid to the Trustee and the Notes Collateral Agent in connection with their services under this Indenture and the Collateral Documents, (ii) other bank, administrative agency (or trustee) and financing fees (including rating agency fees), (iii) costs of surety bonds in connection with financing activities (whether amortized or immediately expensed) and</w:t>
      </w:r>
    </w:p>
    <w:p>
      <w:pPr>
        <w:spacing w:after="0" w:line="1" w:lineRule="exact"/>
        <w:rPr>
          <w:rFonts w:ascii="Times New Roman" w:cs="Times New Roman" w:eastAsia="Times New Roman" w:hAnsi="Times New Roman"/>
          <w:sz w:val="17"/>
          <w:szCs w:val="17"/>
          <w:color w:val="auto"/>
        </w:rPr>
      </w:pPr>
    </w:p>
    <w:p>
      <w:pPr>
        <w:ind w:left="440" w:right="160" w:hanging="4"/>
        <w:spacing w:after="0" w:line="260" w:lineRule="auto"/>
        <w:tabs>
          <w:tab w:leader="none" w:pos="745"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discounts and other fees and charges owed with respect to revolving commitments, letters of credit, bank guarantees, bankers’ acceptances or any similar facilities or financing and hedging agreements);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9" w:right="459" w:bottom="1440" w:gutter="0" w:footer="0" w:header="0"/>
        </w:sectPr>
      </w:pPr>
    </w:p>
    <w:bookmarkStart w:id="591" w:name="page592"/>
    <w:bookmarkEnd w:id="591"/>
    <w:p>
      <w:pPr>
        <w:ind w:right="260" w:firstLine="419"/>
        <w:spacing w:after="0" w:line="261" w:lineRule="auto"/>
        <w:tabs>
          <w:tab w:leader="none" w:pos="6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 paid and any provision for Taxes, including income, profits, capital, foreign, federal, state, local, sales, franchise and similar Taxes, property Taxes, foreign withholding Taxes and foreign unreimbursed value added Taxes (including penalties and interest related to any such Tax or arising from any Tax examination, and including pursuant to any Tax sharing arrangement or as a result of any Tax distribution) of such Person paid or accrued during the relevant period;</w:t>
      </w:r>
    </w:p>
    <w:p>
      <w:pPr>
        <w:spacing w:after="0" w:line="71"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depreciation, (ii) amortization (including amortization of goodwill, software and other intangible assets), (iii) any impairment Charge (including any bad debt expense) and (iv) any asset write-off and/or write-down;</w:t>
      </w:r>
    </w:p>
    <w:p>
      <w:pPr>
        <w:spacing w:after="0" w:line="53" w:lineRule="exact"/>
        <w:rPr>
          <w:rFonts w:ascii="Times New Roman" w:cs="Times New Roman" w:eastAsia="Times New Roman" w:hAnsi="Times New Roman"/>
          <w:sz w:val="18"/>
          <w:szCs w:val="18"/>
          <w:color w:val="auto"/>
        </w:rPr>
      </w:pPr>
    </w:p>
    <w:p>
      <w:pPr>
        <w:ind w:right="120" w:firstLine="419"/>
        <w:spacing w:after="0" w:line="258" w:lineRule="auto"/>
        <w:tabs>
          <w:tab w:leader="none" w:pos="6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Charge, including the excess of rent expense over actual Cash rent paid, the benefit of lease incentives (in the case of a charge) during such period due to the use of straight line rent for GAAP purposes, and any non-Cash Charge pursuant to any management equity plan, stock option plan or any other management or employee benefit plan, agreement or any stock subscription or shareholder agreement (provided that if any such non-Cash Charge represents an accrual or reserve for potential Cash items in any future period, such Person may determine not to add back such non-Cash Charge in the then-current period);</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6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Receivables Fees and the amount of loss or discount on the sale of Permitted Receivables Facility Assets and related assets in connection with any Permitted Receivables Facility;</w:t>
      </w:r>
    </w:p>
    <w:p>
      <w:pPr>
        <w:spacing w:after="0" w:line="5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management, monitoring, consulting, transaction, advisory, investment banking, termination and similar fees and related indemnities and expenses (including reimbursements) paid or accrued and payments to outside directors of the Issuer actually paid by or on behalf of, or accrued by, such Person or any of its subsidiaries; provided that such payment is permitted under this Indenture;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increase in deferred revenue;</w:t>
      </w:r>
    </w:p>
    <w:p>
      <w:pPr>
        <w:spacing w:after="0" w:line="117" w:lineRule="exact"/>
        <w:rPr>
          <w:rFonts w:ascii="Times New Roman" w:cs="Times New Roman" w:eastAsia="Times New Roman" w:hAnsi="Times New Roman"/>
          <w:sz w:val="18"/>
          <w:szCs w:val="18"/>
          <w:color w:val="auto"/>
        </w:rPr>
      </w:pPr>
    </w:p>
    <w:p>
      <w:pPr>
        <w:jc w:val="both"/>
        <w:ind w:right="180" w:firstLine="419"/>
        <w:spacing w:after="0" w:line="261" w:lineRule="auto"/>
        <w:tabs>
          <w:tab w:leader="none" w:pos="6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earn-out, non-compete and other contingent consideration obligations (including to the extent accounted for as bonuses, compensation or otherwise) and adjustments thereof and purchase price (or similar) adjustments incurred in connection with (i) acquisitions and Investments completed prior to the Escrow Release Date, (ii) any acquisition or other Investment not prohibited by this Indenture, in each case, which is paid or accrued during the applicable period and (iii) the Separation;</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40"/>
          </w:cols>
          <w:pgMar w:left="880" w:top="269" w:right="479" w:bottom="1440" w:gutter="0" w:footer="0" w:header="0"/>
        </w:sectPr>
      </w:pPr>
    </w:p>
    <w:bookmarkStart w:id="592" w:name="page593"/>
    <w:bookmarkEnd w:id="592"/>
    <w:p>
      <w:pPr>
        <w:ind w:firstLine="419"/>
        <w:spacing w:after="0" w:line="252" w:lineRule="auto"/>
        <w:tabs>
          <w:tab w:leader="none" w:pos="768"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 forma adjustments, including pro forma “run rate” cost savings, operating expense reductions, operational improvements and cost synergies (in each case, net of amounts actually realized) (collectively, “</w:t>
      </w:r>
      <w:r>
        <w:rPr>
          <w:rFonts w:ascii="Times New Roman" w:cs="Times New Roman" w:eastAsia="Times New Roman" w:hAnsi="Times New Roman"/>
          <w:sz w:val="18"/>
          <w:szCs w:val="18"/>
          <w:b w:val="1"/>
          <w:bCs w:val="1"/>
          <w:color w:val="auto"/>
        </w:rPr>
        <w:t>Expected Cost Savings</w:t>
      </w:r>
      <w:r>
        <w:rPr>
          <w:rFonts w:ascii="Times New Roman" w:cs="Times New Roman" w:eastAsia="Times New Roman" w:hAnsi="Times New Roman"/>
          <w:sz w:val="18"/>
          <w:szCs w:val="18"/>
          <w:color w:val="auto"/>
        </w:rPr>
        <w:t>”) that are reasonably identifiable, factually supportable (or certified by an officer of such Person in good faith) and projected by such Person in good faith as of the date Consolidated Adjusted EBITDA is being calculated to result from actions that have been taken or with respect to which steps have been taken or are expected to be taken (in the good faith determination of such Person), in each case related to (A) the Transactions and (B) any acquisition (including the commencement of activities constituting a business line), combination, Investment, de novos, disposition (including the termination or discontinuance of activities constituting a business line), operating improvement, restructuring, cost savings initiative, similar initiative (including the effect of arrangements or efficiencies from the shifting of production from one facility to another) and/or specified transaction, in each case undertaken prior to, on or after the Escrow Release Date (any such operating improvement, restructuring, cost savings initiative, similar initiative or specified transaction, a “</w:t>
      </w:r>
      <w:r>
        <w:rPr>
          <w:rFonts w:ascii="Times New Roman" w:cs="Times New Roman" w:eastAsia="Times New Roman" w:hAnsi="Times New Roman"/>
          <w:sz w:val="18"/>
          <w:szCs w:val="18"/>
          <w:b w:val="1"/>
          <w:bCs w:val="1"/>
          <w:color w:val="auto"/>
        </w:rPr>
        <w:t>Cost Saving Initiative</w:t>
      </w:r>
      <w:r>
        <w:rPr>
          <w:rFonts w:ascii="Times New Roman" w:cs="Times New Roman" w:eastAsia="Times New Roman" w:hAnsi="Times New Roman"/>
          <w:sz w:val="18"/>
          <w:szCs w:val="18"/>
          <w:color w:val="auto"/>
        </w:rPr>
        <w:t xml:space="preserve">”) (in each case, calculated on a Pro Forma Basis as though such Expected Cost Savings and/or Cost Saving Initiative had been realized in full on the first day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results of such Expected Cost Savings and/or Cost Saving Initiatives are projected by such Person in good faith to result from actions that have been taken or with respect to which steps have been taken or are expected to be taken (in the good faith determination of such Person) within 24 months after the date of any such operating improvement, restructuring, cost savings initiative, similar initiative or specified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the aggregate amount added to or included in Consolidated Adjusted EBITDA pursuant to this clause (10) shall not, for any four consecutive full fiscal quarters ending on or prior to the date of determination for which consolidated financial statements required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have been delivered or, at the Issuer’s election, are internally available, exceed an amount equal to 30% of Consolidated Adjusted EBITDA for such period, calculated after giving effect to any such add-backs or inclusion (and all other add-backs and inclusions);</w:t>
      </w:r>
    </w:p>
    <w:p>
      <w:pPr>
        <w:spacing w:after="0" w:line="8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60" w:firstLine="419"/>
        <w:spacing w:after="0" w:line="254" w:lineRule="auto"/>
        <w:tabs>
          <w:tab w:leader="none" w:pos="768"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with respect to any liability or casualty event, business interruption or any product recall, (i) so long as such Person has submitted in good faith, and reasonably expects to receive payment in connection with, a claim for reimbursement of such amounts under its relevant insurance policy within the next four fiscal quarters (with a deduction in the applicable future period for any amount so added back to the extent not so reimbursed within the next four fiscal quarters) or (ii) without duplication of amounts included in a prior period under the preceding clause (i), to the extent such Charge is covered by insurance, indemnification or otherwise reimbursable by a third party (whether or not then realized so long as the Issuer in good faith expects to receive proceeds arising out of such insurance, indemnification or reimbursement obligation within the next four fiscal quarters) (it being understood that if the amount received in cash under any such agreement in any period exceeds the amount of expense paid during such period, any excess amount received may be carried forward and applied against any expense in any future period);</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60"/>
          </w:cols>
          <w:pgMar w:left="880" w:top="269" w:right="459" w:bottom="1440" w:gutter="0" w:footer="0" w:header="0"/>
        </w:sectPr>
      </w:pPr>
    </w:p>
    <w:bookmarkStart w:id="593" w:name="page594"/>
    <w:bookmarkEnd w:id="593"/>
    <w:p>
      <w:pPr>
        <w:ind w:left="1200" w:hanging="341"/>
        <w:spacing w:after="0"/>
        <w:tabs>
          <w:tab w:leader="none" w:pos="120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unrealized net losses in the fair market value of any arrangements under Hedge Agreements;</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208"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Cash actually received by such Person (or the amount of the benefit of any netting arrangement resulting in reduced Cash expenditures) during such period, and not included in Consolidated Net Income in any period, to the extent that any non-Cash gain relating to such Cash receipt or netting arrangement was deducted in the calculation of Consolidated Adjusted EBITDA pursuant to clause (c)(1) below for any previous period and not added back;</w:t>
      </w:r>
    </w:p>
    <w:p>
      <w:pPr>
        <w:spacing w:after="0" w:line="71"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“bad debt” expense related to revenue earned prior to the Escrow Release Date;</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208"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Charge included in the Issuer’s consolidated financial statements due to the application of Accounting Standards Codification Topic 810 (“ASC 810”);</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208"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Charge consisting of income attributable to minority equity interests of third parties in any non-Wholly-Owned Subsidiary;</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expenses and other Charges incurred, or reserves taken, in connection with the Transactions;</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9" w:lineRule="auto"/>
        <w:tabs>
          <w:tab w:leader="none" w:pos="1208" w:val="left"/>
        </w:tabs>
        <w:numPr>
          <w:ilvl w:val="0"/>
          <w:numId w:val="7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any earned or billed amounts or other revenue that is attributable to services performed during such period but is not included in Consolidated Net Income for such period; it being understood that if such revenue is added back in calculating Consolidated Adjusted EBITDA for such period, such revenue shall not be included in Consolidated Net Income in the period in which it is actually recognized; and</w:t>
      </w:r>
    </w:p>
    <w:p>
      <w:pPr>
        <w:spacing w:after="0" w:line="49" w:lineRule="exact"/>
        <w:rPr>
          <w:rFonts w:ascii="Times New Roman" w:cs="Times New Roman" w:eastAsia="Times New Roman" w:hAnsi="Times New Roman"/>
          <w:sz w:val="17"/>
          <w:szCs w:val="17"/>
          <w:color w:val="auto"/>
        </w:rPr>
      </w:pPr>
    </w:p>
    <w:p>
      <w:pPr>
        <w:ind w:left="440" w:right="340" w:firstLine="419"/>
        <w:spacing w:after="0" w:line="266" w:lineRule="auto"/>
        <w:tabs>
          <w:tab w:leader="none" w:pos="1208"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option of the Issuer, any other adjustments, exclusions and add-backs (x) that are consistent with Regulation S-X (as in effect prior to January 1, 2021) or (y) that are identified or set forth in any quality of earnings analysis or report prepared by financial advisors and delivered to the Trustee in connection with any acquisition or other Investment not prohibited hereunder;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minus (c) without duplication, to the extent such amounts increase Consolidated Net Income:</w:t>
      </w:r>
    </w:p>
    <w:p>
      <w:pPr>
        <w:spacing w:after="0" w:line="117" w:lineRule="exact"/>
        <w:rPr>
          <w:sz w:val="20"/>
          <w:szCs w:val="20"/>
          <w:color w:val="auto"/>
        </w:rPr>
      </w:pPr>
    </w:p>
    <w:p>
      <w:pPr>
        <w:ind w:left="440" w:right="60" w:firstLine="419"/>
        <w:spacing w:after="0" w:line="282" w:lineRule="auto"/>
        <w:tabs>
          <w:tab w:leader="none" w:pos="1118"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gains or income; provided that if any non-Cash gain or income represents an accrual or deferred income in respect of potential Cash items in any future period, such Person may determine not to deduct such non-Cash gain or income in the current period;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net gains in the fair market value of any arrangements under Hedge Agreements;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69" w:right="459" w:bottom="1440" w:gutter="0" w:footer="0" w:header="0"/>
        </w:sectPr>
      </w:pPr>
    </w:p>
    <w:bookmarkStart w:id="594" w:name="page595"/>
    <w:bookmarkEnd w:id="594"/>
    <w:p>
      <w:pPr>
        <w:ind w:left="444" w:right="220" w:firstLine="419"/>
        <w:spacing w:after="0" w:line="282" w:lineRule="auto"/>
        <w:tabs>
          <w:tab w:leader="none" w:pos="1122" w:val="left"/>
        </w:tabs>
        <w:numPr>
          <w:ilvl w:val="1"/>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added back to Consolidated Adjusted EBITDA pursuant to clause (b)(12) above (as described in such clause) to the extent the relevant business interruption insurance proceeds were not received within the time period required by such clause;</w:t>
      </w:r>
    </w:p>
    <w:p>
      <w:pPr>
        <w:spacing w:after="0" w:line="53"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1"/>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Person adds back the amount of any non-Cash charge to Consolidated Adjusted EBITDA pursuant to clause (b)(4) above, the cash payment in respect thereof in the relevant future period;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of actual Cash rent paid over rent expense during such period due to the use of straight line rent for GAAP purposes;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Consolidated Net Income included in the Issuer’s consolidated financial statements due to the application of ASC 810; and</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22" w:val="left"/>
        </w:tabs>
        <w:numPr>
          <w:ilvl w:val="1"/>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non-controlling interest or minority interest gains from losses attributable to minority equity interests of third parties in any non-wholly owned Restricted Subsidiary; and</w:t>
      </w:r>
    </w:p>
    <w:p>
      <w:pPr>
        <w:spacing w:after="0" w:line="161" w:lineRule="exact"/>
        <w:rPr>
          <w:rFonts w:ascii="Times New Roman" w:cs="Times New Roman" w:eastAsia="Times New Roman" w:hAnsi="Times New Roman"/>
          <w:sz w:val="18"/>
          <w:szCs w:val="18"/>
          <w:color w:val="auto"/>
        </w:rPr>
      </w:pPr>
    </w:p>
    <w:p>
      <w:pPr>
        <w:ind w:left="4" w:right="80" w:hanging="4"/>
        <w:spacing w:after="0" w:line="282" w:lineRule="auto"/>
        <w:tabs>
          <w:tab w:leader="none" w:pos="259"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or decreased (without duplication) by, as applicable, any adjustments resulting from the application of Accounting Standards Codification Topic 460 or any comparable regulation.</w:t>
      </w:r>
    </w:p>
    <w:p>
      <w:pPr>
        <w:spacing w:after="0" w:line="158"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Coverage Ratio</w:t>
      </w:r>
      <w:r>
        <w:rPr>
          <w:rFonts w:ascii="Times New Roman" w:cs="Times New Roman" w:eastAsia="Times New Roman" w:hAnsi="Times New Roman"/>
          <w:sz w:val="18"/>
          <w:szCs w:val="18"/>
          <w:color w:val="auto"/>
        </w:rPr>
        <w:t xml:space="preserve">” means, as of any date of determination, the ratio of (a) LTM Consolidated Adjusted EBITDA to (b) Ratio Interest Expense, as measured for the most recent four consecutive full fiscal quarters ending on or prior to the date of determination for which consolidated financial statements required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have been delivered, or, at the Issuer’s election, are internally available at such time. In addition, the “Consolidated Coverage Ratio” will be calculated on a Pro Forma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the Consolidated Coverage Ratio for any period ending prior to the first anniversary of the Escrow Release Date, Ratio Interest Expense shall be an amount equal to actual Ratio Interest Expense from the Escrow Release Date through the date of determination multiplied by a fraction the numerator of which is 365 and the denominator of which is the number of days from the Escrow Release Date through the date of determination.</w:t>
      </w:r>
    </w:p>
    <w:p>
      <w:pPr>
        <w:spacing w:after="0" w:line="187"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To the extent the Issuer elects pursuant to an Officers’ Certificate delivered to the Trustee to treat all or any portion of the commitment under any Indebtedness as being incurred prior to the actual incurrence thereof pursuant to </w:t>
      </w:r>
      <w:r>
        <w:rPr>
          <w:rFonts w:ascii="Times New Roman" w:cs="Times New Roman" w:eastAsia="Times New Roman" w:hAnsi="Times New Roman"/>
          <w:sz w:val="18"/>
          <w:szCs w:val="18"/>
          <w:u w:val="single" w:color="auto"/>
          <w:color w:val="auto"/>
        </w:rPr>
        <w:t>Section 4.09(d)</w:t>
      </w:r>
      <w:r>
        <w:rPr>
          <w:rFonts w:ascii="Times New Roman" w:cs="Times New Roman" w:eastAsia="Times New Roman" w:hAnsi="Times New Roman"/>
          <w:sz w:val="18"/>
          <w:szCs w:val="18"/>
          <w:color w:val="auto"/>
        </w:rPr>
        <w:t xml:space="preserve"> hereof, the Issuer shall deem all or such portion of such commitment of such Indebtedness, as applicable, as having been incurred and to be outstanding for purposes of calculating the Consolidated Coverage Ratio for any period in which the Issuer makes any such election and for any subsequent period until such commitments or such Indebtedness, as applicable, are no longer outstanding.</w:t>
      </w:r>
    </w:p>
    <w:p>
      <w:pPr>
        <w:spacing w:after="0" w:line="179" w:lineRule="exact"/>
        <w:rPr>
          <w:sz w:val="20"/>
          <w:szCs w:val="20"/>
          <w:color w:val="auto"/>
        </w:rPr>
      </w:pPr>
    </w:p>
    <w:p>
      <w:pPr>
        <w:ind w:left="4"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the sum of (a) consolidated total interest expense of such Person and its Restricted Subsidiaries for such period, whether paid or accrued and whether or not capitalized (including (without duplication), amortization of any debt issuance cost and/or original issue discount, any premium paid to obtain payment, financial assurance or similar bonds, any interest capitalized during</w:t>
      </w:r>
    </w:p>
    <w:p>
      <w:pPr>
        <w:spacing w:after="0" w:line="113"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4"/>
          </w:cols>
          <w:pgMar w:left="436" w:top="269" w:right="479" w:bottom="1440" w:gutter="0" w:footer="0" w:header="0"/>
        </w:sectPr>
      </w:pPr>
    </w:p>
    <w:bookmarkStart w:id="595" w:name="page596"/>
    <w:bookmarkEnd w:id="595"/>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construction, any non-Cash interest payment, the interest component of any deferred payment obligation, commissions, discounts, yield and other fees and charges (including any interest expense) related to any Permitted Receivables Facility, the interest component of any payment under any Finance Lease (regardless of whether accounted for as interest expense under GAAP), any commission, discount and/or other fee or charge owed with respect to any letter of credit, bank guarantee and/or bankers’ acceptance or any similar facilities, any fee and/or expense paid to the Trustee (in each of its capacities hereunder) and/or the Notes Collateral Agent in connection with their services hereunder, any other bank, administrative agency (or trustee) and/or financing fee and any cost associated with any surety bond in connection with financing activities (whether amortized or immediately expensed)), plus (b) any cash dividend or distribution paid or payable in respect of Disqualified Stock during such period other than to such Person, the Issuer or any Guarantor, plus (c) any net losses, obligations or payments arising from or under any Hedge Agreement and/or other derivative financial instrument issued by such Person for the benefit of such Person or its subsidiaries, in each case determined on a consolidated basis for such period. For purposes of this definition, interest in respect of any Finance Lease shall be deemed to accrue at an interest rate reasonably determined by such Person to be the rate of interest implicit in such Finance Lease in accordance with GAAP (or, if not implicit, as otherwise determined in accordance with GAAP).</w:t>
      </w:r>
    </w:p>
    <w:p>
      <w:pPr>
        <w:spacing w:after="0" w:line="178"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means, as to any Person (the “Subject Person”) for any period, the net income (or loss) of the Subject Person and its Restricted Subsidiaries on a consolidated basis for such period taken as a single accounting period determined in conformity with GAAP; provided that there shall be excluded, without duplication:</w:t>
      </w:r>
    </w:p>
    <w:p>
      <w:pPr>
        <w:spacing w:after="0" w:line="67" w:lineRule="exact"/>
        <w:rPr>
          <w:sz w:val="20"/>
          <w:szCs w:val="20"/>
          <w:color w:val="auto"/>
        </w:rPr>
      </w:pPr>
    </w:p>
    <w:p>
      <w:pPr>
        <w:ind w:left="440" w:right="180" w:firstLine="419"/>
        <w:spacing w:after="0" w:line="267" w:lineRule="auto"/>
        <w:tabs>
          <w:tab w:leader="none" w:pos="1118" w:val="left"/>
        </w:tabs>
        <w:numPr>
          <w:ilvl w:val="1"/>
          <w:numId w:val="8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net income (loss) of any Person if such Person is not the Subject Person or a Restricted Subsidiary thereof, except that Consolidated Net Income will be increased by the amount of dividends, distributions or other payments made in Cash or Cash Equivalents (or converted into Cash or Cash Equivalents) or that could have been made during such period (as determined in good faith by the Issuer) by such Person to the Subject Person or any other Restricted Subsidiary thereof (subject, in the case of any such Restricted Subsidiary that is not a Guarantor, to the limitations contained in clause (b) below) and (b) solely for the purpose of determining the amount available for Restricted Payments under the basket set forth in Section 4.08(a)(3)(A) through (a)(3)(K), any net income (loss) of any Restricted Subsidiary (other than a Guarantor) if such Subsidiary is subject to restrictions on the payment of dividends or the making of distributions by such Restricted Subsidiary, directly or indirectly, to the Issuer or a Guarantor by operation of its Organizational Documents or any agreement, instrument, judgment, decree, order, statute or governmental rule or regulation applicable thereto (other than (x) any restriction that has been waived or otherwise released,</w:t>
      </w:r>
    </w:p>
    <w:p>
      <w:pPr>
        <w:spacing w:after="0" w:line="5" w:lineRule="exact"/>
        <w:rPr>
          <w:rFonts w:ascii="Times New Roman" w:cs="Times New Roman" w:eastAsia="Times New Roman" w:hAnsi="Times New Roman"/>
          <w:sz w:val="17"/>
          <w:szCs w:val="17"/>
          <w:color w:val="auto"/>
        </w:rPr>
      </w:pPr>
    </w:p>
    <w:p>
      <w:pPr>
        <w:ind w:left="440" w:right="80" w:hanging="4"/>
        <w:spacing w:after="0" w:line="252" w:lineRule="auto"/>
        <w:tabs>
          <w:tab w:leader="none" w:pos="695"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restriction set forth in this Indenture or the Collateral Documents, the documents related to any Indebtedness under </w:t>
      </w:r>
      <w:r>
        <w:rPr>
          <w:rFonts w:ascii="Times New Roman" w:cs="Times New Roman" w:eastAsia="Times New Roman" w:hAnsi="Times New Roman"/>
          <w:sz w:val="18"/>
          <w:szCs w:val="18"/>
          <w:u w:val="single" w:color="auto"/>
          <w:color w:val="auto"/>
        </w:rPr>
        <w:t>Section 4.09(b)(i)</w:t>
      </w:r>
      <w:r>
        <w:rPr>
          <w:rFonts w:ascii="Times New Roman" w:cs="Times New Roman" w:eastAsia="Times New Roman" w:hAnsi="Times New Roman"/>
          <w:sz w:val="18"/>
          <w:szCs w:val="18"/>
          <w:color w:val="auto"/>
        </w:rPr>
        <w:t xml:space="preserve"> hereof and any Refinancing Indebtedness in respect of any of the foregoing and (z) restrictions not prohibited by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hereof), except that Consolidated Net Income will be increased by the amount of dividends, distributions or other payments made in Cash or Cash Equivalents (or converted into Cash or Cash Equivalents) or that could have been made in Cash or Cash Equivalents during such period (as determined in good faith by the Issuer) by the Restricted Subsidiary (subject, in the case of a dividend, distribution or other payment to another Restricted Subsidiary, to the limitations in this clause (b));</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69" w:right="459" w:bottom="1440" w:gutter="0" w:footer="0" w:header="0"/>
        </w:sectPr>
      </w:pPr>
    </w:p>
    <w:bookmarkStart w:id="596" w:name="page597"/>
    <w:bookmarkEnd w:id="596"/>
    <w:p>
      <w:pPr>
        <w:ind w:left="4" w:right="380" w:firstLine="419"/>
        <w:spacing w:after="0" w:line="282" w:lineRule="auto"/>
        <w:tabs>
          <w:tab w:leader="none" w:pos="681"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gain or Charge attributable to any asset disposition (including asset retirement costs or sales or issuances of Capital Stock) or of returned or surplus assets outside the ordinary course of business (as determined in good faith by such Person);</w:t>
      </w:r>
    </w:p>
    <w:p>
      <w:pPr>
        <w:spacing w:after="0" w:line="53" w:lineRule="exact"/>
        <w:rPr>
          <w:rFonts w:ascii="Times New Roman" w:cs="Times New Roman" w:eastAsia="Times New Roman" w:hAnsi="Times New Roman"/>
          <w:sz w:val="18"/>
          <w:szCs w:val="18"/>
          <w:color w:val="auto"/>
        </w:rPr>
      </w:pPr>
    </w:p>
    <w:p>
      <w:pPr>
        <w:ind w:left="4" w:right="440" w:firstLine="419"/>
        <w:spacing w:after="0" w:line="266" w:lineRule="auto"/>
        <w:tabs>
          <w:tab w:leader="none" w:pos="681"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gain or Charge from (i) any extraordinary or exceptional item (as determined in good faith by such Person) and/or (ii) any non-recurring, infrequent, special or unusual item (as determined in good faith by such Person) and/or (b) any Charge associated with and/or payment of any actual or prospective legal settlement, fine, judgment or order, including ordinary legal expenses related thereto;</w:t>
      </w:r>
    </w:p>
    <w:p>
      <w:pPr>
        <w:spacing w:after="0" w:line="67"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unrealized or realized net foreign currency translation or transaction gains or Charges impacting net income (including currency re-measurements of Indebtedness, any net gains or Charges resulting from Hedge Agreements for currency exchange risk associated with the above or any other currency related risk, any gains or Charges relating to translation of assets and liabilities denominated in a foreign currency and those resulting from intercompany Indebtedness), (b) any realized or unrealized gain or Charge in respect of (x) any obligation under any Hedge Agreement as determined in accordance with GAAP and/or (y) any other derivative instrument pursuant to, in the case of this subclause (y), Financial Accounting Standards Board’s Accounting Standards Codification No. 815-Derivatives and Hedging and (c) unrealized gains or losses in respect of any Hedge Agreement and any ineffectiveness recognized in earnings related to qualifying hedge transactions or the fair value of changes therein recognized in earnings for derivatives that do not qualify as hedge transactions, in respect of Hedge Agreements;</w:t>
      </w:r>
    </w:p>
    <w:p>
      <w:pPr>
        <w:spacing w:after="0" w:line="83"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Charge with respect to (a) any disposed, abandoned, divested and/or discontinued asset, property or operation (other than, at the option of the Issuer, any asset, property or operation pending the disposal, abandonment, divestiture and/or termination thereof), (b) any disposal, abandonment, divestiture and/or discontinuation of any asset, property or operation (other than, at the option of the Issuer, relating to assets or properties held for sale or pending the divestiture or discontinuation thereof) and/or (c) any facility that has been closed during such period;</w:t>
      </w:r>
    </w:p>
    <w:p>
      <w:pPr>
        <w:spacing w:after="0" w:line="75" w:lineRule="exact"/>
        <w:rPr>
          <w:rFonts w:ascii="Times New Roman" w:cs="Times New Roman" w:eastAsia="Times New Roman" w:hAnsi="Times New Roman"/>
          <w:sz w:val="18"/>
          <w:szCs w:val="18"/>
          <w:color w:val="auto"/>
        </w:rPr>
      </w:pPr>
    </w:p>
    <w:p>
      <w:pPr>
        <w:ind w:left="4" w:right="540" w:firstLine="419"/>
        <w:spacing w:after="0" w:line="282" w:lineRule="auto"/>
        <w:tabs>
          <w:tab w:leader="none" w:pos="681"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or Charge (less all fees and expenses related thereto) attributable to (a) the early extinguishment or cancellation of Indebtedness or (b) any Derivative Transaction;</w:t>
      </w:r>
    </w:p>
    <w:p>
      <w:pPr>
        <w:spacing w:after="0" w:line="53"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681"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Charge incurred as a result of, in connection with or pursuant to any management equity plan, profits interest or stock option plan or any other management or employee benefit plan or agreement, any pension plan (including any post-employment benefit scheme which has been agreed with the relevant pension trustee), any stock subscription or shareholders agreement, any employee benefit trust, any employee benefit scheme, any distributor equity plan or any similar equity plan or agreement (including any deferred compensation arrangement or trust),</w:t>
      </w:r>
    </w:p>
    <w:p>
      <w:pPr>
        <w:spacing w:after="0" w:line="2"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4"/>
          </w:cols>
          <w:pgMar w:left="876" w:top="269" w:right="459" w:bottom="1440" w:gutter="0" w:footer="0" w:header="0"/>
        </w:sectPr>
      </w:pPr>
    </w:p>
    <w:bookmarkStart w:id="597" w:name="page598"/>
    <w:bookmarkEnd w:id="59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incurred in connection with the rollover, acceleration or payout of Capital Stock held by management of the Subject Person and/or any of its subsidiaries, in each case under this subclause (b), to the extent that any such cash Charge is funded with net Cash proceeds contributed to the Subject Person as a capital contribution or as a result of the sale or issuance of Qualified Capital Stock of the Subject Person and (c) the amount of payments made to optionholders of such Person in connection with, or as a result of, any distribution being made to equityholders of such Person, which payments are being made to compensate such optionholders as though they were equityholders at the time of, and entitled to share in, such distribution, in each case to the extent not prohibited by this Indenture;</w:t>
      </w:r>
    </w:p>
    <w:p>
      <w:pPr>
        <w:spacing w:after="0" w:line="79" w:lineRule="exact"/>
        <w:rPr>
          <w:sz w:val="20"/>
          <w:szCs w:val="20"/>
          <w:color w:val="auto"/>
        </w:rPr>
      </w:pPr>
    </w:p>
    <w:p>
      <w:pPr>
        <w:ind w:left="4" w:right="20" w:firstLine="419"/>
        <w:spacing w:after="0" w:line="261" w:lineRule="auto"/>
        <w:tabs>
          <w:tab w:leader="none" w:pos="681" w:val="left"/>
        </w:tabs>
        <w:numPr>
          <w:ilvl w:val="1"/>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that is established, adjusted and/or incurred, as applicable, (a) within 12 months after the Escrow Release Date that is required to be established, adjusted or incurred, as applicable, as a result of the Transactions in accordance with GAAP, (b) within 12 months after the closing of any acquisition that is required to be established, adjusted or incurred, as applicable, as a result of such acquisition in accordance with GAAP or (c) as a result of any change in, or the adoption or modification of, accounting principles or policies;</w:t>
      </w:r>
    </w:p>
    <w:p>
      <w:pPr>
        <w:spacing w:after="0" w:line="71" w:lineRule="exact"/>
        <w:rPr>
          <w:rFonts w:ascii="Times New Roman" w:cs="Times New Roman" w:eastAsia="Times New Roman" w:hAnsi="Times New Roman"/>
          <w:sz w:val="18"/>
          <w:szCs w:val="18"/>
          <w:color w:val="auto"/>
        </w:rPr>
      </w:pPr>
    </w:p>
    <w:p>
      <w:pPr>
        <w:ind w:left="4" w:right="100" w:firstLine="419"/>
        <w:spacing w:after="0" w:line="261" w:lineRule="auto"/>
        <w:tabs>
          <w:tab w:leader="none" w:pos="681" w:val="left"/>
        </w:tabs>
        <w:numPr>
          <w:ilvl w:val="1"/>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 write-off or amortization made in such period of deferred financing costs and premiums paid or other expenses incurred directly in connection with any early extinguishment of Indebtedness, (b) goodwill or other asset impairment charges, write-offs or write-downs,</w:t>
      </w:r>
    </w:p>
    <w:p>
      <w:pPr>
        <w:ind w:left="4" w:right="280" w:hanging="4"/>
        <w:spacing w:after="0" w:line="260" w:lineRule="auto"/>
        <w:tabs>
          <w:tab w:leader="none" w:pos="248" w:val="left"/>
        </w:tabs>
        <w:numPr>
          <w:ilvl w:val="0"/>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 assets and (d) other amortization (including amortization of goodwill, software, deferred or capitalized financing fees, debt issuance costs, commissions and expenses and other intangible assets);</w:t>
      </w:r>
    </w:p>
    <w:p>
      <w:pPr>
        <w:spacing w:after="0" w:line="73" w:lineRule="exact"/>
        <w:rPr>
          <w:rFonts w:ascii="Times New Roman" w:cs="Times New Roman" w:eastAsia="Times New Roman" w:hAnsi="Times New Roman"/>
          <w:sz w:val="18"/>
          <w:szCs w:val="18"/>
          <w:color w:val="auto"/>
        </w:rPr>
      </w:pPr>
    </w:p>
    <w:p>
      <w:pPr>
        <w:ind w:left="4" w:firstLine="419"/>
        <w:spacing w:after="0" w:line="253" w:lineRule="auto"/>
        <w:tabs>
          <w:tab w:leader="none" w:pos="771" w:val="left"/>
        </w:tabs>
        <w:numPr>
          <w:ilvl w:val="1"/>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effects of adjustments (including the effects of such adjustments pushed down to the Subject Person and its subsidiaries) in component amounts required or permitted by GAAP (including, without limitation, in the inventory (including any impact of changes to inventory valuation policy methods, including changes in capitalization of variances), property and equipment, lease, rights fee arrangements, software, goodwill, intangible asset (including customer molds), in-process research and development, deferred revenue, advanced billing and debt line items thereof), resulting from the application of recapitalization accounting or acquisition or purchase accounting, as the case may be, in relation to the Transactions or any consummated acquisition or similar Investment or the amortization or write-off of any amounts thereof (including any write-off of in process research and development) and/or (b) the cumulative effect of any change in accounting principles or policies (effected by way of either a cumulative effect adjustment or as a retroactive application, in each case, in accordance with GAAP) (except that, if the Issuer determines in good faith that the cumulative effects thereof are not material to the interests of the Holders of the Notes, the effects of any change in any such principles or policies may be included in any subsequent period after the fiscal quarter in which such change, adoption or modification was made);</w:t>
      </w:r>
    </w:p>
    <w:p>
      <w:pPr>
        <w:spacing w:after="0" w:line="12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44"/>
          </w:cols>
          <w:pgMar w:left="876" w:top="269" w:right="479" w:bottom="1440" w:gutter="0" w:footer="0" w:header="0"/>
        </w:sectPr>
      </w:pPr>
    </w:p>
    <w:bookmarkStart w:id="598" w:name="page599"/>
    <w:bookmarkEnd w:id="598"/>
    <w:p>
      <w:pPr>
        <w:jc w:val="both"/>
        <w:ind w:firstLine="419"/>
        <w:spacing w:after="0" w:line="261" w:lineRule="auto"/>
        <w:tabs>
          <w:tab w:leader="none" w:pos="761"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income or loss of any Person accrued prior to the date on which such Person became a Restricted Subsidiary of such Subject Person or is merged into or consolidated with such Subject Person or any Restricted Subsidiary of such Subject Person or the date that such other Person’s assets are acquired by such Subject Person or any Restricted Subsidiary of such Subject Person (except to the extent required for any calculation of Consolidated Adjusted EBITDA on a Pro Forma Basis in accordance with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deferred Tax expense associated with any tax deduction or net operating loss arising as a result of the Transactions, or the release of any valuation allowance related to any such item;</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768"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non-Cash deemed finance Charges in respect of any pension liabilities or other provisions and (b) income (loss) attributable to deferred compensation plans or trusts;</w:t>
      </w:r>
    </w:p>
    <w:p>
      <w:pPr>
        <w:spacing w:after="0" w:line="53" w:lineRule="exact"/>
        <w:rPr>
          <w:rFonts w:ascii="Times New Roman" w:cs="Times New Roman" w:eastAsia="Times New Roman" w:hAnsi="Times New Roman"/>
          <w:sz w:val="18"/>
          <w:szCs w:val="18"/>
          <w:color w:val="auto"/>
        </w:rPr>
      </w:pPr>
    </w:p>
    <w:p>
      <w:pPr>
        <w:ind w:right="120" w:firstLine="419"/>
        <w:spacing w:after="0" w:line="266" w:lineRule="auto"/>
        <w:tabs>
          <w:tab w:leader="none" w:pos="768"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compensation or otherwise) and adjustments thereof and purchase price adjustments, including in connection with any acquisition or Investment not prohibited by this Indenture or in respect of any acquisition consummated prior to the Escrow Release Date;</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firstLine="419"/>
        <w:spacing w:after="0" w:line="269" w:lineRule="auto"/>
        <w:tabs>
          <w:tab w:leader="none" w:pos="768" w:val="left"/>
        </w:tabs>
        <w:numPr>
          <w:ilvl w:val="0"/>
          <w:numId w:val="8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Costs and Charges or other costs incurred in connection with the Transactions, (b) any Charge incurred (i) in connection with any transaction (in each case, regardless of whether consummated), whether or not permitted under this Indenture, including any issuance and/or incurrence of Indebtedness and/or any issuance and/or offering of Capital Stock, any Investment, any acquisition, any disposition, any recapitalization, any merger, consolidation or amalgamation, any option buyout or any repayment, redemption, refinancing, amendment or modification of Indebtedness (including any amortization or write-off of debt issuance or deferred financing costs, premiums and prepayment penalties) or any similar transaction or in connection with becoming a standalone company (including duplicative integration costs or similar duplicate or increased costs in respect of any transition services agreement) and/or (ii) in connection with any public offering (whether or not consummated), (c) the amount of any Charge that is actually reimbursed or reimbursable by third parties pursuant to indemnification or reimbursement provisions or similar agreements or insurance (it being understood that if the amount received in cash under any such agreement in any period exceeds the amount of expense paid during such period, any excess amount received may be carried forward and applied against any expense in any future period); provided that in respect of any reimbursable Charge that is added back in reliance on clause (c) above, such relevant Person in good faith expects to receive reimbursement for such Charge within the next four fiscal quarters (with a deduction in the applicable future period for any amount so added back to the extent not so reimbursed within the next four fiscal quarters) and/or (d) Public Company Costs;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80" w:top="269" w:right="459" w:bottom="1440" w:gutter="0" w:footer="0" w:header="0"/>
        </w:sectPr>
      </w:pPr>
    </w:p>
    <w:bookmarkStart w:id="599" w:name="page600"/>
    <w:bookmarkEnd w:id="599"/>
    <w:p>
      <w:pPr>
        <w:ind w:right="20" w:firstLine="419"/>
        <w:spacing w:after="0" w:line="261" w:lineRule="auto"/>
        <w:tabs>
          <w:tab w:leader="none" w:pos="768"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Charge incurred or accrued in connection with any single or one-time event (as determined in good faith by such Person), including in connection with (a) the Transactions and/or any acquisition consummated after the Issue Date (including legal, accounting and other professional fees and expenses incurred in connection with acquisitions and other Investments made prior to the Escrow Release Date), (b) the closing, consolidation or reconfiguration of any facility during such period or (c) one-time consulting costs;</w:t>
      </w:r>
    </w:p>
    <w:p>
      <w:pPr>
        <w:spacing w:after="0" w:line="71"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(including any Charge relating to any tax restructuring); Charges attributable to any carveout; integration, implementation and/or transition Charges; retention, recruiting, training, relocation, reallocation, signing or completion Charges or bonus; one-time compensation Charges; stock option and other equity-based compensation expenses and the amount of payments made to option holders in connection with, or as a result of, any distribution being made to shareholders; severance Charges; one-time systems establishment Charges; any system design and implementation Charges; any Charges relating to any entry into new markets and contracts (including, without limitation, any renewals, extensions or other modifications thereof) or new product introductions or exiting a market, contract or product; Charges relating to any strategic initiative or contract; Charges associated with office and facility openings, pre-openings, closings, expansions and consolidations (including but not limited to termination costs, moving costs and legal costs); lease run-off Charges; expansion and/or relocation Charges; Charges in connection with new operations; Charges in connection with unused warehouse space; corporate development Charges; software and other intellectual property development Charges; project start-up Charges; Charges relating to rights fee arrangements (including any early terminations thereof); consulting Charges; Charges relating to rights fee arrangements (including any early terminations thereof); Charges associated with any modification or curtailment to any pension and post-retirement employee benefit plan (including any settlement of pension liabilities); Charges attributable to the undertaking and/or implementation of new initiatives, business optimization activities, cost savings initiatives (including Cost Savings Initiatives), cost rationalization programs, operating expense reductions, synergies and/or similar initiatives or programs (including, without limitation, in connection with: any inventory and/or equipment optimization program and/or any curtailment; any reconstruction, decommissioning, recommissioning or reconfiguration of fixed assets for alternative uses; any implementation of one-time operational and reporting systems and technology initiatives (including any Charges relating to the one-time implementation of enhanced accounting or IT functions)); employee ramp-up Charges; Charges related to temporary decreases in work volume; Charges related to underutilized personnel (including duplicative personnel); and Charges related to customer disputes, distribution networks or sales channels;</w:t>
      </w:r>
    </w:p>
    <w:p>
      <w:pPr>
        <w:spacing w:after="0" w:line="82" w:lineRule="exact"/>
        <w:rPr>
          <w:rFonts w:ascii="Times New Roman" w:cs="Times New Roman" w:eastAsia="Times New Roman" w:hAnsi="Times New Roman"/>
          <w:sz w:val="18"/>
          <w:szCs w:val="18"/>
          <w:color w:val="auto"/>
        </w:rPr>
      </w:pPr>
    </w:p>
    <w:p>
      <w:pPr>
        <w:ind w:right="360" w:firstLine="419"/>
        <w:spacing w:after="0" w:line="261" w:lineRule="auto"/>
        <w:tabs>
          <w:tab w:leader="none" w:pos="768"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Charges and/or any other non-Cash Charges arising from the granting of any stock, stock option or similar arrangement (including any profits interest or phantom stock), the granting of any restricted stock, stock appreciation right and/or similar arrangement (including any repricing, amendment, modification, substitution or change of any such stock option, restricted stock, stock appreciation right, profits interest, phantom stock or similar arrangement or the vesting of any warrant); and</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69" w:right="459" w:bottom="1440" w:gutter="0" w:footer="0" w:header="0"/>
        </w:sectPr>
      </w:pPr>
    </w:p>
    <w:bookmarkStart w:id="600" w:name="page601"/>
    <w:bookmarkEnd w:id="600"/>
    <w:p>
      <w:pPr>
        <w:ind w:left="440" w:right="500" w:firstLine="419"/>
        <w:spacing w:after="0" w:line="282" w:lineRule="auto"/>
        <w:tabs>
          <w:tab w:leader="none" w:pos="1208"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such amount would otherwise increase Consolidated Net Income, Taxes paid (including pursuant to any Tax sharing arrangement) in cash (including, to the extent paid in cash, Taxes arising out of any tax examination).</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included in the Consolidated Net Income of such Person and its Restricted Subsidiaries, Consolidated Net Income will include the proceeds of business interruption insurance in an amount representing the earnings for the applicable period that such proceeds are intended to replace (whether or not received so long as the Issuer in good faith expects to receive such proceeds within the next four fiscal quarters (with a deduction in the applicable future period for any amount so added back to the extent not so received within the next four fiscal quarters)).</w:t>
      </w:r>
    </w:p>
    <w:p>
      <w:pPr>
        <w:spacing w:after="0" w:line="176"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Debt</w:t>
      </w:r>
      <w:r>
        <w:rPr>
          <w:rFonts w:ascii="Times New Roman" w:cs="Times New Roman" w:eastAsia="Times New Roman" w:hAnsi="Times New Roman"/>
          <w:sz w:val="18"/>
          <w:szCs w:val="18"/>
          <w:color w:val="auto"/>
        </w:rPr>
        <w:t xml:space="preserve">” means, as to any Person at any date of determination, the aggregate principal amount of Consolidated Total Debt outstanding on such date that is secured by a first-priority Lien on any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Secured Debt” shall be calculated after applying or netting (as applicable) the Netted Amounts.</w:t>
      </w:r>
    </w:p>
    <w:p>
      <w:pPr>
        <w:spacing w:after="0" w:line="17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Assets</w:t>
      </w:r>
      <w:r>
        <w:rPr>
          <w:rFonts w:ascii="Times New Roman" w:cs="Times New Roman" w:eastAsia="Times New Roman" w:hAnsi="Times New Roman"/>
          <w:sz w:val="18"/>
          <w:szCs w:val="18"/>
          <w:color w:val="auto"/>
        </w:rPr>
        <w:t>” means, as to any Person, at any date, all amounts that would, in conformity with GAAP, be set forth opposite the caption “total assets” (or any like caption) on a consolidated balance sheet of the applicable Person at such date.</w:t>
      </w:r>
    </w:p>
    <w:p>
      <w:pPr>
        <w:spacing w:after="0" w:line="15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to any Person at any date of determination, the aggregate principal amount of all third party debt for borrowed money (including drawn letters of credit that have not been reimbursed within three Business Days and the outstanding principal balance of all Indebtedness of such Person represented by notes, bonds and similar instruments), Finance Leases and purchase money Indebtedness (but excluding in each case, for the avoidance of doubt, undrawn letters of credit), in each case as reflected on a balance sheet of such Person prepared in accordance with GAAP; provided that “Consolidated Total Debt” and “Consolidated Secured Debt” shall in each case (but without duplication) be calculated (for all purposes hereunder, including as a component of the definitions of Consolidated Secured Debt and Total Net Leverage Ratio, and any applications of such definitions) (i) net of the Unrestricted Cash Amount, (ii) to exclude any obligation, liability or indebtedness of such Person if, upon or after issuance thereof or upon or prior to the maturity thereof, such Person holds or has irrevocably deposited with the proper Person in trust or escrow the necessary funds (or evidences of indebtedness) for the payment, redemption or satisfaction of such obligation, liability or Indebtedness, and thereafter such funds and evidences of such obligation, liability or Indebtedness or other security so deposited are not included in the calculation of the Unrestricted Cash Amount, (iii) to exclude any obligation, liability or indebtedness of such Person to the extent that, upon or after the issuance thereof, such obligation, liability or indebtedness is secured by the cash proceeds thereof and/or other amounts provided to by or on behalf of such Person pursuant to an escrow or similar arrangement, and for so long as such obligation, liability or indebtedness is so secured, such cash proceeds and other amounts are not included in the calculation of the Unrestricted Cash Amount, (iv) to exclude obligations under any Derivative Transaction, any Permitted Receivables Facility, or under any Indebtedness that is non-recourse to such Person and its Restricted Subsidiaries and (v) to exclude obligations under any Non-Finance Lease Obligation (items (i) through (v) of this proviso, the “Netted Amounts”). For the avoidance of doubt, Consolidated Total Debt shall be calculated in accordance with GAAP, pursuant to the terms of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69" w:right="459" w:bottom="1440" w:gutter="0" w:footer="0" w:header="0"/>
        </w:sectPr>
      </w:pPr>
    </w:p>
    <w:bookmarkStart w:id="601" w:name="page602"/>
    <w:bookmarkEnd w:id="601"/>
    <w:p>
      <w:pPr>
        <w:ind w:right="280" w:firstLine="440"/>
        <w:spacing w:after="0" w:line="31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means the possession, directly or indirectly, of the power to direct or cause the direction of the management or policies of a Person, whether through the ability to exercise voting power, by contract or otherwise. “Controlling” and “Controlled” have meanings correlative thereto.</w:t>
      </w:r>
    </w:p>
    <w:p>
      <w:pPr>
        <w:spacing w:after="0" w:line="132"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Convertible Indebtedness</w:t>
      </w:r>
      <w:r>
        <w:rPr>
          <w:rFonts w:ascii="Times New Roman" w:cs="Times New Roman" w:eastAsia="Times New Roman" w:hAnsi="Times New Roman"/>
          <w:sz w:val="18"/>
          <w:szCs w:val="18"/>
          <w:color w:val="auto"/>
        </w:rPr>
        <w:t>” means Indebtedness of the Issuer or any Restricted Subsidiary (which may be guaranteed by the Guarantors or any Restricted Subsidiary) permitted to be incurred under this Indenture that is either (a) convertible into or exchangeable for Capital Stock of the Issuer (and cash in lieu of fractional shares) or cash (in an amount determined by reference to the price of such Capital Stock or a market measure of such Capital Stock), or a combination thereof or (b) sold as units with call options, warrants or rights to purchase (or substantially equivalent derivative transactions) that are exercisable for Qualified Capital Stock of the Issuer or cash (in an amount determined by reference to the price of such Qualified Capital Stock).</w:t>
      </w:r>
    </w:p>
    <w:p>
      <w:pPr>
        <w:spacing w:after="0" w:line="182" w:lineRule="exact"/>
        <w:rPr>
          <w:sz w:val="20"/>
          <w:szCs w:val="20"/>
          <w:color w:val="auto"/>
        </w:rPr>
      </w:pPr>
    </w:p>
    <w:p>
      <w:pPr>
        <w:ind w:right="8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Corporate Trust Office</w:t>
      </w:r>
      <w:r>
        <w:rPr>
          <w:rFonts w:ascii="Times New Roman" w:cs="Times New Roman" w:eastAsia="Times New Roman" w:hAnsi="Times New Roman"/>
          <w:sz w:val="17"/>
          <w:szCs w:val="17"/>
          <w:color w:val="auto"/>
        </w:rPr>
        <w:t>” means the designated office of the Trustee (in each of its capacities hereunder, including, without limitation, as an Agent or as Notes Collateral Agent) at which at any particular time its corporate trust business shall be administered which office at the date of the execution of this Indenture is located (i) solely for purposes of the transfer, exchange or surrender of the Notes, 480 Washington Boulevard, 30th Floor, Jersey City, New Jersey 07310, Attention: SPAG Administration, and (ii) for all other purposes, 388 Greenwich Street, New York, New York 10013, Attention: SPAG Administration, or at any other time at such other address as the Trustee may designate from time to time by notice to the Issuer.</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means each of (a) that certain Credit and Guaranty Agreement, dated as of October 3, 2025 among the Issuer, the guarantors party thereto, the lenders and issuing lenders party thereto and JPMorgan Chase Bank, N.A., as administrative agent and collateral agent (the “</w:t>
      </w:r>
      <w:r>
        <w:rPr>
          <w:rFonts w:ascii="Times New Roman" w:cs="Times New Roman" w:eastAsia="Times New Roman" w:hAnsi="Times New Roman"/>
          <w:sz w:val="18"/>
          <w:szCs w:val="18"/>
          <w:b w:val="1"/>
          <w:bCs w:val="1"/>
          <w:color w:val="auto"/>
        </w:rPr>
        <w:t>TLA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 providing for a term loan and a revolving credit facility and (b) that certain Credit and Guaranty Agreement, to be entered into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Transactions, among the Issuer, the guarantors to be named therein, and Morgan Stanley Senior Funding, Inc., as administrative agent and collateral agent (the “</w:t>
      </w:r>
      <w:r>
        <w:rPr>
          <w:rFonts w:ascii="Times New Roman" w:cs="Times New Roman" w:eastAsia="Times New Roman" w:hAnsi="Times New Roman"/>
          <w:sz w:val="18"/>
          <w:szCs w:val="18"/>
          <w:b w:val="1"/>
          <w:bCs w:val="1"/>
          <w:color w:val="auto"/>
        </w:rPr>
        <w:t>TLB Credit Agreement</w:t>
      </w:r>
      <w:r>
        <w:rPr>
          <w:rFonts w:ascii="Times New Roman" w:cs="Times New Roman" w:eastAsia="Times New Roman" w:hAnsi="Times New Roman"/>
          <w:sz w:val="18"/>
          <w:szCs w:val="18"/>
          <w:color w:val="auto"/>
        </w:rPr>
        <w:t>”), providing for a term loan, in each case of clauses (a) and (b), including any guarantees, collateral documents, instruments and agreements executed in connection therewith, and any amendments, supplements, modifications, extensions, renewals, restatements, refundings, refinancings or replacements thereof and any one or more indentures, agreements, credit facilities or commercial paper facilities with banks or other institutional lenders or investors that replace, refund, supplement or refinance any part of the loans, notes, other credit facilities or commitments thereunder, including any such replacement, refunding or refinancing facility or indenture or agreement that increases the amount borrowable thereunder or alters the maturity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increase in borrowings is permitted under this Indenture) or adds any Restricted Subsidiaries as additional borrowers or guarantors thereunder and whether by the same or any other agent, trustee, lender or group of lenders or holders (collectively, the “</w:t>
      </w:r>
      <w:r>
        <w:rPr>
          <w:rFonts w:ascii="Times New Roman" w:cs="Times New Roman" w:eastAsia="Times New Roman" w:hAnsi="Times New Roman"/>
          <w:sz w:val="18"/>
          <w:szCs w:val="18"/>
          <w:b w:val="1"/>
          <w:bCs w:val="1"/>
          <w:color w:val="auto"/>
        </w:rPr>
        <w:t>Credit Agreements</w:t>
      </w:r>
      <w:r>
        <w:rPr>
          <w:rFonts w:ascii="Times New Roman" w:cs="Times New Roman" w:eastAsia="Times New Roman" w:hAnsi="Times New Roman"/>
          <w:sz w:val="18"/>
          <w:szCs w:val="18"/>
          <w:color w:val="auto"/>
        </w:rPr>
        <w:t>”).</w:t>
      </w:r>
    </w:p>
    <w:p>
      <w:pPr>
        <w:spacing w:after="0" w:line="1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65" w:right="499" w:bottom="1440" w:gutter="0" w:footer="0" w:header="0"/>
        </w:sectPr>
      </w:pPr>
    </w:p>
    <w:bookmarkStart w:id="602" w:name="page603"/>
    <w:bookmarkEnd w:id="602"/>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Credit Agreement Collateral Agent</w:t>
      </w:r>
      <w:r>
        <w:rPr>
          <w:rFonts w:ascii="Times New Roman" w:cs="Times New Roman" w:eastAsia="Times New Roman" w:hAnsi="Times New Roman"/>
          <w:sz w:val="18"/>
          <w:szCs w:val="18"/>
          <w:color w:val="auto"/>
        </w:rPr>
        <w:t>” means each of (i) JPMorgan Chase Bank, N.A. in its capacity as collateral agent under the TLA Credit Agreement (together with its permitted successors and assigns), and (ii) Morgan Stanley Senior Funding, Inc. in its capacity as collateral agent under the TLB Credit Agreement (together with its permitted successors and assigns) (collectively, the “</w:t>
      </w:r>
      <w:r>
        <w:rPr>
          <w:rFonts w:ascii="Times New Roman" w:cs="Times New Roman" w:eastAsia="Times New Roman" w:hAnsi="Times New Roman"/>
          <w:sz w:val="18"/>
          <w:szCs w:val="18"/>
          <w:b w:val="1"/>
          <w:bCs w:val="1"/>
          <w:color w:val="auto"/>
        </w:rPr>
        <w:t>Credit Agreement Collateral Agents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Facilities</w:t>
      </w:r>
      <w:r>
        <w:rPr>
          <w:rFonts w:ascii="Times New Roman" w:cs="Times New Roman" w:eastAsia="Times New Roman" w:hAnsi="Times New Roman"/>
          <w:sz w:val="18"/>
          <w:szCs w:val="18"/>
          <w:color w:val="auto"/>
        </w:rPr>
        <w:t>” means one or more debt facilities, credit agreements, commercial paper facilities, indentures or other agreements (including, without limitation, the Credit Agreements), in each case with banks, institutional lenders, purchasers, investors, trustees or agents providing for revolving credit loans, term loans, receivables financing (including through the sale of receivables to such lenders or to special purpose entities formed to borrow from such lenders against such receivables), letters of credit, notes or other extensions of credit or other Indebtedness, in each case including any notes, mortgages, guarantees, collateral documents, instruments and agreements executed in connection therewith, and in each case as amended, extended, renewed, restated, supplemented or otherwise modified (in whole or in part, and without limitation as to amount, terms, conditions, covenants and other provisions) from time to time, and any agreement or instrument (and related documents) governing Indebtedness incurred to refinance or replace, in whole or in part, the borrowings and commitments then outstanding or permitted to be outstanding under such facilities or a successor facility, whether by the same or any other bank, institutional lender, purchaser, investor, trustee or agent or group thereof.</w:t>
      </w:r>
    </w:p>
    <w:p>
      <w:pPr>
        <w:spacing w:after="0" w:line="18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Facility Indebtedness</w:t>
      </w:r>
      <w:r>
        <w:rPr>
          <w:rFonts w:ascii="Times New Roman" w:cs="Times New Roman" w:eastAsia="Times New Roman" w:hAnsi="Times New Roman"/>
          <w:sz w:val="18"/>
          <w:szCs w:val="18"/>
          <w:color w:val="auto"/>
        </w:rPr>
        <w:t>” means any Indebtedness for borrowed money that is incurred pursuant a Credit Facility (including pursuant to the Credit Agreements).</w:t>
      </w:r>
    </w:p>
    <w:p>
      <w:pPr>
        <w:spacing w:after="0" w:line="155"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means any receiver, monitor, trustee, assignee, liquidator, sequestrator, receiver-manager, custodian, administrative receiver, administrator or similar official under the Bankruptcy Code.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which upon notice, lapse of time or both would become an Event of Default.</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Definitive Notes</w:t>
      </w:r>
      <w:r>
        <w:rPr>
          <w:rFonts w:ascii="Times New Roman" w:cs="Times New Roman" w:eastAsia="Times New Roman" w:hAnsi="Times New Roman"/>
          <w:sz w:val="18"/>
          <w:szCs w:val="18"/>
          <w:color w:val="auto"/>
        </w:rPr>
        <w:t xml:space="preserve">” means Notes that are in substantially the form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that do not include the information to which footnotes 1, 5, 6 and 8 thereof apply.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Divided LLC</w:t>
      </w:r>
      <w:r>
        <w:rPr>
          <w:rFonts w:ascii="Times New Roman" w:cs="Times New Roman" w:eastAsia="Times New Roman" w:hAnsi="Times New Roman"/>
          <w:sz w:val="18"/>
          <w:szCs w:val="18"/>
          <w:color w:val="auto"/>
        </w:rPr>
        <w:t>” means any Delaware LLC formed upon the consummation of a Delaware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w:t>
      </w:r>
      <w:r>
        <w:rPr>
          <w:rFonts w:ascii="Times New Roman" w:cs="Times New Roman" w:eastAsia="Times New Roman" w:hAnsi="Times New Roman"/>
          <w:sz w:val="18"/>
          <w:szCs w:val="18"/>
          <w:color w:val="auto"/>
        </w:rPr>
        <w:t>” means any limited liability company organized or formed under the laws of the State of Delaware.</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Delaware LLC Division</w:t>
      </w:r>
      <w:r>
        <w:rPr>
          <w:rFonts w:ascii="Times New Roman" w:cs="Times New Roman" w:eastAsia="Times New Roman" w:hAnsi="Times New Roman"/>
          <w:sz w:val="18"/>
          <w:szCs w:val="18"/>
          <w:color w:val="auto"/>
        </w:rPr>
        <w:t>” means the statutory division of any Delaware LLC into two or more Delaware LLCs pursuant to Section 18-217 of the Delaware Limited Liability Company Act.</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Depositary</w:t>
      </w:r>
      <w:r>
        <w:rPr>
          <w:rFonts w:ascii="Times New Roman" w:cs="Times New Roman" w:eastAsia="Times New Roman" w:hAnsi="Times New Roman"/>
          <w:sz w:val="18"/>
          <w:szCs w:val="18"/>
          <w:color w:val="auto"/>
        </w:rPr>
        <w:t>” means with respect to the Notes issuable or issued in whole or in part in global form, DTC, including any and all successors thereto appointed as depositary hereunder and having become such pursuant to the applicable provisions of this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5" w:right="459" w:bottom="1440" w:gutter="0" w:footer="0" w:header="0"/>
        </w:sectPr>
      </w:pPr>
    </w:p>
    <w:bookmarkStart w:id="603" w:name="page604"/>
    <w:bookmarkEnd w:id="603"/>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Regulated Bank or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 w:cs="Times New Roman" w:eastAsia="Times New Roman" w:hAnsi="Times New Roman"/>
          <w:sz w:val="18"/>
          <w:szCs w:val="18"/>
          <w:b w:val="1"/>
          <w:bCs w:val="1"/>
          <w:color w:val="auto"/>
        </w:rPr>
        <w:t>Performance References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Transaction</w:t>
      </w:r>
      <w:r>
        <w:rPr>
          <w:rFonts w:ascii="Times New Roman" w:cs="Times New Roman" w:eastAsia="Times New Roman" w:hAnsi="Times New Roman"/>
          <w:sz w:val="18"/>
          <w:szCs w:val="18"/>
          <w:color w:val="auto"/>
        </w:rPr>
        <w:t>” means (a) any interest-rate transaction, including any interest-rate swap, basis swap, forward rate agreement, interest rate option (including a cap, collar or floor), and any other instrument linked to interest rates that gives rise to similar credit risks (including when-issued securities and forward deposits accepted), (b) any exchange-rate transaction, including any cross-currency interest-rate swap, any forward foreign-exchange contract, any currency option, and any other instrument linked to exchange rates that gives rise to similar credit risks, (c) any equity derivative transaction, including any equity-linked swap, any equity-linked option, any forward equity-linked contract, and any other instrument linked to equities that gives rise to similar credit risk and (d) any commodity (including precious metal) derivative transaction, including any commodity-linked swap, any commodity-linked option, any forward commodity-linked contract, and any other instrument linked to commodities that gives rise to similar credit risks; provided, that (i) no phantom stock or similar plan providing for payments only on account of services provided by current or former directors, officers, employees, members of management, managers or consultants of the Issuer or its subsidiaries shall constitute a Derivative Transaction and (ii) no Packaged Right, Permitted Bond Hedge Transaction or Permitted Warrant Transaction shall, in each case, constitute a Derivative Transaction.</w:t>
      </w:r>
    </w:p>
    <w:p>
      <w:pPr>
        <w:spacing w:after="0" w:line="185"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means the fair market value (as determined by the Issuer in good faith) of non-Cash consideration received by the Issuer or any Restricted Subsidiary in connection with any Asset Sale pursuant to </w:t>
      </w:r>
      <w:r>
        <w:rPr>
          <w:rFonts w:ascii="Times New Roman" w:cs="Times New Roman" w:eastAsia="Times New Roman" w:hAnsi="Times New Roman"/>
          <w:sz w:val="18"/>
          <w:szCs w:val="18"/>
          <w:u w:val="single" w:color="auto"/>
          <w:color w:val="auto"/>
        </w:rPr>
        <w:t>Section 4.13(a)(ii)</w:t>
      </w:r>
      <w:r>
        <w:rPr>
          <w:rFonts w:ascii="Times New Roman" w:cs="Times New Roman" w:eastAsia="Times New Roman" w:hAnsi="Times New Roman"/>
          <w:sz w:val="18"/>
          <w:szCs w:val="18"/>
          <w:color w:val="auto"/>
        </w:rPr>
        <w:t xml:space="preserve"> that is designated as Designated Non-Cash Consideration (which amount will be reduced by the amount of Cash or Cash Equivalents received in connection with a subsequent sale or conversion of such Designated Non-Cash Consideration to Cash or Cash Equivalents).</w:t>
      </w:r>
    </w:p>
    <w:p>
      <w:pPr>
        <w:spacing w:after="0" w:line="176"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any Capital Stock which, by its terms (or by the terms of any security into which it is convertible or for which it is exchangeable), or upon the happening of any event, (a) matures (excluding any maturity as the result of an optional redemption by the issuer thereof) or is mandatorily redeemable (other than for Qualified Capital Stock), pursuant to a sinking fund obligation or otherwise, or is redeemable at the option of the holder thereof (other than for Qualified Capital Stock), in whole or in part, prior to 91 days following the maturity date of the Notes at the time such Capital Stock is issued (it being understood that if any such redemption is in part, only such part coming into effect prior to 91 days following the maturity date of the Notes at the time such Capital Stock is issued shall constitute Disqualified Stock), (b) is or becomes convertible into or exchangeable (unless at the sole option of the issuer thereof) for (i) debt securities or (ii) any Capital Stock that would constitute Disqualified Stock, in each case at any time prior to 91 days following the maturity date of the Notes at the time such Capital Stock is issued (it being understood that if any such conversion or exchange is in part, only such</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65" w:right="459" w:bottom="1440" w:gutter="0" w:footer="0" w:header="0"/>
        </w:sectPr>
      </w:pPr>
    </w:p>
    <w:bookmarkStart w:id="604" w:name="page605"/>
    <w:bookmarkEnd w:id="604"/>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part coming into effect prior to 91 days following the maturity date of the Notes at the time such Capital Stock is issued shall constitute Disqualified Stock), (c) contains any mandatory repurchase obligation or any other repurchase obligation at the option of the holder thereof (other than for Qualified Capital Stock), in whole or in part, which may come into effect prior to 91 days following the maturity date of the Notes at the time such Capital Stock is issued (it being understood that if any such repurchase obligation is in part, only such part coming into effect prior to 91 days following the maturity date of the Notes at the time such Capital Stock is issued shall constitute Disqualified Stock), or (d) requires the scheduled payments of dividends in cash prior to 91 days following the maturity date of the Notes at the time such Capital Stock is issued;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Capital Stock that would not constitute Disqualified Stock but for provisions thereof giving holders thereof (or the holders of any security into or for which such Capital Stock is convertible, exchangeable or exercisable) the right to require the issuer thereof to redeem such Capital Stock upon the occurrence of any change of control, public offering or any disposition occurring prior to 91 days following the maturity date of the Notes at the time such Capital Stock is issued shall not constitute Disqualified Stock if such Capital Stock provides that the issuer thereof will not redeem any such Capital Stock pursuant to such provisions unless such repurchase or redemption complies with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hereof; provided, further, that no Permitted Warrant Transaction shall constitute Disqualified Stock. The amount of Disqualified Stock deemed to be outstanding at any time under this Indenture shall be the maximum amount that the Issuer and its Restricted Subsidiaries may become obligated to pay upon the maturity of, or pursuant to any mandatory redemption provisions of, such Disqualified Stock, exclusive of accrued dividends.</w:t>
      </w:r>
    </w:p>
    <w:p>
      <w:pPr>
        <w:spacing w:after="0" w:line="19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preceding sentence, (A) if such Capital Stock is issued pursuant to any plan for the benefit of directors, officers, employees, members of management, managers or consultants or by any such plan to such directors, officers, employees, members of management, managers or consultants, in each case in the ordinary course of business of the Issuer or any Restricted Subsidiary, such Capital Stock shall not constitute Disqualified Stock solely because it may be required to be repurchased by the issuer thereof in order to satisfy applicable statutory or regulatory obligations, (B) no Capital Stock held by any Permitted Payee shall be considered Disqualified Stock because such stock is redeemable or subject to repurchase pursuant to any management equity subscription agreement, stock option, stock appreciation right or other stock award agreement, stock ownership plan, put agreement, stockholder agreement or similar agreement that may be in effect from time to time and (C) the accrual of interest or dividends, the accretion of accreted value, the accretion or amortization of original issue discount and the payment of interest or dividends in the form of additional Disqualified Stock of the same class shall not be deemed to be an issuance of Disqualified Stock.</w:t>
      </w:r>
    </w:p>
    <w:p>
      <w:pPr>
        <w:spacing w:after="0" w:line="184"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Distribution</w:t>
      </w:r>
      <w:r>
        <w:rPr>
          <w:rFonts w:ascii="Times New Roman" w:cs="Times New Roman" w:eastAsia="Times New Roman" w:hAnsi="Times New Roman"/>
          <w:sz w:val="18"/>
          <w:szCs w:val="18"/>
          <w:color w:val="auto"/>
        </w:rPr>
        <w:t>” means the distribution of the Issuer’s shares of common stock owned by Comcast to the holders of Comcast’s shares of common stock as of the Record Date (as such term is used in the Separation and Distribution Agreement (as described in or referred to in, or contemplated by, the Form 10)), as may be further described or referred to in, or contemplated by, the Separation Agreements.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Equivalent</w:t>
      </w:r>
      <w:r>
        <w:rPr>
          <w:rFonts w:ascii="Times New Roman" w:cs="Times New Roman" w:eastAsia="Times New Roman" w:hAnsi="Times New Roman"/>
          <w:sz w:val="18"/>
          <w:szCs w:val="18"/>
          <w:color w:val="auto"/>
        </w:rPr>
        <w:t>” of any amount means, at the time of determination thereof,</w:t>
      </w:r>
    </w:p>
    <w:p>
      <w:pPr>
        <w:spacing w:after="0" w:line="121" w:lineRule="exact"/>
        <w:rPr>
          <w:sz w:val="20"/>
          <w:szCs w:val="20"/>
          <w:color w:val="auto"/>
        </w:rPr>
      </w:pPr>
    </w:p>
    <w:p>
      <w:pPr>
        <w:ind w:left="5420" w:right="5380" w:hanging="4561"/>
        <w:spacing w:after="0" w:line="454" w:lineRule="auto"/>
        <w:tabs>
          <w:tab w:leader="none" w:pos="1120"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amount is expressed in U.S. dollars, such amount, or 25</w:t>
      </w:r>
    </w:p>
    <w:p>
      <w:pPr>
        <w:sectPr>
          <w:pgSz w:w="11900" w:h="16838" w:orient="portrait"/>
          <w:cols w:equalWidth="0" w:num="1">
            <w:col w:w="10980"/>
          </w:cols>
          <w:pgMar w:left="440" w:top="269" w:right="479" w:bottom="1440" w:gutter="0" w:footer="0" w:header="0"/>
        </w:sectPr>
      </w:pPr>
    </w:p>
    <w:bookmarkStart w:id="605" w:name="page606"/>
    <w:bookmarkEnd w:id="605"/>
    <w:p>
      <w:pPr>
        <w:ind w:left="1120" w:hanging="261"/>
        <w:spacing w:after="0"/>
        <w:tabs>
          <w:tab w:leader="none" w:pos="1120" w:val="left"/>
        </w:tabs>
        <w:numPr>
          <w:ilvl w:val="0"/>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such amount is expressed in any other currency, the equivalent of such amount in U.S. dollars determined by using the rate of</w:t>
      </w:r>
    </w:p>
    <w:p>
      <w:pPr>
        <w:spacing w:after="0" w:line="27" w:lineRule="exact"/>
        <w:rPr>
          <w:rFonts w:ascii="Times New Roman" w:cs="Times New Roman" w:eastAsia="Times New Roman" w:hAnsi="Times New Roman"/>
          <w:sz w:val="18"/>
          <w:szCs w:val="18"/>
          <w:color w:val="auto"/>
        </w:rPr>
      </w:pPr>
    </w:p>
    <w:p>
      <w:pPr>
        <w:ind w:left="4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exchange as published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in the “Exchange Rates” column under the heading “Currency Trading” on the date no later than two Business Days prior to such determination or, if such rate is unavailable, as quoted by a nationally recognized investment bank in New York, New York, selected by the Issuer, at 11:00 a.m. (New York City time) on the date of determination (or, if such date is not a Business Day, the last Business Day prior thereto) to prime banks in New York, in either case for the spot purchase in the New York currency exchange market of such amount of U.S. dollars with such currency.</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refers to lawful money of the U.S.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means The Depository Trust Company.</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Benefit Pla</w:t>
      </w:r>
      <w:r>
        <w:rPr>
          <w:rFonts w:ascii="Times New Roman" w:cs="Times New Roman" w:eastAsia="Times New Roman" w:hAnsi="Times New Roman"/>
          <w:sz w:val="18"/>
          <w:szCs w:val="18"/>
          <w:color w:val="auto"/>
        </w:rPr>
        <w:t>n” means any “employee benefit plan” as defined in Section 3(3) of ERISA (regardless of whether such plan is subject to ERISA) which is sponsored, maintained or contributed to by, or required to be contributed to by, the Issuer or any of its Restricted Subsidiaries.</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 and any Packaged Rights).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Offering</w:t>
      </w:r>
      <w:r>
        <w:rPr>
          <w:rFonts w:ascii="Times New Roman" w:cs="Times New Roman" w:eastAsia="Times New Roman" w:hAnsi="Times New Roman"/>
          <w:sz w:val="18"/>
          <w:szCs w:val="18"/>
          <w:color w:val="auto"/>
        </w:rPr>
        <w:t>” means a public or private offering of Qualified Capital Stock.</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Euroclear</w:t>
      </w:r>
      <w:r>
        <w:rPr>
          <w:rFonts w:ascii="Times New Roman" w:cs="Times New Roman" w:eastAsia="Times New Roman" w:hAnsi="Times New Roman"/>
          <w:sz w:val="18"/>
          <w:szCs w:val="18"/>
          <w:color w:val="auto"/>
        </w:rPr>
        <w:t>” means Euroclear Bank S.A./N.V.</w:t>
      </w:r>
    </w:p>
    <w:p>
      <w:pPr>
        <w:spacing w:after="0" w:line="225" w:lineRule="exact"/>
        <w:rPr>
          <w:sz w:val="20"/>
          <w:szCs w:val="20"/>
          <w:color w:val="auto"/>
        </w:rPr>
      </w:pPr>
    </w:p>
    <w:p>
      <w:pPr>
        <w:ind w:right="7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Securities and Exchange Commission promulgated thereunder.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w:t>
      </w:r>
      <w:r>
        <w:rPr>
          <w:rFonts w:ascii="Times New Roman" w:cs="Times New Roman" w:eastAsia="Times New Roman" w:hAnsi="Times New Roman"/>
          <w:sz w:val="18"/>
          <w:szCs w:val="18"/>
          <w:color w:val="auto"/>
        </w:rPr>
        <w:t>” shall be as defined in each applicable Collateral Document.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Assets</w:t>
      </w:r>
      <w:r>
        <w:rPr>
          <w:rFonts w:ascii="Times New Roman" w:cs="Times New Roman" w:eastAsia="Times New Roman" w:hAnsi="Times New Roman"/>
          <w:sz w:val="18"/>
          <w:szCs w:val="18"/>
          <w:color w:val="auto"/>
        </w:rPr>
        <w:t>” shall mean certain property excluded from the Collateral, including:</w:t>
      </w:r>
    </w:p>
    <w:p>
      <w:pPr>
        <w:spacing w:after="0" w:line="121" w:lineRule="exact"/>
        <w:rPr>
          <w:sz w:val="20"/>
          <w:szCs w:val="20"/>
          <w:color w:val="auto"/>
        </w:rPr>
      </w:pPr>
    </w:p>
    <w:p>
      <w:pPr>
        <w:ind w:left="440" w:right="20" w:firstLine="419"/>
        <w:spacing w:after="0" w:line="254" w:lineRule="auto"/>
        <w:tabs>
          <w:tab w:leader="none" w:pos="1118"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lease, license, contract or agreement to which any Grantor is a party, and any of its rights or interest thereunder (or, with respect to clause (i), any other asset), if and to the extent that a security interest is prohibited by or in violation of (or would result in a loss of material rights under) (i) any law, rule or regulation applicable to such Grantor, or (ii) a term, provision or condition of any such lease, license, contract or agreement (unless such law, rule, regulation, term, provision or condition would be rendered ineffective with respect to the creation of the security interest hereunder pursuant to Section 9-406, 9-407, 9-408 or 9-409 of the UCC (or any successor provision or provisions) of any relevant jurisdiction or any other applicable law (including the Bankruptcy Code));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Collateral shall include (and such security interest shall attach) immediately at such time as the contractual or legal prohibition (or condition causing such violation, breach, termination or loss of right) shall no longer be applicable and to the extent severable, shall attach immediately to any portion of such lease, license, contract or agreement not subject to the prohibitions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69" w:right="479" w:bottom="1440" w:gutter="0" w:footer="0" w:header="0"/>
        </w:sectPr>
      </w:pPr>
    </w:p>
    <w:bookmarkStart w:id="606" w:name="page607"/>
    <w:bookmarkEnd w:id="606"/>
    <w:p>
      <w:pPr>
        <w:jc w:val="both"/>
        <w:ind w:left="4" w:right="2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specified in clause (i) or (ii)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further that the exclusions referred to in this clause (1) shall not include any proceeds of any such lease, license, contract or agreement unless such proceeds result in the consequences described in this clause (1) after giving effect to the first proviso in this clause (1);</w:t>
      </w:r>
    </w:p>
    <w:p>
      <w:pPr>
        <w:spacing w:after="0" w:line="67" w:lineRule="exact"/>
        <w:rPr>
          <w:sz w:val="20"/>
          <w:szCs w:val="20"/>
          <w:color w:val="auto"/>
        </w:rPr>
      </w:pPr>
    </w:p>
    <w:p>
      <w:pPr>
        <w:ind w:left="684" w:hanging="261"/>
        <w:spacing w:after="0"/>
        <w:tabs>
          <w:tab w:leader="none" w:pos="684"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Excluded Securities;</w:t>
      </w:r>
    </w:p>
    <w:p>
      <w:pPr>
        <w:spacing w:after="0" w:line="11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“intent-to-use” (or similar) application for registration of a trademark filed pursuant to Section 1(b) of the Lanham Act, 15 U.S.C.</w:t>
      </w:r>
    </w:p>
    <w:p>
      <w:pPr>
        <w:spacing w:after="0" w:line="27" w:lineRule="exact"/>
        <w:rPr>
          <w:rFonts w:ascii="Times New Roman" w:cs="Times New Roman" w:eastAsia="Times New Roman" w:hAnsi="Times New Roman"/>
          <w:sz w:val="18"/>
          <w:szCs w:val="18"/>
          <w:color w:val="auto"/>
        </w:rPr>
      </w:pPr>
    </w:p>
    <w:p>
      <w:pPr>
        <w:jc w:val="both"/>
        <w:ind w:left="4" w:right="300" w:hanging="4"/>
        <w:spacing w:after="0" w:line="253" w:lineRule="auto"/>
        <w:tabs>
          <w:tab w:leader="none" w:pos="139" w:val="left"/>
        </w:tabs>
        <w:numPr>
          <w:ilvl w:val="0"/>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1051, prior to the filing of a “Statement of Use” pursuant to Section 1(d) of the Lanham Act or an “Amendment to Allege Use” pursuant to Section 1 of the Lanham Act with respect thereto (or similar notice or filing), to the extent, if any, that, and solely during the period, if any, in which, the grant of a security interest therein would impair the validity or enforceability of any registration that issues from such intent-to-use application under applicable Federal law;</w:t>
      </w:r>
    </w:p>
    <w:p>
      <w:pPr>
        <w:spacing w:after="0" w:line="80"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681"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motor vehicles and any other asset subject to certificates of title to the extent that a Lien thereon cannot be perfected by the filing of “all assets” financing statements under the UCC;</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letter-of-credit rights to the extent that a Lien thereon cannot be perfected by the filing of “all assets” financing statements under the</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UCC;</w:t>
      </w:r>
    </w:p>
    <w:p>
      <w:pPr>
        <w:spacing w:after="0" w:line="9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117" w:lineRule="exact"/>
        <w:rPr>
          <w:rFonts w:ascii="Times New Roman" w:cs="Times New Roman" w:eastAsia="Times New Roman" w:hAnsi="Times New Roman"/>
          <w:sz w:val="18"/>
          <w:szCs w:val="18"/>
          <w:color w:val="auto"/>
        </w:rPr>
      </w:pPr>
    </w:p>
    <w:p>
      <w:pPr>
        <w:ind w:left="4" w:firstLine="419"/>
        <w:spacing w:after="0" w:line="258" w:lineRule="auto"/>
        <w:tabs>
          <w:tab w:leader="none" w:pos="681"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assets owned by any grantor on the date hereof or hereafter acquired and any proceeds thereof (or related assets) that are subject to a Lien securing Indebtedness incurred in connection with a Finance Lease, purchase money Indebtedness or other Indebtedness incurred to finance the acquisition of such assets permitted to be incurred pursuant to this Indenture to the extent and for so long as the contract or other agreement in which such Lien is granted (or the documentation providing for applicable purchase money Indebtedness) validly prohibits the creation of any other Lien on such assets and proceeds;</w:t>
      </w:r>
    </w:p>
    <w:p>
      <w:pPr>
        <w:spacing w:after="0" w:line="75"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81"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in circumstances where the cost, burden or consequences (including adverse tax consequences) of obtaining or perfecting a security interest in such property or assets (including on account of any need to obtain consents or approvals, and the effect of the ability of the relevant grantor to conduct its operations and business in the ordinary course), as determined in good faith by the Issuer, are excessive in relation to the practical benefit afforded to the Holders of the Notes; provided that, if any Credit Agreement is then outstanding, the same determination is made in respect of the Lien on such assets securing any Credit Agreement;</w:t>
      </w:r>
    </w:p>
    <w:p>
      <w:pPr>
        <w:spacing w:after="0" w:line="75"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681"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constituting or that is the proceeds of aircraft, aircraft engines, satellites, ships or railroad rolling stock (unless any such property or assets are pledged as collateral in respect of the Credit Agreements);</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real property or real property interest that is not a Material Real Estate Asset;</w:t>
      </w:r>
    </w:p>
    <w:p>
      <w:pPr>
        <w:spacing w:after="0" w:line="15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04"/>
          </w:cols>
          <w:pgMar w:left="876" w:top="267" w:right="519" w:bottom="1440" w:gutter="0" w:footer="0" w:header="0"/>
        </w:sectPr>
      </w:pPr>
    </w:p>
    <w:bookmarkStart w:id="607" w:name="page608"/>
    <w:bookmarkEnd w:id="607"/>
    <w:p>
      <w:pPr>
        <w:jc w:val="both"/>
        <w:ind w:left="440" w:right="60" w:firstLine="419"/>
        <w:spacing w:after="0" w:line="266" w:lineRule="auto"/>
        <w:tabs>
          <w:tab w:leader="none" w:pos="1201"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governmental or regulatory license or state, provincial, municipal or local franchise, charter, consent, permit or authorization to the extent the granting of a security interest therein is prohibited or restricted thereby or by applicable Requirements of Law (unless any such license, franchise, charter, consent, permit or authorization is pledged as collateral in respect of the Credit Agreements);</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20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asset or property (including Capital Stock) the grant or perfection of a security interest in which would result in adverse tax or regulatory consequences to the Issuer or any of its subsidiaries as determined by the Issuer in good faith;</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Rule 3-16 Capital Stock;</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20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Receivables Facility Assets and related assets (or interests therein) sold or otherwise transferred to a Receivables Entity or otherwise pledged, transferred or sold, in each case in connection with a receivables facility, factoring transaction or any similar arrangement permitted hereunder; and</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208"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any Credit Agreement is outstanding, any asset that is not pledged to secure obligations arising in respect of such Credit Agreement (whether pursuant to the terms of such Credit Agreement (and any related documents) or as a result of any determination made thereunder, or by amendment, waiver or otherwise).</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Security</w:t>
      </w:r>
      <w:r>
        <w:rPr>
          <w:rFonts w:ascii="Times New Roman" w:cs="Times New Roman" w:eastAsia="Times New Roman" w:hAnsi="Times New Roman"/>
          <w:sz w:val="18"/>
          <w:szCs w:val="18"/>
          <w:color w:val="auto"/>
        </w:rPr>
        <w:t xml:space="preserve">” shall mean (i) any Capital Stock or other security representing voting Capital Stock in any Specified Foreign Subsidiary or Foreign Subsidiary Holding Company, other than 65% of the issued and outstanding voting Capital Stock of such Specified Foreign Subsidiary or Foreign Subsidiary Holding Company (as applicable), (ii) any interest in a joint venture or non-wholly owned Subsidiary to the extent and for so long as the attachment of the security interest created hereby therein would violate any joint venture agreement, Organizational Document, shareholders agreement or equivalent agreement relating to such joint venture or non-wholly owned Subsidiary, (iii) any Capital Stock the pledge of which in support of the Obligations under the Notes is otherwise prohibited by applicable law, (iv) any Capital Stock in the entities solely to the extent that the transfer or assignment of such Capital Stock is prohibited by contractual requirements applicable to the grantor holding such Capital Stock, including the requirements of the organizational documents of the issuer of such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Capital Stock in any such entity shall no longer constitute an Excluded Security for purposes of this Indenture if at any time the prohibitions on transfer or assignment of such Capital Stock are no longer applicable to such Person, (v) the Capital Stock of any Captive Insurance Subsidiary, Unrestricted Subsidiary, broker-dealer subsidiary, not-for-profit subsidiary, special purpose entity used for any permitted securitization facility or Receivables Entity, (vi) any margin stock, (vii) any Capital Stock issued by any Foreign Subsidiary, and (viii) any Capital Stock that would otherwise be an Excluded Asset.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20" w:hanging="261"/>
        <w:spacing w:after="0"/>
        <w:tabs>
          <w:tab w:leader="none" w:pos="1120"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Wholly-Owned Subsidiary;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69" w:right="479" w:bottom="1440" w:gutter="0" w:footer="0" w:header="0"/>
        </w:sectPr>
      </w:pPr>
    </w:p>
    <w:bookmarkStart w:id="608" w:name="page609"/>
    <w:bookmarkEnd w:id="608"/>
    <w:p>
      <w:pPr>
        <w:ind w:right="200" w:firstLine="419"/>
        <w:spacing w:after="0" w:line="255" w:lineRule="auto"/>
        <w:tabs>
          <w:tab w:leader="none" w:pos="67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Restricted Subsidiary that is prohibited or restricted by law, rule or regulation or contractual obligation existing on the Escrow Release Date or at the time such Restricted Subsidiary becomes a Subsidiary (in the case of contractual obligations not existing on the Escrow Release Date, pursuant to a contractual obligation not entered into expressly in contemplation of such Restricted Subsidiary becoming an Excluded Subsidiary) from providing a Note Guarantee or that would require a governmental (including regulatory) or third party consent, approval, license or authorization to provide a Note Guarantee (including under any financial assistance, corporate benefit, thin capitalization, capital maintenance, liquidity maintenance or similar legal principles) unless such consent has been received, it being understood that the Issuer and its subsidiaries shall have no obligation to seek or obtain any such consent, approval, license or authorization;</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not-for-profit subsidiary;</w:t>
      </w:r>
    </w:p>
    <w:p>
      <w:pPr>
        <w:spacing w:after="0" w:line="117" w:lineRule="exact"/>
        <w:rPr>
          <w:rFonts w:ascii="Times New Roman" w:cs="Times New Roman" w:eastAsia="Times New Roman" w:hAnsi="Times New Roman"/>
          <w:sz w:val="18"/>
          <w:szCs w:val="18"/>
          <w:color w:val="auto"/>
        </w:rPr>
      </w:pPr>
    </w:p>
    <w:p>
      <w:pPr>
        <w:ind w:right="700" w:firstLine="419"/>
        <w:spacing w:after="0" w:line="282" w:lineRule="auto"/>
        <w:tabs>
          <w:tab w:leader="none" w:pos="67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 subsidiary that is a broker-dealer, captive risk retention subsidiary or subsidiary that is a trust company;</w:t>
      </w:r>
    </w:p>
    <w:p>
      <w:pPr>
        <w:spacing w:after="0" w:line="53" w:lineRule="exact"/>
        <w:rPr>
          <w:rFonts w:ascii="Times New Roman" w:cs="Times New Roman" w:eastAsia="Times New Roman" w:hAnsi="Times New Roman"/>
          <w:sz w:val="18"/>
          <w:szCs w:val="18"/>
          <w:color w:val="auto"/>
        </w:rPr>
      </w:pPr>
    </w:p>
    <w:p>
      <w:pPr>
        <w:ind w:right="220" w:firstLine="419"/>
        <w:spacing w:after="0" w:line="282" w:lineRule="auto"/>
        <w:tabs>
          <w:tab w:leader="none" w:pos="67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entity (including a special purpose entity used for any permitted securitization or receivables facility or financing) and any Receivables Entity;</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Specified Foreign Subsidiary;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Foreign Subsidiary Holding Company and (ii) any Subsidiary that is a subsidiary of any Specified Foreign Subsidiary;</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117" w:lineRule="exact"/>
        <w:rPr>
          <w:rFonts w:ascii="Times New Roman" w:cs="Times New Roman" w:eastAsia="Times New Roman" w:hAnsi="Times New Roman"/>
          <w:sz w:val="18"/>
          <w:szCs w:val="18"/>
          <w:color w:val="auto"/>
        </w:rPr>
      </w:pPr>
    </w:p>
    <w:p>
      <w:pPr>
        <w:ind w:firstLine="419"/>
        <w:spacing w:after="0" w:line="289" w:lineRule="auto"/>
        <w:tabs>
          <w:tab w:leader="none" w:pos="761" w:val="left"/>
        </w:tabs>
        <w:numPr>
          <w:ilvl w:val="0"/>
          <w:numId w:val="8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subsidiary acquired pursuant to an acquisition or other Investment not prohibited by this Indenture that has assumed, or is otherwise an obligor under, Indebtedness not incurred in contemplation of such acquisition or other Investment and any Restricted Subsidiary thereof that guarantees such Indebtedness, in each case to the extent the terms of such Indebtedness prohibit such subsidiary from becoming a Guarantor;</w:t>
      </w:r>
    </w:p>
    <w:p>
      <w:pPr>
        <w:spacing w:after="0" w:line="49" w:lineRule="exact"/>
        <w:rPr>
          <w:rFonts w:ascii="Times New Roman" w:cs="Times New Roman" w:eastAsia="Times New Roman" w:hAnsi="Times New Roman"/>
          <w:sz w:val="17"/>
          <w:szCs w:val="17"/>
          <w:color w:val="auto"/>
        </w:rPr>
      </w:pPr>
    </w:p>
    <w:p>
      <w:pPr>
        <w:ind w:right="480" w:firstLine="419"/>
        <w:spacing w:after="0" w:line="282" w:lineRule="auto"/>
        <w:tabs>
          <w:tab w:leader="none" w:pos="76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if the provision of a Note Guarantee could reasonably be expected to result in adverse tax or regulatory consequences to the Issuer or any Guarantor or any of their subsidiaries (as determined by the Issuer in good faith);</w:t>
      </w:r>
    </w:p>
    <w:p>
      <w:pPr>
        <w:spacing w:after="0" w:line="53" w:lineRule="exact"/>
        <w:rPr>
          <w:rFonts w:ascii="Times New Roman" w:cs="Times New Roman" w:eastAsia="Times New Roman" w:hAnsi="Times New Roman"/>
          <w:sz w:val="18"/>
          <w:szCs w:val="18"/>
          <w:color w:val="auto"/>
        </w:rPr>
      </w:pPr>
    </w:p>
    <w:p>
      <w:pPr>
        <w:ind w:right="180" w:firstLine="419"/>
        <w:spacing w:after="0" w:line="282" w:lineRule="auto"/>
        <w:tabs>
          <w:tab w:leader="none" w:pos="76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Restricted Subsidiary with respect to which, in the good faith judgment of the Issuer, the burden or cost of providing a Note Guarantee outweighs the benefits afforded thereby;</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768" w:val="left"/>
        </w:tabs>
        <w:numPr>
          <w:ilvl w:val="0"/>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the capital requirements of which are subject to regulation by a Governmental Authority in respect of which the guaranteeing by such Subsidiary of the Obligations would, as determined by the Issuer in good faith, result in adverse regulatory consequences to such Subsidiary or impair the conduct of the business of such Subsidiary and any Subsidiary of such Subsidiary; and</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0"/>
          </w:cols>
          <w:pgMar w:left="880" w:top="271" w:right="459" w:bottom="1440" w:gutter="0" w:footer="0" w:header="0"/>
        </w:sectPr>
      </w:pPr>
    </w:p>
    <w:bookmarkStart w:id="609" w:name="page610"/>
    <w:bookmarkEnd w:id="609"/>
    <w:p>
      <w:pPr>
        <w:ind w:left="440" w:right="700" w:firstLine="419"/>
        <w:spacing w:after="0" w:line="282" w:lineRule="auto"/>
        <w:tabs>
          <w:tab w:leader="none" w:pos="1208"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 long as any Credit Agreement is outstanding, any other Restricted Subsidiary that constitutes an “Excluded Subsidiary” (or equivalent term) under any such Credit Agreement.</w:t>
      </w:r>
    </w:p>
    <w:p>
      <w:pPr>
        <w:spacing w:after="0" w:line="158"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the price that could be negotiated in an arm’s-length transaction, for cash, between a willing seller and a willing and able buyer, neither of whom is under undue pressure or compulsion to complete the transaction, determined in good faith by the Issuer.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Final Maturity Date</w:t>
      </w:r>
      <w:r>
        <w:rPr>
          <w:rFonts w:ascii="Times New Roman" w:cs="Times New Roman" w:eastAsia="Times New Roman" w:hAnsi="Times New Roman"/>
          <w:sz w:val="18"/>
          <w:szCs w:val="18"/>
          <w:color w:val="auto"/>
        </w:rPr>
        <w:t>” means January 30, 2031.</w:t>
      </w:r>
    </w:p>
    <w:p>
      <w:pPr>
        <w:spacing w:after="0" w:line="225" w:lineRule="exact"/>
        <w:rPr>
          <w:sz w:val="20"/>
          <w:szCs w:val="20"/>
          <w:color w:val="auto"/>
        </w:rPr>
      </w:pPr>
    </w:p>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Finance Lease</w:t>
      </w:r>
      <w:r>
        <w:rPr>
          <w:rFonts w:ascii="Times New Roman" w:cs="Times New Roman" w:eastAsia="Times New Roman" w:hAnsi="Times New Roman"/>
          <w:sz w:val="18"/>
          <w:szCs w:val="18"/>
          <w:color w:val="auto"/>
        </w:rPr>
        <w:t xml:space="preserve">” means, as applied to any Person, any lease of any property (whether real, personal or mixed) by such Person as lessee that, in conformity with GAAP (but subject to </w:t>
      </w:r>
      <w:r>
        <w:rPr>
          <w:rFonts w:ascii="Times New Roman" w:cs="Times New Roman" w:eastAsia="Times New Roman" w:hAnsi="Times New Roman"/>
          <w:sz w:val="18"/>
          <w:szCs w:val="18"/>
          <w:u w:val="single" w:color="auto"/>
          <w:color w:val="auto"/>
        </w:rPr>
        <w:t>Section 11.15(d)</w:t>
      </w:r>
      <w:r>
        <w:rPr>
          <w:rFonts w:ascii="Times New Roman" w:cs="Times New Roman" w:eastAsia="Times New Roman" w:hAnsi="Times New Roman"/>
          <w:sz w:val="18"/>
          <w:szCs w:val="18"/>
          <w:color w:val="auto"/>
        </w:rPr>
        <w:t>), is or should be accounted for as a finance lease on the balance sheet of that Person; provided, that for the avoidance of doubt, the amount of obligations attributable to any Finance Lease shall be the amount thereof accounted for as a liability on such balance sheet (excluding the footnotes thereto) in accordance with GAAP; provided, further, that the amount of obligations attributable to any Finance Lease shall exclude any capitalized operating lease liabilities resulting from the adoption of ASC 842, Leases.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Notes Secured Parties</w:t>
      </w:r>
      <w:r>
        <w:rPr>
          <w:rFonts w:ascii="Times New Roman" w:cs="Times New Roman" w:eastAsia="Times New Roman" w:hAnsi="Times New Roman"/>
          <w:sz w:val="18"/>
          <w:szCs w:val="18"/>
          <w:color w:val="auto"/>
        </w:rPr>
        <w:t>” means the Trustee, the Notes Collateral Agent and the Holders of the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Obligations</w:t>
      </w:r>
      <w:r>
        <w:rPr>
          <w:rFonts w:ascii="Times New Roman" w:cs="Times New Roman" w:eastAsia="Times New Roman" w:hAnsi="Times New Roman"/>
          <w:sz w:val="18"/>
          <w:szCs w:val="18"/>
          <w:color w:val="auto"/>
        </w:rPr>
        <w:t>” shall have the meaning given to such term in the Pari Passu Intercreditor Agreement.</w:t>
      </w:r>
    </w:p>
    <w:p>
      <w:pPr>
        <w:spacing w:after="0" w:line="22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w:t>
      </w:r>
      <w:r>
        <w:rPr>
          <w:rFonts w:ascii="Times New Roman" w:cs="Times New Roman" w:eastAsia="Times New Roman" w:hAnsi="Times New Roman"/>
          <w:sz w:val="18"/>
          <w:szCs w:val="18"/>
          <w:color w:val="auto"/>
        </w:rPr>
        <w:t>” means, with respect to any Lien purported to be created in any Collateral pursuant to any Collateral Document, that, subject to any Acceptable Intercreditor Agreement, such Lien is senior in priority to any other Lien to which such Collateral is subject, other than any Permitted Lien.</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Notes Obligations</w:t>
      </w:r>
      <w:r>
        <w:rPr>
          <w:rFonts w:ascii="Times New Roman" w:cs="Times New Roman" w:eastAsia="Times New Roman" w:hAnsi="Times New Roman"/>
          <w:sz w:val="18"/>
          <w:szCs w:val="18"/>
          <w:color w:val="auto"/>
        </w:rPr>
        <w:t>” means all Obligations of the Issuer and the Guarantors under or in respect of the Notes, this Indenture and the Collateral Documents.</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Priority Obligations</w:t>
      </w:r>
      <w:r>
        <w:rPr>
          <w:rFonts w:ascii="Times New Roman" w:cs="Times New Roman" w:eastAsia="Times New Roman" w:hAnsi="Times New Roman"/>
          <w:sz w:val="18"/>
          <w:szCs w:val="18"/>
          <w:color w:val="auto"/>
        </w:rPr>
        <w:t>” means any Obligations secured by first priority Liens on the Collateral that are permitted to be incurred and secured by such Lien pursuant to this Indenture.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Restricted Subsidiary that is not a U.S. Subsidiary.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Subsidiary Holding Company</w:t>
      </w:r>
      <w:r>
        <w:rPr>
          <w:rFonts w:ascii="Times New Roman" w:cs="Times New Roman" w:eastAsia="Times New Roman" w:hAnsi="Times New Roman"/>
          <w:sz w:val="18"/>
          <w:szCs w:val="18"/>
          <w:color w:val="auto"/>
        </w:rPr>
        <w:t>” means any Subsidiary that owns (directly or indirectly) no material assets other than the Capital Stock and/or Indebtedness of one or more Specified Foreign Subsidiaries or other Foreign Subsidiary Holding Companies.</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40" w:top="270" w:right="499" w:bottom="1440" w:gutter="0" w:footer="0" w:header="0"/>
        </w:sectPr>
      </w:pPr>
    </w:p>
    <w:bookmarkStart w:id="610" w:name="page611"/>
    <w:bookmarkEnd w:id="610"/>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Form 10</w:t>
      </w:r>
      <w:r>
        <w:rPr>
          <w:rFonts w:ascii="Times New Roman" w:cs="Times New Roman" w:eastAsia="Times New Roman" w:hAnsi="Times New Roman"/>
          <w:sz w:val="18"/>
          <w:szCs w:val="18"/>
          <w:color w:val="auto"/>
        </w:rPr>
        <w:t>” means that certain registration statement on Form 10 under the Exchange Act originally filed by the Issuer with the SEC on September 18, 2025, together with all exhibits (including all schedules and appendices thereto) and the related information statement (each as amended, restated, amended and restated, supplemented or otherwise modified from time to time; provided that no such amendment, restatement, amendment and restatement, supplement or other modification has the effect of modifying the terms of the Separation Agreements in a manner materially adverse to the interests of the Holders, as determined by the Issuer in good faith).</w:t>
      </w:r>
    </w:p>
    <w:p>
      <w:pPr>
        <w:spacing w:after="0" w:line="179"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At any time after the Escrow Release Date, the Issuer may elect to change all or any terms under GAAP to be GAAP in effect as of a certain date.</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 Legend</w:t>
      </w:r>
      <w:r>
        <w:rPr>
          <w:rFonts w:ascii="Times New Roman" w:cs="Times New Roman" w:eastAsia="Times New Roman" w:hAnsi="Times New Roman"/>
          <w:sz w:val="18"/>
          <w:szCs w:val="18"/>
          <w:color w:val="auto"/>
        </w:rPr>
        <w:t xml:space="preserve">” means the legend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hereof, as applicable, which is required to be placed on all Global Notes issued under this Indenture.</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Notes</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deposited with or on behalf of, and registered in the name of, the Depositary or its nominee.</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 Securities</w:t>
      </w:r>
      <w:r>
        <w:rPr>
          <w:rFonts w:ascii="Times New Roman" w:cs="Times New Roman" w:eastAsia="Times New Roman" w:hAnsi="Times New Roman"/>
          <w:sz w:val="18"/>
          <w:szCs w:val="18"/>
          <w:color w:val="auto"/>
        </w:rPr>
        <w:t>” means, as applicable, (i) direct non-callable obligations of, or guaranteed by, the United States of America for the timely payment of which guarantee or obligations the full faith and credit of the U.S. is pledged and (ii) direct non-callable obligations of, or guaranteed by, a member state of the European Union for the timely payment of which guarantee or obligations the full faith and credit of the government of such member state is pledged.</w:t>
      </w:r>
    </w:p>
    <w:p>
      <w:pPr>
        <w:spacing w:after="0" w:line="176" w:lineRule="exact"/>
        <w:rPr>
          <w:sz w:val="20"/>
          <w:szCs w:val="20"/>
          <w:color w:val="auto"/>
        </w:rPr>
      </w:pPr>
    </w:p>
    <w:p>
      <w:pPr>
        <w:jc w:val="both"/>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federal, state, municipal, national or other government, governmental department, commission, board, bureau, court, agency or instrumentality or political subdivision thereof or any entity or officer exercising executive, legislative, judicial, regulatory or administrative functions of or pertaining to any government or any court, in each case whether associated with the U.S., a foreign government or any political subdivision of either thereof.</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Grantor</w:t>
      </w:r>
      <w:r>
        <w:rPr>
          <w:rFonts w:ascii="Times New Roman" w:cs="Times New Roman" w:eastAsia="Times New Roman" w:hAnsi="Times New Roman"/>
          <w:sz w:val="18"/>
          <w:szCs w:val="18"/>
          <w:color w:val="auto"/>
        </w:rPr>
        <w:t>” has the meaning given to such term (or any equivalent term, such as pledgor or mortgagor) in the applicable Collateral Documents.</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of or by any Person means any obligation, contingent or otherwise, of the guarantor guaranteeing or having the economic effect of guaranteeing any Indebtedness or other monetary obligation of any other Person (the “Primary Obligor”) in any manner and including any obligation of the guarantor:</w:t>
      </w:r>
    </w:p>
    <w:p>
      <w:pPr>
        <w:spacing w:after="0" w:line="67" w:lineRule="exact"/>
        <w:rPr>
          <w:sz w:val="20"/>
          <w:szCs w:val="20"/>
          <w:color w:val="auto"/>
        </w:rPr>
      </w:pPr>
    </w:p>
    <w:p>
      <w:pPr>
        <w:ind w:left="440" w:right="300" w:firstLine="419"/>
        <w:spacing w:after="0" w:line="282" w:lineRule="auto"/>
        <w:tabs>
          <w:tab w:leader="none" w:pos="1118"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or other monetary obligation or to purchase (or to advance or supply funds for the purchase of) any security for the payment thereof;</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60"/>
          </w:cols>
          <w:pgMar w:left="440" w:top="267" w:right="499" w:bottom="1440" w:gutter="0" w:footer="0" w:header="0"/>
        </w:sectPr>
      </w:pPr>
    </w:p>
    <w:bookmarkStart w:id="611" w:name="page612"/>
    <w:bookmarkEnd w:id="611"/>
    <w:p>
      <w:pPr>
        <w:ind w:left="440" w:right="580" w:firstLine="419"/>
        <w:spacing w:after="0" w:line="282" w:lineRule="auto"/>
        <w:tabs>
          <w:tab w:leader="none" w:pos="1118"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purchase or lease property, securities or services for the purpose of assuring the owner of such Indebtedness or other monetary obligation of the payment thereof;</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working capital, equity capital or any other financial statement condition or liquidity of the Primary Obligor so as to enable the Primary Obligor to pay such Indebtedness or other monetary obligation;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an account party in respect of any letter of credit or letter of guarantee issued to support such Indebtedness or monetary obligation;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for the purpose of assuring in any other manner the obligee in respect of such Indebtedness or other monetary obligation of the payment or performance thereof or to protect such obligee against loss in respect thereof (in whole or in part); or</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by any Lien on any assets of such guarantor securing any Indebtedness or other monetary obligation of any other Person, whether or not such Indebtedness or monetary other obligation is assumed by such guarantor (or any right, contingent or otherwise, of any Holder of such Indebtedness or other monetary obligation to obtain any such Lien);</w:t>
      </w:r>
    </w:p>
    <w:p>
      <w:pPr>
        <w:spacing w:after="0" w:line="17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provided that the term “Guarantee” shall not include endorsements for collection or deposit in the ordinary course of business, or customary and reasonable indemnity obligations in effect on the Escrow Release Date or entered into in connection with any acquisition, disposition or other transaction permitted under this Indenture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w:t>
      </w:r>
      <w:r>
        <w:rPr>
          <w:rFonts w:ascii="Times New Roman" w:cs="Times New Roman" w:eastAsia="Times New Roman" w:hAnsi="Times New Roman"/>
          <w:sz w:val="18"/>
          <w:szCs w:val="18"/>
          <w:color w:val="auto"/>
        </w:rPr>
        <w:t>” means each Subsidiary of the Issuer that becomes a guarantor of the Notes pursuant to the terms of this Indenture.</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Agreement</w:t>
      </w:r>
      <w:r>
        <w:rPr>
          <w:rFonts w:ascii="Times New Roman" w:cs="Times New Roman" w:eastAsia="Times New Roman" w:hAnsi="Times New Roman"/>
          <w:sz w:val="18"/>
          <w:szCs w:val="18"/>
          <w:color w:val="auto"/>
        </w:rPr>
        <w:t>” means any agreement with respect to any Derivative Transaction between the Issuer, any Guarantor or any Restricted Subsidiary and any other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Noteholder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xml:space="preserve">” means, as of any date, any Restricted Subsidiary of the Issuer (a) that does not have assets in excess of 5.0% of Consolidated Total Assets of the Issuer and its Restricted Subsidiaries as of the last day of the most recent fiscal quarter for which financial statements have been delivered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and (b) that does not contribute LTM Consolidated Adjusted EBITDA in excess of 5.0% of the Consolidated Adjusted EBITDA of the Issuer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Consolidated Total Assets and Consolidated Adjusted EBITDA (as so determined) of all Immaterial Subsidiaries shall not exceed 10.0% of Consolidated Total Assets as of the last day of the most recent fiscal quarter for which financial statements have been delivered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hereof and 10.0% of</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80"/>
          </w:cols>
          <w:pgMar w:left="440" w:top="270" w:right="479" w:bottom="1440" w:gutter="0" w:footer="0" w:header="0"/>
        </w:sectPr>
      </w:pPr>
    </w:p>
    <w:bookmarkStart w:id="612" w:name="page613"/>
    <w:bookmarkEnd w:id="612"/>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LTM Consolidated Adjusted EBITDA. For the avoidance of doubt, the Issuer may elect for a Restricted Subsidiary that is an Immaterial Subsidiary to provide a Note Guarantee, but not pledge any Collateral that would otherwise be required, in which case such Immaterial Subsidiary shall continue to be counted as such for purposes of this definition.</w:t>
      </w:r>
    </w:p>
    <w:p>
      <w:pPr>
        <w:spacing w:after="0" w:line="172"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estates of such individual and such other individuals above and any trust, partnership or other bona fide estate-planning vehicle the only beneficiaries of which are any of the foregoing individuals or any private foundation, trust or fund that is controlled by any of the foregoing individuals or any donor-advised foundation, trust or fund of which any such individual is the donor.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as applied to any Person means, without duplication:</w:t>
      </w:r>
    </w:p>
    <w:p>
      <w:pPr>
        <w:spacing w:after="0" w:line="121" w:lineRule="exact"/>
        <w:rPr>
          <w:sz w:val="20"/>
          <w:szCs w:val="20"/>
          <w:color w:val="auto"/>
        </w:rPr>
      </w:pPr>
    </w:p>
    <w:p>
      <w:pPr>
        <w:ind w:left="1120" w:hanging="261"/>
        <w:spacing w:after="0"/>
        <w:tabs>
          <w:tab w:leader="none" w:pos="1120"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such Person for borrowed money;</w:t>
      </w:r>
    </w:p>
    <w:p>
      <w:pPr>
        <w:spacing w:after="0" w:line="117"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18"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portion of obligations with respect to Finance Leases of such Person to the extent recorded as a liability on a balance sheet (excluding the footnotes thereto) of such Person prepared in accordance with GAAP;</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evidenced by bonds, debentures, notes or similar instruments to the extent the same would appear as a liability on a balance sheet (excluding the footnotes thereto) of such Person prepared in accordance with GAAP;</w:t>
      </w:r>
    </w:p>
    <w:p>
      <w:pPr>
        <w:spacing w:after="0" w:line="53" w:lineRule="exact"/>
        <w:rPr>
          <w:rFonts w:ascii="Times New Roman" w:cs="Times New Roman" w:eastAsia="Times New Roman" w:hAnsi="Times New Roman"/>
          <w:sz w:val="18"/>
          <w:szCs w:val="18"/>
          <w:color w:val="auto"/>
        </w:rPr>
      </w:pPr>
    </w:p>
    <w:p>
      <w:pPr>
        <w:ind w:left="440" w:firstLine="419"/>
        <w:spacing w:after="0" w:line="268" w:lineRule="auto"/>
        <w:tabs>
          <w:tab w:leader="none" w:pos="1118" w:val="left"/>
        </w:tabs>
        <w:numPr>
          <w:ilvl w:val="1"/>
          <w:numId w:val="8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obligation of such Person owed for all or any part of the deferred purchase price of property or services (excluding (w) any earn out obligation, purchase price adjustment or other similar obligation until such obligation (A) becomes a liability on the balance sheet of such Person (excluding the footnotes thereto) in accordance with GAAP and (B) has not been paid within 60 days after becoming due and payable following expiration of any dispute resolution mechanics set forth in the applicable agreement governing the applicable transaction, (x) any such obligations incurred under ERISA or under any employee consulting agreements, (y) accrued expenses, trade accounts payable, accruals for payroll and other liabilities accrued in the ordinary course of business (including on an intercompany basis) and (z) liabilities associated with customer prepayments and deposits), which purchase price is (i) due more than twelve months from the date of incurrence of the obligation in respect thereof or</w:t>
      </w:r>
    </w:p>
    <w:p>
      <w:pPr>
        <w:spacing w:after="0" w:line="2" w:lineRule="exact"/>
        <w:rPr>
          <w:rFonts w:ascii="Times New Roman" w:cs="Times New Roman" w:eastAsia="Times New Roman" w:hAnsi="Times New Roman"/>
          <w:sz w:val="17"/>
          <w:szCs w:val="17"/>
          <w:color w:val="auto"/>
        </w:rPr>
      </w:pPr>
    </w:p>
    <w:p>
      <w:pPr>
        <w:ind w:left="440" w:right="180" w:hanging="4"/>
        <w:spacing w:after="0" w:line="260" w:lineRule="auto"/>
        <w:tabs>
          <w:tab w:leader="none" w:pos="705"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evidenced by a note or similar written instrument and, in each case, to the extent the same would appear as a liability on the balance sheet of such Person (excluding the footnotes thereto) prepared in accordance with GAAP;</w:t>
      </w:r>
    </w:p>
    <w:p>
      <w:pPr>
        <w:spacing w:after="0" w:line="73" w:lineRule="exact"/>
        <w:rPr>
          <w:rFonts w:ascii="Times New Roman" w:cs="Times New Roman" w:eastAsia="Times New Roman" w:hAnsi="Times New Roman"/>
          <w:sz w:val="18"/>
          <w:szCs w:val="18"/>
          <w:color w:val="auto"/>
        </w:rPr>
      </w:pPr>
    </w:p>
    <w:p>
      <w:pPr>
        <w:ind w:left="440" w:right="160" w:firstLine="419"/>
        <w:spacing w:after="0" w:line="312" w:lineRule="auto"/>
        <w:tabs>
          <w:tab w:leader="none" w:pos="1118" w:val="left"/>
        </w:tabs>
        <w:numPr>
          <w:ilvl w:val="1"/>
          <w:numId w:val="8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Indebtedness (excluding prepaid interest thereon) of others secured by any Lien on any property or asset owned or held by such Person regardless of whether the Indebtedness secured thereby has been assumed by such Person or is non-recourse to the credit of such Person;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80"/>
          </w:cols>
          <w:pgMar w:left="440" w:top="271" w:right="479" w:bottom="1440" w:gutter="0" w:footer="0" w:header="0"/>
        </w:sectPr>
      </w:pPr>
    </w:p>
    <w:bookmarkStart w:id="613" w:name="page614"/>
    <w:bookmarkEnd w:id="613"/>
    <w:p>
      <w:pPr>
        <w:ind w:left="440" w:right="880" w:firstLine="419"/>
        <w:spacing w:after="0" w:line="282" w:lineRule="auto"/>
        <w:tabs>
          <w:tab w:leader="none" w:pos="111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face amount of any letter of credit issued for the account of such Person or as to which such Person is otherwise liable for reimbursement of drawings;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Guarantee by such Person of the Indebtedness of another;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any Disqualified Stock; and</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net obligations of such Person in respect of any Derivative Transaction, including any Hedge Agreement, whether or not entered into for hedging or speculative purposes;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 no event shall obligations under or in respect of any Derivative Transaction or Non-Finance Lease Obligation be deemed “Indebtedness” for any calculation of the Total Net Leverage Ratio, the Secured Net Leverage Ratio, the Consolidated Coverage Ratio or any other financial ratio under this Indenture, (ii) the amount of Indebtedness of any Person for purposes of clause (5) shall be deemed to be equal to the lesser of (A) the aggregate unpaid amount of such Indebtedness (or such lower amount of maximum liability as is expressly provided for under the documentation pursuant to which the respective Lien is granted) and (B) the fair market value of the property encumbered thereby as determined by such Person in good faith), (iii) the accrual of interest or dividends, the accretion of accreted value, the accretion or amortization of original issue discount and the payment of interest or dividends in the form of additional Indebtedness of the same class shall not be deemed “Indebtedness,” (iv) obligations of such Person (other than indebtedness of such Person for borrowed money) arising from Separation Agreements shall not be deemed “Indebtedness” and (v) for the avoidance of doubt, no Permitted Bond Hedge Transaction or Permitted Warrant Transaction shall constitute Indebtedness.</w:t>
      </w:r>
    </w:p>
    <w:p>
      <w:pPr>
        <w:spacing w:after="0" w:line="19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For all purposes hereof, the Indebtedness of any Person shall include the Indebtedness of any partnership or any Joint Venture (other than any Joint Venture that is itself a corporation or limited liability company) in which such Person is a general partner or a joint venturer to the extent such Person would be liable therefor under applicable Requirements of Law or any agreement or instrument by virtue of such Person’s ownership interest in such partnership or Joint Venture, except to the extent such Person’s liability for such Indebtedness is otherwise limited and only to the extent such Indebtedness would otherwise be included in the calculation of Consolidated Total Debt; provided that notwithstanding anything herein to the contrary, the term “Indebtedness” shall not include, and shall be calculated without giving effect to, (x) the effects of Accounting Standards Codification Topic 815 and related interpretations to the extent such effects would otherwise increase or decrease an amount of Indebtedness for any purpose hereunder as a result of accounting for any embedded derivatives created by the terms of such Indebtedness (it being understood that any such amounts that would have constituted Indebtedness hereunder but for the application of this proviso shall not be deemed an incurrence of Indebtedness hereunder) and (y) the effects of Statement of Financial Accounting Standards No. 133 and related interpretations to the extent such effects would otherwise increase or decrease an amount of Indebtedness for any purpose hereunder as a result of accounting for any embedded derivative created by the terms of such Indebtedness (it being understood that any such amounts that would have constituted Indebtedness hereunder but for the application of this proviso shall not be deemed to be an incurrence of Indebtedness hereunder).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614" w:name="page615"/>
    <w:bookmarkEnd w:id="61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Initial Notes</w:t>
      </w:r>
      <w:r>
        <w:rPr>
          <w:rFonts w:ascii="Times New Roman" w:cs="Times New Roman" w:eastAsia="Times New Roman" w:hAnsi="Times New Roman"/>
          <w:sz w:val="18"/>
          <w:szCs w:val="18"/>
          <w:color w:val="auto"/>
        </w:rPr>
        <w:t>” means the $1,000,000,000 aggregate principal amount of Notes issued on the date hereof.</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(a) any purchase or other acquisition by the Issuer or any of its Restricted Subsidiaries of any of the Securities of any other Person (other than the Issuer or any Guarantor), (b) the acquisition by purchase or otherwise (other than any purchase or other acquisition of inventory, materials, supplies and/or equipment in the ordinary course of business) of all or a substantial portion of the business, property or fixed assets of any other Person or any division, line of business or other business unit of any Person, and (c) any loan, advance (other than any advance to any current or former employee, officer, director, member of management, manager, consultant or independent contractor of the Issuer or any Restricted Subsidiary for moving, entertainment and travel expenses, drawing accounts and similar expenditures or payroll expenses or advances in the ordinary course of business (including in the form of recruiting costs)) or capital contribution by the Issuer or any of its Restricted Subsidiaries to any other Person. Subject to </w:t>
      </w:r>
      <w:r>
        <w:rPr>
          <w:rFonts w:ascii="Times New Roman" w:cs="Times New Roman" w:eastAsia="Times New Roman" w:hAnsi="Times New Roman"/>
          <w:sz w:val="18"/>
          <w:szCs w:val="18"/>
          <w:u w:val="single" w:color="auto"/>
          <w:color w:val="auto"/>
        </w:rPr>
        <w:t>Section 4.15</w:t>
      </w:r>
      <w:r>
        <w:rPr>
          <w:rFonts w:ascii="Times New Roman" w:cs="Times New Roman" w:eastAsia="Times New Roman" w:hAnsi="Times New Roman"/>
          <w:sz w:val="18"/>
          <w:szCs w:val="18"/>
          <w:color w:val="auto"/>
        </w:rPr>
        <w:t>, the amount of any Investment shall be the original cost of such Investment, plus the cost of any addition thereto that otherwise constitutes an Investment, without any adjustments for increases or decreases in value, or write-ups, write-downs or write-offs with respect thereto, but giving effect to any repayments of principal and interest in the case of any Investment in the form of a loan and any return or reduction of capital (including any distributions in connection with reduction or redemption of capital) or return on Investment in the case of any equity Investment (whether as a distribution, dividend, share buyback redemption, sale or other similar amounts or income).</w:t>
      </w:r>
    </w:p>
    <w:p>
      <w:pPr>
        <w:spacing w:after="0" w:line="194"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The term “Investments” shall not include (i) accounts receivable, credit card and debit card receivables, trade credit, advances to customers and distributors, commission, travel and similar advances to employees, directors, officers, managers, distributors and consultants in each case made in the ordinary course of business or (ii) endorsements of negotiable instruments and documents in the ordinary course of business.</w:t>
      </w:r>
    </w:p>
    <w:p>
      <w:pPr>
        <w:spacing w:after="0" w:line="172"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xml:space="preserve"> means a rating of Baa3 or better by Moody’s (or its equivalent under any successor rating categories of Moody’s), a rating of BBB- or better by S&amp;P (or its equivalent under any successor rating categories of S&amp;P), a rating of BBB- or better by Fitch (or its equivalent under any successor rating categories of Fitch) or the equivalent investment grade credit rating from any additional Rating Agency or Rating Agencies selected by the Issuer, as applicable.</w:t>
      </w:r>
    </w:p>
    <w:p>
      <w:pPr>
        <w:spacing w:after="0" w:line="176" w:lineRule="exact"/>
        <w:rPr>
          <w:sz w:val="20"/>
          <w:szCs w:val="20"/>
          <w:color w:val="auto"/>
        </w:rPr>
      </w:pPr>
    </w:p>
    <w:p>
      <w:pPr>
        <w:jc w:val="both"/>
        <w:ind w:left="4"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Rating Status</w:t>
      </w:r>
      <w:r>
        <w:rPr>
          <w:rFonts w:ascii="Times New Roman" w:cs="Times New Roman" w:eastAsia="Times New Roman" w:hAnsi="Times New Roman"/>
          <w:sz w:val="18"/>
          <w:szCs w:val="18"/>
          <w:color w:val="auto"/>
        </w:rPr>
        <w:t>” shall occur when the Notes receive an Investment Grade Rating from at least two of Moody’s, S&amp;P, Fitch, or the equivalent of such rating by such rating organization or, if no rating of S&amp;P, Moody’s or Fitch then exists, the equivalent of such rating by any other nationally recognized statistical rating organization.</w:t>
      </w:r>
    </w:p>
    <w:p>
      <w:pPr>
        <w:spacing w:after="0" w:line="171"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Investment Grade Securities</w:t>
      </w:r>
      <w:r>
        <w:rPr>
          <w:rFonts w:ascii="Times New Roman" w:cs="Times New Roman" w:eastAsia="Times New Roman" w:hAnsi="Times New Roman"/>
          <w:sz w:val="17"/>
          <w:szCs w:val="17"/>
          <w:color w:val="auto"/>
        </w:rPr>
        <w:t>” means (a) securities issued or directly and fully guaranteed or insured by the United States government or any agency or instrumentality thereof (other than Cash Equivalents), (b) debt securities or debt instruments with an investment grade rating, but excluding any debt securities or instruments constituting loans or advances among the Issuer and its Subsidiaries, (c) investments in any funds invested exclusively in investments of the type described in clauses (a) and (b) which fund may also hold immaterial amounts of cash pending investment or distribution and</w:t>
      </w:r>
    </w:p>
    <w:p>
      <w:pPr>
        <w:ind w:left="5424" w:right="2300" w:hanging="5424"/>
        <w:spacing w:after="0" w:line="433" w:lineRule="auto"/>
        <w:tabs>
          <w:tab w:leader="none" w:pos="261"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instruments in countries other than the United States customarily utilized for high quality investments. 35</w:t>
      </w:r>
    </w:p>
    <w:p>
      <w:pPr>
        <w:sectPr>
          <w:pgSz w:w="11900" w:h="16838" w:orient="portrait"/>
          <w:cols w:equalWidth="0" w:num="1">
            <w:col w:w="11004"/>
          </w:cols>
          <w:pgMar w:left="436" w:top="267" w:right="459" w:bottom="1440" w:gutter="0" w:footer="0" w:header="0"/>
        </w:sectPr>
      </w:pPr>
    </w:p>
    <w:bookmarkStart w:id="615" w:name="page616"/>
    <w:bookmarkEnd w:id="61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means all patents, trademarks, copyrights, and other intellectual property rights.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 Date</w:t>
      </w:r>
      <w:r>
        <w:rPr>
          <w:rFonts w:ascii="Times New Roman" w:cs="Times New Roman" w:eastAsia="Times New Roman" w:hAnsi="Times New Roman"/>
          <w:sz w:val="18"/>
          <w:szCs w:val="18"/>
          <w:color w:val="auto"/>
        </w:rPr>
        <w:t>” means October 29, 2025, the date of the initial issuance of the Notes under this Indenture.</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means the party named as such in the first paragraph of this Indenture until a successor replaces it pursuant to the applicable provisions of this Indenture, and thereafter “Issuer” shall mean such successor Issuer.</w:t>
      </w:r>
    </w:p>
    <w:p>
      <w:pPr>
        <w:spacing w:after="0" w:line="155" w:lineRule="exact"/>
        <w:rPr>
          <w:sz w:val="20"/>
          <w:szCs w:val="20"/>
          <w:color w:val="auto"/>
        </w:rPr>
      </w:pPr>
    </w:p>
    <w:p>
      <w:pPr>
        <w:ind w:right="6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Issuer Distribution</w:t>
      </w:r>
      <w:r>
        <w:rPr>
          <w:rFonts w:ascii="Times New Roman" w:cs="Times New Roman" w:eastAsia="Times New Roman" w:hAnsi="Times New Roman"/>
          <w:sz w:val="17"/>
          <w:szCs w:val="17"/>
          <w:color w:val="auto"/>
        </w:rPr>
        <w:t>” means the issuance by the Issuer to Comcast of the Issuer’s common stock for distribution to Comcast’s existing shareholders in contemplation of the Distribution, as may be further described or referred to in, or contemplated by, the Separation Agreements.</w:t>
      </w:r>
    </w:p>
    <w:p>
      <w:pPr>
        <w:spacing w:after="0" w:line="132"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with respect to any Person, any other Person in which such Person owns Capital Stock (other than any Wholly-Owned Subsidiary), and including, for the avoidance of doubt, any other Person in which such Person owns an interest in less than 100% of the Capital Stock thereof. Unless otherwise specified, “Joint Venture” shall refer to any Person in which the Issuer or any Restricted Subsidiary owns Capital Stock (other than any Wholly-Owned Subsidiary).</w:t>
      </w:r>
    </w:p>
    <w:p>
      <w:pPr>
        <w:spacing w:after="0" w:line="176"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Finance Lease having substantially the same economic effect as any of the foregoing), in each case, in the nature of security;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 Non-Finance Lease Obligation in and of itself be deemed to constitute a Lien.</w:t>
      </w:r>
    </w:p>
    <w:p>
      <w:pPr>
        <w:spacing w:after="0" w:line="179"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Derivative Instrument</w:t>
      </w:r>
      <w:r>
        <w:rPr>
          <w:rFonts w:ascii="Times New Roman" w:cs="Times New Roman" w:eastAsia="Times New Roman" w:hAnsi="Times New Roman"/>
          <w:sz w:val="18"/>
          <w:szCs w:val="18"/>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1" w:lineRule="exact"/>
        <w:rPr>
          <w:sz w:val="20"/>
          <w:szCs w:val="20"/>
          <w:color w:val="auto"/>
        </w:rPr>
      </w:pPr>
    </w:p>
    <w:p>
      <w:pPr>
        <w:jc w:val="both"/>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LTM Consolidated Adjusted EBITDA</w:t>
      </w:r>
      <w:r>
        <w:rPr>
          <w:rFonts w:ascii="Times New Roman" w:cs="Times New Roman" w:eastAsia="Times New Roman" w:hAnsi="Times New Roman"/>
          <w:sz w:val="18"/>
          <w:szCs w:val="18"/>
          <w:color w:val="auto"/>
        </w:rPr>
        <w:t xml:space="preserve">” means Consolidated Adjusted EBITDA of the Issuer measured for the most recent four consecutive full fiscal quarters ending on or prior to the date of determination for which consolidated financial statements required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have been delivered or, at the Issuer’s election, are internally available at such time, calculated on a Pro Forma Basis.</w:t>
      </w:r>
    </w:p>
    <w:p>
      <w:pPr>
        <w:spacing w:after="0" w:line="1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40"/>
          </w:cols>
          <w:pgMar w:left="440" w:top="266" w:right="519" w:bottom="1440" w:gutter="0" w:footer="0" w:header="0"/>
        </w:sectPr>
      </w:pPr>
    </w:p>
    <w:bookmarkStart w:id="616" w:name="page617"/>
    <w:bookmarkEnd w:id="616"/>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means, at any date of determination, the amount equal to (a) the total number of then issued and outstanding shares of common Capital Stock of the Issuer or any parent company multiplied by (b) the arithmetic mean of the closing prices per share of such common Capital Stock on the principal securities exchange on which such common Capital Stock is traded for the 30 consecutive trading days immediately preceding such date. For the avoidance of doubt, if any such common Capital Stock is not traded on a principal securities exchange but is convertible into common Capital Stock that is traded on a principal securities exchange, when calculating “Market Capitalization,” the total number of then issued and outstanding shares of common Capital Stock shall give effect to the conversion of such non-traded common Capital Stock into such traded common Capital Stock.</w:t>
      </w:r>
    </w:p>
    <w:p>
      <w:pPr>
        <w:spacing w:after="0" w:line="18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Debt Instrument</w:t>
      </w:r>
      <w:r>
        <w:rPr>
          <w:rFonts w:ascii="Times New Roman" w:cs="Times New Roman" w:eastAsia="Times New Roman" w:hAnsi="Times New Roman"/>
          <w:sz w:val="18"/>
          <w:szCs w:val="18"/>
          <w:color w:val="auto"/>
        </w:rPr>
        <w:t>” means any physical instrument evidencing any Indebtedness for borrowed money which is required to be pledged and delivered to the Notes Collateral Agent (or its bailee) pursuant to the Collateral Documents.</w:t>
      </w:r>
    </w:p>
    <w:p>
      <w:pPr>
        <w:spacing w:after="0" w:line="155"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any IP Rights (other than customer lists) owned by the Issuer and its Restricted Subsidiaries that is material to the business of the Issuer and its Restricted Subsidiaries, taken as a whole (as determined by the Issuer in good faith).</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Estate Asset</w:t>
      </w:r>
      <w:r>
        <w:rPr>
          <w:rFonts w:ascii="Times New Roman" w:cs="Times New Roman" w:eastAsia="Times New Roman" w:hAnsi="Times New Roman"/>
          <w:sz w:val="18"/>
          <w:szCs w:val="18"/>
          <w:color w:val="auto"/>
        </w:rPr>
        <w:t>” means any “fee-owned” Real Estate Asset located in the United States, and the improvements thereto, that (together with such improvements) has a fair market value (as determined by the Issuer in good faith after taking into account any liabilities with respect thereto that impact such fair market value or, if not then readily determinable, a book value) in excess of the greater of (i) $225.0 million and (ii) 10.0% of LTM Consolidated Adjusted EBITDA (a) as of the Escrow Release Date, with respect to any Real Estate Asset owned by the Issuer or any Guarantor as of the Escrow Release Date, or (b) as of the date of acquisition thereof, with respect to any Real Estate Asset acquired by the Issuer or any Guarantor after the Escrow Release Date.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Proceeds</w:t>
      </w:r>
      <w:r>
        <w:rPr>
          <w:rFonts w:ascii="Times New Roman" w:cs="Times New Roman" w:eastAsia="Times New Roman" w:hAnsi="Times New Roman"/>
          <w:sz w:val="18"/>
          <w:szCs w:val="18"/>
          <w:color w:val="auto"/>
        </w:rPr>
        <w:t>” means (i) with respect to any disposition (including any Asset Sale), the cash proceeds (including Cash Equivalents and cash proceeds subsequently received (as and when received) in respect of non-Cash consideration initially received), net of (with respect to the Issuer, any Guarantor or any of their respective subsidiaries, Affiliates or direct or indirect equity owners) (a) selling costs and out-of-pocket expenses (including broker’s fees or commissions, legal fees, accountants’ fees, investment banking fees, survey costs, title insurance premiums, and related search and recording charges, deed or mortgage recording Taxes, relocation expenses incurred as a result thereof, foreign currency hedging expenses, other customary expenses and brokerage, consultant and other customary fees actually incurred in connection therewith and transfer and similar Taxes and the Issuer’s good faith estimate of income Taxes paid or payable (including pursuant to Tax sharing arrangements or that are or would be imposed on intercompany distributions of such proceeds) in connection with such disposition and the Issuer’s good faith estimate of payments to be made in respect of incentive equity, synthetic equity or similar incentive awards in connection with such disposition), (b) amounts provided as a reserve in accordance with GAAP against any liabilities under any indemnification obligation or purchase price adjustment associated with such disposition (provided that to the extent and at the time any such amounts are released from such reserve, other than to make a payment for which such amount was reserved, such amounts shall constitute</w:t>
      </w:r>
    </w:p>
    <w:p>
      <w:pPr>
        <w:spacing w:after="0" w:line="1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67" w:right="479" w:bottom="1440" w:gutter="0" w:footer="0" w:header="0"/>
        </w:sectPr>
      </w:pPr>
    </w:p>
    <w:bookmarkStart w:id="617" w:name="page618"/>
    <w:bookmarkEnd w:id="61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Net Proceeds), (c) the principal amount, premium or penalty, if any, interest and other amounts on any Indebtedness (other than the Notes, Pari Passu Indebtedness under the Credit Agreements, any other Indebtedness that is secured by a Lien on the Collateral that is pari passu with or expressly subordinated to the Lien on the Collateral securing the Obligations and any unsecured Indebtedness incurred by the Issuer or any Guarantor) that is secured by a Lien on the asset or assets that were the subject of the disposition or that is required to be repaid or otherwise comes due or would be in default and is repaid or which is required to be paid in order to obtain a necessary consent to such disposition or by applicable law (other than any such Indebtedness that is assumed by the purchaser of such asset), (d) cash escrows (until released from escrow to the Issuer or any of its Restricted Subsidiaries) from the sale price for such disposition, (e) in the case of any disposition by any non-Wholly-Owned Subsidiary, the pro rata portion of the Net Proceeds thereof (calculated without regard to this subclause (e)) attributable to any minority interest and not available for distribution to or for the account of the Issuer or a Wholly-Owned Subsidiary as a result thereof; and (f) in the case of any disposition of a Permitted Bond Hedge Transaction, any cash amount owing to holders of Convertible Indebtedness in connection with a related conversion or repayment thereof; and (ii) with respect to any issuance or incurrence of Indebtedness or Capital Stock, the cash proceeds thereof, net of all Taxes and fees, commissions, costs, underwriting discounts and other fees and expenses incurred in connection therewith (including, in respect of any incurrence of Convertible Indebtedness, the cost of any Permitted Bond Hedge Transaction, net of the proceeds of any concurrent Permitted Warrant Transaction).</w:t>
      </w:r>
    </w:p>
    <w:p>
      <w:pPr>
        <w:spacing w:after="0" w:line="183"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w:t>
      </w:r>
      <w:r>
        <w:rPr>
          <w:rFonts w:ascii="Times New Roman" w:cs="Times New Roman" w:eastAsia="Times New Roman" w:hAnsi="Times New Roman"/>
          <w:sz w:val="18"/>
          <w:szCs w:val="18"/>
          <w:color w:val="auto"/>
        </w:rPr>
        <w:t>” means, with respect to a Holder or beneficial owner, as of a date of determination, either (i) the value of its Short Derivative Instruments exceeds the sum of (x) the value of its Notes plus (y) the value of its Long Derivative Instruments as of such date of determination or (ii) it is reasonably expected that such would have been the case were a Failure to Pay or Bankruptcy Credit Event (each as defined in the 2014 International Swaps and Derivatives Association, Inc. Credit Derivatives Definitions) to have occurred with respect to the Issuer or any Guarantor immediately prior to such date of determination.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Amounts</w:t>
      </w:r>
      <w:r>
        <w:rPr>
          <w:rFonts w:ascii="Times New Roman" w:cs="Times New Roman" w:eastAsia="Times New Roman" w:hAnsi="Times New Roman"/>
          <w:sz w:val="18"/>
          <w:szCs w:val="18"/>
          <w:color w:val="auto"/>
        </w:rPr>
        <w:t>” has the meaning assigned to such term in the definition of “Consolidated Total Debt.”</w:t>
      </w:r>
    </w:p>
    <w:p>
      <w:pPr>
        <w:spacing w:after="0" w:line="22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Non-Finance Lease Obligation</w:t>
      </w:r>
      <w:r>
        <w:rPr>
          <w:rFonts w:ascii="Times New Roman" w:cs="Times New Roman" w:eastAsia="Times New Roman" w:hAnsi="Times New Roman"/>
          <w:sz w:val="18"/>
          <w:szCs w:val="18"/>
          <w:color w:val="auto"/>
        </w:rPr>
        <w:t>” of any Person means a lease obligation of such Person that is not an obligation in respect of a Finance Lease. A straight line or operating lease shall be considered a Non-Finance Lease Obligation.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Non-Guarantor Subsidiary</w:t>
      </w:r>
      <w:r>
        <w:rPr>
          <w:rFonts w:ascii="Times New Roman" w:cs="Times New Roman" w:eastAsia="Times New Roman" w:hAnsi="Times New Roman"/>
          <w:sz w:val="18"/>
          <w:szCs w:val="18"/>
          <w:color w:val="auto"/>
        </w:rPr>
        <w:t>” means a Restricted Subsidiary that is not a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Person</w:t>
      </w:r>
      <w:r>
        <w:rPr>
          <w:rFonts w:ascii="Times New Roman" w:cs="Times New Roman" w:eastAsia="Times New Roman" w:hAnsi="Times New Roman"/>
          <w:sz w:val="18"/>
          <w:szCs w:val="18"/>
          <w:color w:val="auto"/>
        </w:rPr>
        <w:t>” means a Person who is not a U.S. Person (as defined in Regulation S).</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 Guarantee</w:t>
      </w:r>
      <w:r>
        <w:rPr>
          <w:rFonts w:ascii="Times New Roman" w:cs="Times New Roman" w:eastAsia="Times New Roman" w:hAnsi="Times New Roman"/>
          <w:sz w:val="18"/>
          <w:szCs w:val="18"/>
          <w:color w:val="auto"/>
        </w:rPr>
        <w:t>” means each Guarantee of the obligations with respect to the Notes issued by a Subsidiary of the Issuer pursuant to the terms of this Indenture.</w:t>
      </w:r>
    </w:p>
    <w:p>
      <w:pPr>
        <w:spacing w:after="0" w:line="15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means any of the Issuer’s 7.250% Senior Secured Notes due 2031 (individually, a “</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as amended or supplemented from time to time, that are issued under this Indenture.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618" w:name="page619"/>
    <w:bookmarkEnd w:id="618"/>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Notes Collateral Agent</w:t>
      </w:r>
      <w:r>
        <w:rPr>
          <w:rFonts w:ascii="Times New Roman" w:cs="Times New Roman" w:eastAsia="Times New Roman" w:hAnsi="Times New Roman"/>
          <w:sz w:val="18"/>
          <w:szCs w:val="18"/>
          <w:color w:val="auto"/>
        </w:rPr>
        <w:t>” means Citibank, N.A. and any other such agent appointed hereunder from time to time (in each case, as the context may require).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 Documents</w:t>
      </w:r>
      <w:r>
        <w:rPr>
          <w:rFonts w:ascii="Times New Roman" w:cs="Times New Roman" w:eastAsia="Times New Roman" w:hAnsi="Times New Roman"/>
          <w:sz w:val="18"/>
          <w:szCs w:val="18"/>
          <w:color w:val="auto"/>
        </w:rPr>
        <w:t>” means this Indenture, the Notes, the Note Guarantees and the Collateral Documents.</w:t>
      </w:r>
    </w:p>
    <w:p>
      <w:pPr>
        <w:spacing w:after="0" w:line="225" w:lineRule="exact"/>
        <w:rPr>
          <w:sz w:val="20"/>
          <w:szCs w:val="20"/>
          <w:color w:val="auto"/>
        </w:rPr>
      </w:pPr>
    </w:p>
    <w:p>
      <w:pPr>
        <w:ind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any principal, interest, penalties, fees, indemnifications, reimbursements, damages and other liabilities payable under the documentation governing any Indebtedness (including interest, fees, and expenses accruing on or after the filing of any petition in bankruptcy or the commencement of any insolvency proceeding or for any reorganization relating to the Issuer or a Guarantor, whether or not a claim for such post-petition interest, fees, or expenses is allowed or allowable in such proceedings).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Offering Memorandum</w:t>
      </w:r>
      <w:r>
        <w:rPr>
          <w:rFonts w:ascii="Times New Roman" w:cs="Times New Roman" w:eastAsia="Times New Roman" w:hAnsi="Times New Roman"/>
          <w:sz w:val="18"/>
          <w:szCs w:val="18"/>
          <w:color w:val="auto"/>
        </w:rPr>
        <w:t>” means the Offering Memorandum dated October 23, 2025, with respect to the Notes.</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w:t>
      </w:r>
      <w:r>
        <w:rPr>
          <w:rFonts w:ascii="Times New Roman" w:cs="Times New Roman" w:eastAsia="Times New Roman" w:hAnsi="Times New Roman"/>
          <w:sz w:val="18"/>
          <w:szCs w:val="18"/>
          <w:color w:val="auto"/>
        </w:rPr>
        <w:t>” means the Chairman of the Board, the Chief Executive Officer, the President, any Vice President, the Chief Financial Officer, the Controller, Treasurer, the Secretary or any Assistant Controller, Assistant Treasurer or Assistant Secretary of the Issuer.</w:t>
      </w:r>
    </w:p>
    <w:p>
      <w:pPr>
        <w:spacing w:after="0" w:line="15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Officers’ Certificate</w:t>
      </w:r>
      <w:r>
        <w:rPr>
          <w:rFonts w:ascii="Times New Roman" w:cs="Times New Roman" w:eastAsia="Times New Roman" w:hAnsi="Times New Roman"/>
          <w:sz w:val="18"/>
          <w:szCs w:val="18"/>
          <w:color w:val="auto"/>
        </w:rPr>
        <w:t xml:space="preserve">” means a certificate signed by two Officers;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hereof, “Officers’ Certificate” means a certificate signed by the principal executive officer, principal financial officer or principal accounting officer of the Issuer and by one other Officer.</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Opinion of Counsel</w:t>
      </w:r>
      <w:r>
        <w:rPr>
          <w:rFonts w:ascii="Times New Roman" w:cs="Times New Roman" w:eastAsia="Times New Roman" w:hAnsi="Times New Roman"/>
          <w:sz w:val="18"/>
          <w:szCs w:val="18"/>
          <w:color w:val="auto"/>
        </w:rPr>
        <w:t>” means a written opinion from legal counsel reasonably acceptable to the Trustee. The counsel may be an employee of or counsel to the Issuer.</w:t>
      </w:r>
    </w:p>
    <w:p>
      <w:pPr>
        <w:spacing w:after="0" w:line="155"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Organizational Documents</w:t>
      </w:r>
      <w:r>
        <w:rPr>
          <w:rFonts w:ascii="Times New Roman" w:cs="Times New Roman" w:eastAsia="Times New Roman" w:hAnsi="Times New Roman"/>
          <w:sz w:val="18"/>
          <w:szCs w:val="18"/>
          <w:color w:val="auto"/>
        </w:rPr>
        <w:t>” means (a) with respect to any corporation, its certificate, memorandum or articles of incorporation, association, amalgamation or organization and its by-laws, (b) with respect to any limited partnership, its certificate of limited partnership and its partnership agreement, (c) with respect to any general partnership, its partnership agreement, (d) with respect to any limited liability company, its articles of organization or certificate of formation or incorporation, and its operating agreement or limited liability company agreement or constitution and (e) with respect to any other form of entity, such other organizational documents required by local Requirements of Law or customary under the jurisdiction in which such entity is organized to document the formation and governance principles of such type of entity. In the event that any term or condition of this Indenture or any Collateral Document requires any Organizational Document to be certified by a secretary of state or similar governmental official, the reference to any such “Organizational Document” shall only be to a document of a type customarily certified by such governmental official.</w:t>
      </w:r>
    </w:p>
    <w:p>
      <w:pPr>
        <w:spacing w:after="0" w:line="18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Packaged Rights</w:t>
      </w:r>
      <w:r>
        <w:rPr>
          <w:rFonts w:ascii="Times New Roman" w:cs="Times New Roman" w:eastAsia="Times New Roman" w:hAnsi="Times New Roman"/>
          <w:sz w:val="18"/>
          <w:szCs w:val="18"/>
          <w:color w:val="auto"/>
        </w:rPr>
        <w:t>” means warrants, options or other rights or obligations to acquire shares of any class of the Capital Stock of the Issuer or a Restricted Subsidiary (whether settled in Capital Stock, cash or any combination thereof), regardless of the issuer of such warrants, options or other rights, that are initially issued as a unit with Capital Stock or Indebtedness of the Issuer or any Restricted Subsidiary (which may be guaranteed by the Guarantors, the Issuer or any Restricted Subsidiary) permitted to be incurred under this Indenture, even if such Capital Stock or Indebtedness is separable from such warrants, options or other rights by a holder thereof.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67" w:right="479" w:bottom="1440" w:gutter="0" w:footer="0" w:header="0"/>
        </w:sectPr>
      </w:pPr>
    </w:p>
    <w:bookmarkStart w:id="619" w:name="page620"/>
    <w:bookmarkEnd w:id="619"/>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means any holding company and any Person that is the direct or indirect parent of the Issuer and of which the Issuer is a direct or indirect Subsidiary.</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Indebtedness</w:t>
      </w:r>
      <w:r>
        <w:rPr>
          <w:rFonts w:ascii="Times New Roman" w:cs="Times New Roman" w:eastAsia="Times New Roman" w:hAnsi="Times New Roman"/>
          <w:sz w:val="18"/>
          <w:szCs w:val="18"/>
          <w:color w:val="auto"/>
        </w:rPr>
        <w:t xml:space="preserve">” means Indebtedness of the Issuer or a Guarantor that is secured equally and ratably by Liens on the Collateral having the same priority as the Liens securing the Notes or the Note Guarantees;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authorized representative of the Holders of such Indebtedness shall be a party to the Pari Passu Intercreditor Agreement.</w:t>
      </w:r>
    </w:p>
    <w:p>
      <w:pPr>
        <w:spacing w:after="0" w:line="171"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Intercreditor Agreement</w:t>
      </w:r>
      <w:r>
        <w:rPr>
          <w:rFonts w:ascii="Times New Roman" w:cs="Times New Roman" w:eastAsia="Times New Roman" w:hAnsi="Times New Roman"/>
          <w:sz w:val="18"/>
          <w:szCs w:val="18"/>
          <w:color w:val="auto"/>
        </w:rPr>
        <w:t>” means that certain Pari Passu Intercreditor Agreement, to be dated the Escrow Release Date, by and among the Issuer, the Credit Agreement Collateral Agents, the Notes Collateral Agent and the grantors party thereto, as the same may be further amended, amended and restated, supplemented, modified or replaced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means, a member of, or participant or account holder in, DTC, Euroclear and/or Clearstream.</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xml:space="preserve">” means the substantially concurrent purchase and sale or exchange of assets (other than Cash and Cash Equivalents) used or useful in a Permitted Business or any combination of such assets and Cash or Cash Equivalents between the Issuer and/or any of its Restricted Subsidiaries and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or Cash Equivalents received must be applied in accordance with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w:t>
      </w:r>
    </w:p>
    <w:p>
      <w:pPr>
        <w:spacing w:after="0" w:line="171"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Bond Hedge Transaction</w:t>
      </w:r>
      <w:r>
        <w:rPr>
          <w:rFonts w:ascii="Times New Roman" w:cs="Times New Roman" w:eastAsia="Times New Roman" w:hAnsi="Times New Roman"/>
          <w:sz w:val="18"/>
          <w:szCs w:val="18"/>
          <w:color w:val="auto"/>
        </w:rPr>
        <w:t>” means any bond hedge or call or capped call option (or similar transaction) on or linked to the Issuer’s Capital Stock and purchased in connection with the issuance of any Convertible Indebtedness; provided that the purchase price for such Permitted Bond Hedge Transaction, less the proceeds received from the sale of any related Permitted Warrant Transaction, does not exceed the net proceeds received from the sale of such Convertible Indebtedness.</w:t>
      </w:r>
    </w:p>
    <w:p>
      <w:pPr>
        <w:spacing w:after="0" w:line="176"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Business</w:t>
      </w:r>
      <w:r>
        <w:rPr>
          <w:rFonts w:ascii="Times New Roman" w:cs="Times New Roman" w:eastAsia="Times New Roman" w:hAnsi="Times New Roman"/>
          <w:sz w:val="18"/>
          <w:szCs w:val="18"/>
          <w:color w:val="auto"/>
        </w:rPr>
        <w:t>” means any business conducted (or proposed to be conducted) by the Issuer and its Restricted Subsidiaries on the Escrow Release Date and any business that is in the judgment of the Issuer reasonably related, similar, incidental, ancillary, corollary, synergetic or complementary to the business of the Issuer and its Restricted Subsidiaries on the Escrow Release Date or a natural extension thereof.</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Encumbrances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60" w:firstLine="419"/>
        <w:spacing w:after="0" w:line="282" w:lineRule="auto"/>
        <w:tabs>
          <w:tab w:leader="none" w:pos="1118"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for Taxes, assessments or other governmental charges that are not overdue for a period of more than 60 days or, if more than 60 days overdue, are being contested;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carriers’, warehousemen’s, mechanics’, materialmen’s, repairmen’s, landlords’, workmen’s, suppliers’ and other Liens imposed by law, arising in the ordinary course of business and securing obligations that are not overdue by more than 60 days or, if overdue for more than 60 days, are being contested (as applicable);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80"/>
          </w:cols>
          <w:pgMar w:left="440" w:top="266" w:right="479" w:bottom="1440" w:gutter="0" w:footer="0" w:header="0"/>
        </w:sectPr>
      </w:pPr>
    </w:p>
    <w:bookmarkStart w:id="620" w:name="page621"/>
    <w:bookmarkEnd w:id="620"/>
    <w:p>
      <w:pPr>
        <w:ind w:left="440" w:right="20" w:firstLine="419"/>
        <w:spacing w:after="0" w:line="258" w:lineRule="auto"/>
        <w:tabs>
          <w:tab w:leader="none" w:pos="1118"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Liens, pledges and deposits made in the ordinary course of business in compliance with workers’ compensation, unemployment insurance and other social security laws or regulations or employment laws or to secure other public, statutory or regulatory obligations (including to support letters of credit or bank guarantees) and (b) Liens, pledges or deposits in the ordinary course of business securing liability for premiums or reimbursement or indemnification obligations of (including obligations in respect of letters of credit or bank guarantees for the benefit of) insurance carriers providing insurance to the Issuer or any Subsidiary;</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deposits to secure the performance of bids, trade contracts, governmental contracts, tenders, statutory bonds, leases, statutory obligations, surety, stay, customs, appeal and replevin bonds, performance bonds and other obligations of a like nature (including those to secure health, safety and environmental obligations), in each case in the ordinary course of business;</w:t>
      </w:r>
    </w:p>
    <w:p>
      <w:pPr>
        <w:spacing w:after="0" w:line="67" w:lineRule="exact"/>
        <w:rPr>
          <w:rFonts w:ascii="Times New Roman" w:cs="Times New Roman" w:eastAsia="Times New Roman" w:hAnsi="Times New Roman"/>
          <w:sz w:val="18"/>
          <w:szCs w:val="18"/>
          <w:color w:val="auto"/>
        </w:rPr>
      </w:pPr>
    </w:p>
    <w:p>
      <w:pPr>
        <w:ind w:left="440" w:right="660" w:firstLine="419"/>
        <w:spacing w:after="0" w:line="282" w:lineRule="auto"/>
        <w:tabs>
          <w:tab w:leader="none" w:pos="1118"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judgments, decrees, attachments or awards (or to secure any settlements with respect to the same) that do not constitute an Event of Default under Section 6.01(f);</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18"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easements, restrictions (including zoning restrictions), rights-of-way, covenants, licenses, encroachments, protrusions and similar encumbrances and minor title defects affecting real property imposed by law or arising in the ordinary course of business that do not secure any monetary obligations and do not materially interfere with the ordinary conduct of business of the Issuer or any Subsidiary; and</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8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or title of a lessor, sublessor, licensor or sublicensor under any lease, sub-lease, license or sublicense entered into by the Issuer or any of its Subsidiaries as a part of its business and covering only the assets so leased;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provided that the term “Permitted Encumbrances” shall not include any Lien securing Indebtedness.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620" w:firstLine="419"/>
        <w:spacing w:after="0" w:line="282" w:lineRule="auto"/>
        <w:tabs>
          <w:tab w:leader="none" w:pos="1118"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or Cash Equivalents, or investments that were Cash or Cash Equivalents or Investment Grade Securities at the time made;</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or contractually committed or contemplated as of, the Escrow Release Date and any modification, replacement, renewal or extension thereof so long as no such modification, replacement, renewal or extension thereof increases the amount of such Investment except by the terms thereof (including as a result of the accrual or accretion of interest or original issue discount or the issuance of payment-in-kind securities) or as otherwise permitted by this definition or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hereof;</w:t>
      </w:r>
    </w:p>
    <w:p>
      <w:pPr>
        <w:spacing w:after="0" w:line="71"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 constituting deposits, prepayments and/or other credits to suppliers or other trade counterparties, (ii) made in connection with obtaining, maintaining or renewing client and customer contracts and/or (iii) in the form of advances made to distributors, suppliers, licensors and licensees, in each case, in the ordinary course of business or, in the case of clause (iii), to the extent necessary to maintain the ordinary course of supplies to the Issuer or any Restricted Subsidiary;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1" w:right="459" w:bottom="1440" w:gutter="0" w:footer="0" w:header="0"/>
        </w:sectPr>
      </w:pPr>
    </w:p>
    <w:bookmarkStart w:id="621" w:name="page622"/>
    <w:bookmarkEnd w:id="621"/>
    <w:p>
      <w:pPr>
        <w:ind w:left="4" w:right="380" w:firstLine="419"/>
        <w:spacing w:after="0" w:line="266" w:lineRule="auto"/>
        <w:tabs>
          <w:tab w:leader="none" w:pos="681"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(i) any Unrestricted Subsidiary (including any Joint Venture that is an Unrestricted Subsidiary) or (ii) any Similar Business (including any Joint Venture engaged in a Similar Business), in an outstanding amount in the aggregate for clauses (i) and (ii) not to exceed the greater of (a) $562.5 million and (b) 25.0% of LTM Consolidated Adjusted EBITDA;</w:t>
      </w:r>
    </w:p>
    <w:p>
      <w:pPr>
        <w:spacing w:after="0" w:line="67"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the Issuer or in a Restricted Subsidiary of the Issuer;</w:t>
      </w:r>
    </w:p>
    <w:p>
      <w:pPr>
        <w:spacing w:after="0" w:line="117" w:lineRule="exact"/>
        <w:rPr>
          <w:rFonts w:ascii="Times New Roman" w:cs="Times New Roman" w:eastAsia="Times New Roman" w:hAnsi="Times New Roman"/>
          <w:sz w:val="18"/>
          <w:szCs w:val="18"/>
          <w:color w:val="auto"/>
        </w:rPr>
      </w:pPr>
    </w:p>
    <w:p>
      <w:pPr>
        <w:ind w:left="4" w:firstLine="419"/>
        <w:spacing w:after="0" w:line="282" w:lineRule="auto"/>
        <w:tabs>
          <w:tab w:leader="none" w:pos="681"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as a result of the receipt of non-cash consideration in connection with any Asset Sale not prohibited by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or any other disposition of assets not constituting an Asset Sale;</w:t>
      </w:r>
    </w:p>
    <w:p>
      <w:pPr>
        <w:spacing w:after="0" w:line="53" w:lineRule="exact"/>
        <w:rPr>
          <w:rFonts w:ascii="Times New Roman" w:cs="Times New Roman" w:eastAsia="Times New Roman" w:hAnsi="Times New Roman"/>
          <w:sz w:val="18"/>
          <w:szCs w:val="18"/>
          <w:color w:val="auto"/>
        </w:rPr>
      </w:pPr>
    </w:p>
    <w:p>
      <w:pPr>
        <w:ind w:left="4" w:right="80" w:firstLine="419"/>
        <w:spacing w:after="0" w:line="257" w:lineRule="auto"/>
        <w:tabs>
          <w:tab w:leader="none" w:pos="681"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Permitted Payees to the extent not prohibited by Requirements of Law, either (i) in an aggregate principal amount not to exceed the greater of (a) $225.0 million and (b) 10.0% of LTM Consolidated Adjusted EBITDA at any one time outstanding, (ii) so long as the proceeds of such loan or advance are substantially contemporaneously contributed to the Issuer for the purchase of such Capital Stock or</w:t>
      </w:r>
    </w:p>
    <w:p>
      <w:pPr>
        <w:spacing w:after="0" w:line="1"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no Cash or Cash Equivalents are advanced in connection with such loan or advance;</w:t>
      </w:r>
    </w:p>
    <w:p>
      <w:pPr>
        <w:spacing w:after="0" w:line="98"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81"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rebates and extensions of credit in the nature of accounts receivable or notes receivable arising from the grant of trade credit in the ordinary course of business;</w:t>
      </w:r>
    </w:p>
    <w:p>
      <w:pPr>
        <w:spacing w:after="0" w:line="53" w:lineRule="exact"/>
        <w:rPr>
          <w:rFonts w:ascii="Times New Roman" w:cs="Times New Roman" w:eastAsia="Times New Roman" w:hAnsi="Times New Roman"/>
          <w:sz w:val="18"/>
          <w:szCs w:val="18"/>
          <w:color w:val="auto"/>
        </w:rPr>
      </w:pPr>
    </w:p>
    <w:p>
      <w:pPr>
        <w:ind w:left="4" w:right="60" w:firstLine="419"/>
        <w:spacing w:after="0" w:line="258" w:lineRule="auto"/>
        <w:tabs>
          <w:tab w:leader="none" w:pos="681"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(or resulting from) Indebtedness permitted under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(including guarantees thereof) (other than Indebtedness permitted under </w:t>
      </w:r>
      <w:r>
        <w:rPr>
          <w:rFonts w:ascii="Times New Roman" w:cs="Times New Roman" w:eastAsia="Times New Roman" w:hAnsi="Times New Roman"/>
          <w:sz w:val="18"/>
          <w:szCs w:val="18"/>
          <w:u w:val="single" w:color="auto"/>
          <w:color w:val="auto"/>
        </w:rPr>
        <w:t>Section 4.09(b)(ii)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Permitted Liens, Restricted Payments permitted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4.08(b)(vi)</w:t>
      </w:r>
      <w:r>
        <w:rPr>
          <w:rFonts w:ascii="Times New Roman" w:cs="Times New Roman" w:eastAsia="Times New Roman" w:hAnsi="Times New Roman"/>
          <w:sz w:val="18"/>
          <w:szCs w:val="18"/>
          <w:color w:val="auto"/>
        </w:rPr>
        <w:t xml:space="preserve">) and mergers, consolidations, amalgamations, liquidations, windings up, dissolutions or Asset Sales permitted by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clause (5) of the second paragraph of the definition of “Asset Sale” and transactions permitted by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4.12(b)(iv)</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771"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endorsements for collection or deposit and customary trade arrangements with customers, vendors, suppliers, licensors, sublicensors, licensees and sublicensees;</w:t>
      </w:r>
    </w:p>
    <w:p>
      <w:pPr>
        <w:spacing w:after="0" w:line="53" w:lineRule="exact"/>
        <w:rPr>
          <w:rFonts w:ascii="Times New Roman" w:cs="Times New Roman" w:eastAsia="Times New Roman" w:hAnsi="Times New Roman"/>
          <w:sz w:val="18"/>
          <w:szCs w:val="18"/>
          <w:color w:val="auto"/>
        </w:rPr>
      </w:pPr>
    </w:p>
    <w:p>
      <w:pPr>
        <w:ind w:left="4" w:right="40" w:firstLine="419"/>
        <w:spacing w:after="0" w:line="270" w:lineRule="auto"/>
        <w:tabs>
          <w:tab w:leader="none" w:pos="765" w:val="left"/>
        </w:tabs>
        <w:numPr>
          <w:ilvl w:val="1"/>
          <w:numId w:val="8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and Capital Stock) received (i) in connection with the bankruptcy, work-out, reorganization or recapitalization of any Person, (ii) in settlement or compromise of delinquent obligations of, or other disputes with or judgments against, customers, trade-creditors, suppliers, licensees and other account debtors arising in the ordinary course of business, including pursuant to any plan of reorganization or similar arrangement upon bankruptcy or insolvency of any customer, trade creditor, supplier, licensee or other account debtor,</w:t>
      </w:r>
    </w:p>
    <w:p>
      <w:pPr>
        <w:spacing w:after="0" w:line="2" w:lineRule="exact"/>
        <w:rPr>
          <w:rFonts w:ascii="Times New Roman" w:cs="Times New Roman" w:eastAsia="Times New Roman" w:hAnsi="Times New Roman"/>
          <w:sz w:val="17"/>
          <w:szCs w:val="17"/>
          <w:color w:val="auto"/>
        </w:rPr>
      </w:pPr>
    </w:p>
    <w:p>
      <w:pPr>
        <w:ind w:left="4" w:right="280" w:hanging="4"/>
        <w:spacing w:after="0" w:line="260" w:lineRule="auto"/>
        <w:tabs>
          <w:tab w:leader="none" w:pos="31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satisfaction of judgments against other Persons, (iv) as a result of foreclosure with respect to any secured Investment or other transfer of title with respect to any secured Investment and/or (v) in settlement, compromise or resolution of litigation, arbitration or other disputes;</w:t>
      </w:r>
    </w:p>
    <w:p>
      <w:pPr>
        <w:spacing w:after="0" w:line="11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564"/>
          </w:cols>
          <w:pgMar w:left="876" w:top="270" w:right="459" w:bottom="1440" w:gutter="0" w:footer="0" w:header="0"/>
        </w:sectPr>
      </w:pPr>
    </w:p>
    <w:bookmarkStart w:id="622" w:name="page623"/>
    <w:bookmarkEnd w:id="622"/>
    <w:p>
      <w:pPr>
        <w:ind w:left="4" w:right="300" w:firstLine="419"/>
        <w:spacing w:after="0" w:line="282" w:lineRule="auto"/>
        <w:tabs>
          <w:tab w:leader="none" w:pos="771"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loans and advances of payroll payments or other compensation to present or former employees, directors, members of management, officers, managers or consultants of the Issuer and/or any subsidiary in the ordinary course of business;</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therefor is made solely with Qualified Capital Stock of the Issuer or any Restricted Subsidiary;</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771"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by the Issuer or any Subsidiary of the Issuer in a Person, if as a result of such Investment, such Person becomes or is merged into, consolidated or amalgamated with or into a Restricted Subsidiary or the Issuer, (ii) Investments of any Restricted Subsidiary acquired after the Escrow Release Date, or of any Person acquired by, or merged into or consolidated or amalgamated with, or transfers all of its assets to, or is liquidated into, the Issuer or any Restricted Subsidiary after the Escrow Release Date, in each case as part of an Investment otherwise permitted by this definition or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hereof to the extent that such Investments were not made in contemplation of or in connection with such acquisition, merger, amalgamation or consolidation and were in existence on the date of the relevant acquisition, merger, amalgamation or consolidation and (iii) any modification, replacement, renewal or extension of any Investment permitted under clause (14)(i) or (ii) so long as no such modification, replacement, renewal or extension thereof increases the amount of such Investment except as otherwise permitted by this definition or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hereof;</w:t>
      </w:r>
    </w:p>
    <w:p>
      <w:pPr>
        <w:spacing w:after="0" w:line="80"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Issuer or any of its Restricted Subsidiaries in an aggregate amount at any time outstanding not to exceed:</w:t>
      </w:r>
    </w:p>
    <w:p>
      <w:pPr>
        <w:spacing w:after="0" w:line="117"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2"/>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(a) $900.0 million and (b) 40.0% of LTM Consolidated Adjusted EBITDA, plus</w:t>
      </w:r>
    </w:p>
    <w:p>
      <w:pPr>
        <w:spacing w:after="0" w:line="117" w:lineRule="exact"/>
        <w:rPr>
          <w:rFonts w:ascii="Times New Roman" w:cs="Times New Roman" w:eastAsia="Times New Roman" w:hAnsi="Times New Roman"/>
          <w:sz w:val="18"/>
          <w:szCs w:val="18"/>
          <w:color w:val="auto"/>
        </w:rPr>
      </w:pPr>
    </w:p>
    <w:p>
      <w:pPr>
        <w:ind w:left="544" w:right="60" w:firstLine="408"/>
        <w:spacing w:after="0" w:line="266" w:lineRule="auto"/>
        <w:tabs>
          <w:tab w:leader="none" w:pos="1209" w:val="left"/>
        </w:tabs>
        <w:numPr>
          <w:ilvl w:val="2"/>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the Issuer or any of its Restricted Subsidiaries makes any Investment after the Escrow Release Date in any Person that is not a Restricted Subsidiary and (B) such Person subsequently becomes a Restricted Subsidiary, an amount equal to 100% of the fair market value of such Investment as of the date on which such Person becomes a Restricted Subsidiary;</w:t>
      </w:r>
    </w:p>
    <w:p>
      <w:pPr>
        <w:spacing w:after="0" w:line="67" w:lineRule="exact"/>
        <w:rPr>
          <w:rFonts w:ascii="Times New Roman" w:cs="Times New Roman" w:eastAsia="Times New Roman" w:hAnsi="Times New Roman"/>
          <w:sz w:val="18"/>
          <w:szCs w:val="18"/>
          <w:color w:val="auto"/>
        </w:rPr>
      </w:pPr>
    </w:p>
    <w:p>
      <w:pPr>
        <w:ind w:left="4" w:right="620" w:firstLine="419"/>
        <w:spacing w:after="0" w:line="282" w:lineRule="auto"/>
        <w:tabs>
          <w:tab w:leader="none" w:pos="771"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Issuer or any of its Restricted Subsidiaries in a Securitization Special Purpose Entity or any Investment by a Securitization Special Purpose Entity in any other Person, in each case, in connection with a Qualified Securitization Transaction;</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Guarantees of leases or subleases (in each case other than Finance Leases) or of other obligations not constituting Indebtedness,</w:t>
      </w:r>
    </w:p>
    <w:p>
      <w:pPr>
        <w:spacing w:after="0" w:line="27" w:lineRule="exact"/>
        <w:rPr>
          <w:rFonts w:ascii="Times New Roman" w:cs="Times New Roman" w:eastAsia="Times New Roman" w:hAnsi="Times New Roman"/>
          <w:sz w:val="18"/>
          <w:szCs w:val="18"/>
          <w:color w:val="auto"/>
        </w:rPr>
      </w:pPr>
    </w:p>
    <w:p>
      <w:pPr>
        <w:ind w:left="4" w:right="220" w:hanging="4"/>
        <w:spacing w:after="0" w:line="253" w:lineRule="auto"/>
        <w:tabs>
          <w:tab w:leader="none" w:pos="268" w:val="left"/>
        </w:tabs>
        <w:numPr>
          <w:ilvl w:val="0"/>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the lease obligations of suppliers, customers, franchisees and licensees of the Issuer and/or its Restricted Subsidiaries, in each case, in the ordinary course of business and (iii) Investments consisting of Guarantees of any supplier’s obligations in respect of commodity contracts, including Derivative Transactions, solely to the extent such commodities related to the materials or products to be purchased by the Issuer or any Restricted Subsidiary;</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564"/>
          </w:cols>
          <w:pgMar w:left="876" w:top="271" w:right="459" w:bottom="1440" w:gutter="0" w:footer="0" w:header="0"/>
        </w:sectPr>
      </w:pPr>
    </w:p>
    <w:bookmarkStart w:id="623" w:name="page624"/>
    <w:bookmarkEnd w:id="623"/>
    <w:p>
      <w:pPr>
        <w:ind w:right="40" w:firstLine="419"/>
        <w:spacing w:after="0" w:line="258" w:lineRule="auto"/>
        <w:tabs>
          <w:tab w:leader="none" w:pos="768"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receivables owing to the Issuer or any Restricted Subsidiary if created or acquired in the ordinary course of business and payable or dischargeable in accordance with customary trade terms (which trade terms may include such concessionary trade terms as the Issuer or any such Restricted Subsidiary deems reasonable under the circumstances), and other Investments to the extent such Investments consist of prepaid expenses, negotiable instruments held for collection and lease, utility and workers’ compensation, performance and other similar deposits made in the ordinary course of business by the Issuer or any Restricted Subsidiary;</w:t>
      </w:r>
    </w:p>
    <w:p>
      <w:pPr>
        <w:spacing w:after="0" w:line="75" w:lineRule="exact"/>
        <w:rPr>
          <w:rFonts w:ascii="Times New Roman" w:cs="Times New Roman" w:eastAsia="Times New Roman" w:hAnsi="Times New Roman"/>
          <w:sz w:val="18"/>
          <w:szCs w:val="18"/>
          <w:color w:val="auto"/>
        </w:rPr>
      </w:pPr>
    </w:p>
    <w:p>
      <w:pPr>
        <w:ind w:right="40" w:firstLine="419"/>
        <w:spacing w:after="0" w:line="256" w:lineRule="auto"/>
        <w:tabs>
          <w:tab w:leader="none" w:pos="768"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subsidiaries and Joint Ventures in connection with reorganizations and/or restructurings, including any Permitted Reorganization and/or activities related to tax planning (including Investments in non-Cash or non-Cash Equivalents); provided that, after giving effect to any such reorganization, restructuring and/or related activity, the security interest of the Notes Collateral Agent in the Collateral, taken as a whole, is not materially impaired (including by a material portion of the assets that constitute Collateral immediately prior to such reorganization, restructuring or tax planning activities no longer constituting Collateral) as a result of such reorganization, restructuring or tax planning activities;</w:t>
      </w:r>
    </w:p>
    <w:p>
      <w:pPr>
        <w:spacing w:after="0" w:line="79"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arising under or in connection with any Derivative Transaction of the type permitted under </w:t>
      </w:r>
      <w:r>
        <w:rPr>
          <w:rFonts w:ascii="Times New Roman" w:cs="Times New Roman" w:eastAsia="Times New Roman" w:hAnsi="Times New Roman"/>
          <w:sz w:val="18"/>
          <w:szCs w:val="18"/>
          <w:u w:val="single" w:color="auto"/>
          <w:color w:val="auto"/>
        </w:rPr>
        <w:t>Section 4.09(b)(xviii)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419"/>
        <w:spacing w:after="0" w:line="255" w:lineRule="auto"/>
        <w:tabs>
          <w:tab w:leader="none" w:pos="768"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 in Joint Ventures or Unrestricted Subsidiaries, (B) in connection with the creation, formation and/or acquisition of any Joint Venture or (C) in any Restricted Subsidiary to enable such Restricted Subsidiary to create, form and/or acquire any Joint Venture, in an aggregate outstanding amount under this clause (21) not to exceed in any fiscal year the greater of (a) $562.5 million and (b) 25.0% of LTM Consolidated Adjusted EBITDA (with unused amounts, if not used in any fiscal year, carried forward to subsequent fiscal years (until so applied)); provided that if any Investment pursuant to this clause (21) is made in any Person that is not a Restricted Subsidiary at the date of making of such Investment and such Person becomes a Restricted Subsidiary after such date, such Investment shall, at the election of the Issuer, be deemed to have been made pursuant to clause (5) or (14) above and shall cease to have been made under this clause (21);</w:t>
      </w:r>
    </w:p>
    <w:p>
      <w:pPr>
        <w:spacing w:after="0" w:line="80" w:lineRule="exact"/>
        <w:rPr>
          <w:rFonts w:ascii="Times New Roman" w:cs="Times New Roman" w:eastAsia="Times New Roman" w:hAnsi="Times New Roman"/>
          <w:sz w:val="18"/>
          <w:szCs w:val="18"/>
          <w:color w:val="auto"/>
        </w:rPr>
      </w:pPr>
    </w:p>
    <w:p>
      <w:pPr>
        <w:ind w:firstLine="419"/>
        <w:spacing w:after="0" w:line="282" w:lineRule="auto"/>
        <w:tabs>
          <w:tab w:leader="none" w:pos="768"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joint ventures as required by, or made pursuant to, buy/sell arrangements between the joint venture parties set forth in joint venture agreements and similar binding arrangements;</w:t>
      </w:r>
    </w:p>
    <w:p>
      <w:pPr>
        <w:spacing w:after="0" w:line="53" w:lineRule="exact"/>
        <w:rPr>
          <w:rFonts w:ascii="Times New Roman" w:cs="Times New Roman" w:eastAsia="Times New Roman" w:hAnsi="Times New Roman"/>
          <w:sz w:val="18"/>
          <w:szCs w:val="18"/>
          <w:color w:val="auto"/>
        </w:rPr>
      </w:pPr>
    </w:p>
    <w:p>
      <w:pPr>
        <w:ind w:right="580" w:firstLine="419"/>
        <w:spacing w:after="0" w:line="282" w:lineRule="auto"/>
        <w:tabs>
          <w:tab w:leader="none" w:pos="768"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they are permitted to remain unfunded under applicable Requirements of Law;</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560"/>
          </w:cols>
          <w:pgMar w:left="880" w:top="270" w:right="459" w:bottom="1440" w:gutter="0" w:footer="0" w:header="0"/>
        </w:sectPr>
      </w:pPr>
    </w:p>
    <w:bookmarkStart w:id="624" w:name="page625"/>
    <w:bookmarkEnd w:id="624"/>
    <w:p>
      <w:pPr>
        <w:ind w:left="764" w:hanging="341"/>
        <w:spacing w:after="0"/>
        <w:tabs>
          <w:tab w:leader="none" w:pos="764" w:val="left"/>
        </w:tabs>
        <w:numPr>
          <w:ilvl w:val="1"/>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connection with (i) Permitted Treasury Arrangements and other intercompany cash management arrangements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activities in the ordinary course of business;</w:t>
      </w:r>
    </w:p>
    <w:p>
      <w:pPr>
        <w:spacing w:after="0" w:line="98"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any nonqualified deferred compensation plan or arrangement for any Permitted Payee;</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Investments so long as the Total Net Leverage Ratio does not exceed 2.00 to 1.00 on a Pro Forma Basis;</w:t>
      </w:r>
    </w:p>
    <w:p>
      <w:pPr>
        <w:spacing w:after="0" w:line="117"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the licensing, sublicensing or contribution of any intellectual property or other IP Rights pursuant to joint marketing, collaboration or other similar arrangements with other Persons;</w:t>
      </w:r>
    </w:p>
    <w:p>
      <w:pPr>
        <w:spacing w:after="0" w:line="53"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conversion to Qualified Capital Stock of any Indebtedness, Disqualified Stock or Preferred Stock owed by the Issuer or any Restricted Subsidiary and not prohibited by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480" w:firstLine="419"/>
        <w:spacing w:after="0" w:line="266"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in connection with compensation arrangements to a “rabbi” trust for the benefit of employees, directors, partners, members, consultants, independent contractors or other service providers or other grantor trust subject to claims of creditors in the case of a bankruptcy of the Issuer or any Restricted Subsidiary;</w:t>
      </w:r>
    </w:p>
    <w:p>
      <w:pPr>
        <w:spacing w:after="0" w:line="67" w:lineRule="exact"/>
        <w:rPr>
          <w:rFonts w:ascii="Times New Roman" w:cs="Times New Roman" w:eastAsia="Times New Roman" w:hAnsi="Times New Roman"/>
          <w:sz w:val="18"/>
          <w:szCs w:val="18"/>
          <w:color w:val="auto"/>
        </w:rPr>
      </w:pPr>
    </w:p>
    <w:p>
      <w:pPr>
        <w:ind w:left="4" w:firstLine="419"/>
        <w:spacing w:after="0" w:line="282"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consisting of earnest money deposits required in connection with purchase agreements or other acquisitions or Investments otherwise permitted under this definition and any other pledges or deposits not prohibited by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firstLine="419"/>
        <w:spacing w:after="0" w:line="261"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of obligations of the Issuer or any Restricted Subsidiary in respect of letters of support, guarantees or similar obligations issued, made or incurred for the benefit of any Restricted Subsidiary of the Issuer to the extent required by law or in connection with any statutory filing or the delivery of audit opinions performed in jurisdictions other than within the United States and any other Guarantee of Indebtedness permitted to be incurred under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t>
      </w:r>
    </w:p>
    <w:p>
      <w:pPr>
        <w:spacing w:after="0" w:line="71"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Bond Hedge Transactions;</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and acquisitions of inventory, supplies, materials, services, equipment or similar assets in the ordinary course of business;</w:t>
      </w:r>
    </w:p>
    <w:p>
      <w:pPr>
        <w:spacing w:after="0" w:line="117" w:lineRule="exact"/>
        <w:rPr>
          <w:rFonts w:ascii="Times New Roman" w:cs="Times New Roman" w:eastAsia="Times New Roman" w:hAnsi="Times New Roman"/>
          <w:sz w:val="18"/>
          <w:szCs w:val="18"/>
          <w:color w:val="auto"/>
        </w:rPr>
      </w:pPr>
    </w:p>
    <w:p>
      <w:pPr>
        <w:ind w:left="4" w:right="720" w:firstLine="419"/>
        <w:spacing w:after="0" w:line="282"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customary upfront milestone, marketing or other funding payment in the ordinary course of business to another Person in connection with obtaining a right to receive royalty or other payments in the future;</w:t>
      </w:r>
    </w:p>
    <w:p>
      <w:pPr>
        <w:spacing w:after="0" w:line="53" w:lineRule="exact"/>
        <w:rPr>
          <w:rFonts w:ascii="Times New Roman" w:cs="Times New Roman" w:eastAsia="Times New Roman" w:hAnsi="Times New Roman"/>
          <w:sz w:val="18"/>
          <w:szCs w:val="18"/>
          <w:color w:val="auto"/>
        </w:rPr>
      </w:pPr>
    </w:p>
    <w:p>
      <w:pPr>
        <w:ind w:left="4" w:right="200" w:firstLine="419"/>
        <w:spacing w:after="0" w:line="266" w:lineRule="auto"/>
        <w:tabs>
          <w:tab w:leader="none" w:pos="771" w:val="left"/>
        </w:tabs>
        <w:numPr>
          <w:ilvl w:val="1"/>
          <w:numId w:val="8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part of, or which are reasonably necessary or appropriate (as determined by the Issuer in good faith) to effect or facilitate, the Separation, including the Restructuring, the Issuer Distribution and the Distribution, or otherwise pursuant to Separation Agreements; and</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524"/>
          </w:cols>
          <w:pgMar w:left="876" w:top="271" w:right="499" w:bottom="1440" w:gutter="0" w:footer="0" w:header="0"/>
        </w:sectPr>
      </w:pPr>
    </w:p>
    <w:bookmarkStart w:id="625" w:name="page626"/>
    <w:bookmarkEnd w:id="625"/>
    <w:p>
      <w:pPr>
        <w:ind w:left="4" w:firstLine="419"/>
        <w:spacing w:after="0" w:line="256" w:lineRule="auto"/>
        <w:tabs>
          <w:tab w:leader="none" w:pos="771"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Investments in or relating to any Receivables Entity that, in the good faith determination of the Issuer, are necessary or advisable to effect a receivables facility (including any contribution of replacement or substitute assets to such Subsidiary) or any repurchases in connection therewith (including the contribution or lending of Cash or Cash Equivalents to Subsidiaries to finance the purchase of such assets from the Issuer or any Restricted Subsidiary or to otherwise fund required reserves and Investments of funds held in accounts permitted or required by the arrangements governing such receivables facility or any related Indebtedness) and (ii) any Investment by a Receivables Entity in any other Person, in each case, in connection with a receivables facility.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 w:right="380" w:firstLine="419"/>
        <w:spacing w:after="0" w:line="282" w:lineRule="auto"/>
        <w:tabs>
          <w:tab w:leader="none" w:pos="681"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created to secure Indebtedness and other Obligations under Credit Facilities that were or will be permitted by the terms of this Indenture to be incurred under </w:t>
      </w:r>
      <w:r>
        <w:rPr>
          <w:rFonts w:ascii="Times New Roman" w:cs="Times New Roman" w:eastAsia="Times New Roman" w:hAnsi="Times New Roman"/>
          <w:sz w:val="18"/>
          <w:szCs w:val="18"/>
          <w:u w:val="single" w:color="auto"/>
          <w:color w:val="auto"/>
        </w:rPr>
        <w:t>Section 4.09(b)(i)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(xxxiv)</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or other governmental charges which are not overdue for a period of more than 60 days or, if more than 60 days overdue</w:t>
      </w:r>
    </w:p>
    <w:p>
      <w:pPr>
        <w:spacing w:after="0" w:line="27" w:lineRule="exact"/>
        <w:rPr>
          <w:rFonts w:ascii="Times New Roman" w:cs="Times New Roman" w:eastAsia="Times New Roman" w:hAnsi="Times New Roman"/>
          <w:sz w:val="18"/>
          <w:szCs w:val="18"/>
          <w:color w:val="auto"/>
        </w:rPr>
      </w:pPr>
    </w:p>
    <w:p>
      <w:pPr>
        <w:ind w:left="4" w:right="40" w:hanging="4"/>
        <w:spacing w:after="0" w:line="253" w:lineRule="auto"/>
        <w:tabs>
          <w:tab w:leader="none" w:pos="258"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are being contested in good faith by appropriate proceedings promptly instituted and diligently conducted, (ii) adequate reserves or other appropriate provisions, as are required in conformity with GAAP, have been made therefor and (iii) in the case of a Tax which has or may become a Lien against a material portion of the Collateral, such contest proceedings conclusively operate to stay the sale of such portion of the Collateral to satisfy such Tax or (y) with respect to which the failure to make payment would not reasonably be expected to materially adversely affect the rights of the Holders of the Notes;</w:t>
      </w:r>
    </w:p>
    <w:p>
      <w:pPr>
        <w:spacing w:after="0" w:line="78"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(and rights of set-off) of landlords, sub landlords, construction contractors, banks, carriers,</w:t>
      </w:r>
    </w:p>
    <w:p>
      <w:pPr>
        <w:spacing w:after="0" w:line="27" w:lineRule="exact"/>
        <w:rPr>
          <w:rFonts w:ascii="Times New Roman" w:cs="Times New Roman" w:eastAsia="Times New Roman" w:hAnsi="Times New Roman"/>
          <w:sz w:val="18"/>
          <w:szCs w:val="18"/>
          <w:color w:val="auto"/>
        </w:rPr>
      </w:pPr>
    </w:p>
    <w:p>
      <w:pPr>
        <w:ind w:left="4" w:right="200"/>
        <w:spacing w:after="0" w:line="26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warehousemen, mechanics, repairmen, workmen and materialmen, and other Liens imposed by applicable Requirements of Law, in each case incurred in the ordinary course of business (i) for amounts not yet overdue by more than 60 days, (ii) for amounts that are overdue by more than</w:t>
      </w:r>
    </w:p>
    <w:p>
      <w:pPr>
        <w:ind w:left="4"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 days (A) that are being contested in good faith by appropriate proceedings, so long as any reserves or other appropriate provisions required by GAAP have been made for any such contested amounts or (B) with respect to which no filing or other action has been taken to enforce such Lien or (iii) with respect to which the failure to make payment would not reasonably be expected to materially adversely affect the rights of the Holders of the Notes;</w:t>
      </w:r>
    </w:p>
    <w:p>
      <w:pPr>
        <w:spacing w:after="0" w:line="80"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681" w:val="left"/>
        </w:tabs>
        <w:numPr>
          <w:ilvl w:val="1"/>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incurred (i) in the ordinary course of business in connection with workers’ compensation, unemployment insurance, health, disability or employee benefits and other types of social security laws and regulations, or otherwise securing obligations incurred under </w:t>
      </w:r>
      <w:r>
        <w:rPr>
          <w:rFonts w:ascii="Times New Roman" w:cs="Times New Roman" w:eastAsia="Times New Roman" w:hAnsi="Times New Roman"/>
          <w:sz w:val="18"/>
          <w:szCs w:val="18"/>
          <w:u w:val="single" w:color="auto"/>
          <w:color w:val="auto"/>
        </w:rPr>
        <w:t>Section 4.09(b)(xxi)</w:t>
      </w:r>
      <w:r>
        <w:rPr>
          <w:rFonts w:ascii="Times New Roman" w:cs="Times New Roman" w:eastAsia="Times New Roman" w:hAnsi="Times New Roman"/>
          <w:sz w:val="18"/>
          <w:szCs w:val="18"/>
          <w:color w:val="auto"/>
        </w:rPr>
        <w:t xml:space="preserve">, (ii) in the ordinary course of business to secure the performance of tenders, statutory obligations, warranties, surety, stay, customs and appeal bonds, bids, leases, government contracts, trade contracts (including customer contracts), indemnitees, performance, completion and return-of-money bonds and other similar obligations (including those to secure (x) obligations incurred under </w:t>
      </w:r>
      <w:r>
        <w:rPr>
          <w:rFonts w:ascii="Times New Roman" w:cs="Times New Roman" w:eastAsia="Times New Roman" w:hAnsi="Times New Roman"/>
          <w:sz w:val="18"/>
          <w:szCs w:val="18"/>
          <w:u w:val="single" w:color="auto"/>
          <w:color w:val="auto"/>
        </w:rPr>
        <w:t>Section 4.09(b)(vi)</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safety and environmental obligations and (z) letters of</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564"/>
          </w:cols>
          <w:pgMar w:left="876" w:top="270" w:right="459" w:bottom="1440" w:gutter="0" w:footer="0" w:header="0"/>
        </w:sectPr>
      </w:pPr>
    </w:p>
    <w:bookmarkStart w:id="626" w:name="page627"/>
    <w:bookmarkEnd w:id="626"/>
    <w:p>
      <w:pPr>
        <w:ind w:left="4"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and bank guarantees required or requested by any Governmental Authority in connection with any contract or Requirements of Law) (exclusive of obligations for the payment of borrowed money), (iii) pursuant to pledges and deposits of Cash or Cash Equivalents in the ordinary course of business securing (x) any liability for reimbursement (including in respect of deductibles, self-insurance retention amounts and premiums and adjustments related thereto), premium or indemnification (including obligations in respect of letters of credit, bank guarantees or similar documents or instruments for the benefit of) obligations of insurance brokers or carriers providing property, casualty, liability or other insurance or self-insurance to the Issuer and its subsidiaries (including deductibles, self-insurance, co-payment, co-insurance and retentions) or</w:t>
      </w:r>
    </w:p>
    <w:p>
      <w:pPr>
        <w:spacing w:after="0" w:line="5" w:lineRule="exact"/>
        <w:rPr>
          <w:sz w:val="20"/>
          <w:szCs w:val="20"/>
          <w:color w:val="auto"/>
        </w:rPr>
      </w:pPr>
    </w:p>
    <w:p>
      <w:pPr>
        <w:ind w:left="4" w:right="220" w:hanging="4"/>
        <w:spacing w:after="0" w:line="265" w:lineRule="auto"/>
        <w:tabs>
          <w:tab w:leader="none" w:pos="258" w:val="left"/>
        </w:tabs>
        <w:numPr>
          <w:ilvl w:val="0"/>
          <w:numId w:val="8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sub-leases, licenses or sub-licenses of property otherwise not prohibited by this Indenture and (iv) to secure obligations in respect of letters of credit, bank guaranties, surety bonds, performance bonds or similar instruments posted with respect to the items described in clauses</w:t>
      </w:r>
    </w:p>
    <w:p>
      <w:pPr>
        <w:ind w:left="224" w:hanging="224"/>
        <w:spacing w:after="0"/>
        <w:tabs>
          <w:tab w:leader="none" w:pos="224" w:val="left"/>
        </w:tabs>
        <w:numPr>
          <w:ilvl w:val="0"/>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(iii) above;</w:t>
      </w:r>
    </w:p>
    <w:p>
      <w:pPr>
        <w:spacing w:after="0" w:line="98" w:lineRule="exact"/>
        <w:rPr>
          <w:rFonts w:ascii="Times New Roman" w:cs="Times New Roman" w:eastAsia="Times New Roman" w:hAnsi="Times New Roman"/>
          <w:sz w:val="18"/>
          <w:szCs w:val="18"/>
          <w:color w:val="auto"/>
        </w:rPr>
      </w:pPr>
    </w:p>
    <w:p>
      <w:pPr>
        <w:ind w:left="4" w:firstLine="419"/>
        <w:spacing w:after="0" w:line="254" w:lineRule="auto"/>
        <w:tabs>
          <w:tab w:leader="none" w:pos="681" w:val="left"/>
        </w:tabs>
        <w:numPr>
          <w:ilvl w:val="1"/>
          <w:numId w:val="8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consisting of easements, covenants, conditions, site plan agreements, development agreements, operating agreements, cross-easement agreements, reciprocal easement agreements and encumbrances, applicable laws and municipal ordinances, rights-of-way, rights, waivers, reservations, restrictions, encroachments, servitudes for railways, sewers, drains, gas and oil and other pipelines, gas and water mains, electric light and power and telecommunication, telephone or telegraph or cable television conduits, poles, wires and cables and other similar protrusions or encumbrances, agreements and other similar matters of fact or record and matters that would be disclosed by a survey or inspection of any real property and other minor defects or irregularities in title, in each case (x) which do not, in the aggregate, materially interfere with the ordinary conduct of the business of the Issuer and/or its Restricted Subsidiaries, taken as a whole, or materially interfere with the use of the affected property for its intended purpose or (y) where the failure to have such title or having such Lien would not reasonably be expected to materially adversely affect the rights of the Holders of the Notes;</w:t>
      </w:r>
    </w:p>
    <w:p>
      <w:pPr>
        <w:spacing w:after="0" w:line="80" w:lineRule="exact"/>
        <w:rPr>
          <w:rFonts w:ascii="Times New Roman" w:cs="Times New Roman" w:eastAsia="Times New Roman" w:hAnsi="Times New Roman"/>
          <w:sz w:val="18"/>
          <w:szCs w:val="18"/>
          <w:color w:val="auto"/>
        </w:rPr>
      </w:pPr>
    </w:p>
    <w:p>
      <w:pPr>
        <w:ind w:left="4" w:right="60" w:firstLine="419"/>
        <w:spacing w:after="0" w:line="276" w:lineRule="auto"/>
        <w:tabs>
          <w:tab w:leader="none" w:pos="681" w:val="left"/>
        </w:tabs>
        <w:numPr>
          <w:ilvl w:val="1"/>
          <w:numId w:val="8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consisting of any (i) interest or title of a lessor, sub-lessor, licensor or sub-licensor under any lease, sub-lease, license, sub-license or similar arrangement of real estate or other property (including any technology or intellectual property) not prohibited by this Indenture,</w:t>
      </w:r>
    </w:p>
    <w:p>
      <w:pPr>
        <w:ind w:left="4" w:right="60" w:hanging="4"/>
        <w:spacing w:after="0" w:line="252" w:lineRule="auto"/>
        <w:tabs>
          <w:tab w:leader="none" w:pos="268"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lien arising by law or permitted by the terms of any lease, sub-lease, license, sub-license or similar arrangement, (iii) restriction or encumbrance to which the interest or title of such lessor, sub-lessor, licensor or sub-licensor may be subject, (iv) subordination of the interest of the lessee, sub-lessee, licensee or sub-licensee under such lease, sub-lease, license, sub-license or similar arrangement to any restriction or encumbrance referred to in the preceding clause (iii) or (v) deposit of cash with the owner or lessor of premises leased and operated by the Issuer or any Restricted Subsidiary in the ordinary course of business to secure the performance of obligations under the terms of the lease for such premises;</w:t>
      </w:r>
    </w:p>
    <w:p>
      <w:pPr>
        <w:spacing w:after="0" w:line="122"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04"/>
          </w:cols>
          <w:pgMar w:left="876" w:top="271" w:right="519" w:bottom="1440" w:gutter="0" w:footer="0" w:header="0"/>
        </w:sectPr>
      </w:pPr>
    </w:p>
    <w:bookmarkStart w:id="627" w:name="page628"/>
    <w:bookmarkEnd w:id="627"/>
    <w:p>
      <w:pPr>
        <w:ind w:left="4" w:right="100" w:firstLine="419"/>
        <w:spacing w:after="0" w:line="255" w:lineRule="auto"/>
        <w:tabs>
          <w:tab w:leader="none" w:pos="681" w:val="left"/>
        </w:tabs>
        <w:numPr>
          <w:ilvl w:val="1"/>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 solely on any Cash (or Cash Equivalent) earnest money deposits (including as part of any escrow arrangement) made by the Issuer and/or any of its Restricted Subsidiaries in connection with any letter of intent or purchase agreement with respect to any Investment not prohibited by this Indenture (or to secure letters of credit, bank guarantees or similar instruments posted in respect thereof), (ii) on advances of Cash or Cash Equivalents in favor of the seller of any property to be acquired in an Investment permitted pursuant to the definition of “Permitted Investments” or under Section 4.08(a)(3) hereof or (iii) consisting of (A) an agreement to dispose of any property in a transaction not prohibited by this Indenture and/or (B) the pledge of Cash or Cash Equivalents as part of an escrow or similar arrangement required in any disposition not prohibited by this Indenture;</w:t>
      </w:r>
    </w:p>
    <w:p>
      <w:pPr>
        <w:spacing w:after="0" w:line="80" w:lineRule="exact"/>
        <w:rPr>
          <w:rFonts w:ascii="Times New Roman" w:cs="Times New Roman" w:eastAsia="Times New Roman" w:hAnsi="Times New Roman"/>
          <w:sz w:val="18"/>
          <w:szCs w:val="18"/>
          <w:color w:val="auto"/>
        </w:rPr>
      </w:pPr>
    </w:p>
    <w:p>
      <w:pPr>
        <w:ind w:left="4" w:right="40" w:firstLine="419"/>
        <w:spacing w:after="0" w:line="276" w:lineRule="auto"/>
        <w:tabs>
          <w:tab w:leader="none" w:pos="681" w:val="left"/>
        </w:tabs>
        <w:numPr>
          <w:ilvl w:val="1"/>
          <w:numId w:val="8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precautionary or purported Liens evidenced by the filing of UCC financing statements or similar financing statements under applicable Requirements of Law relating solely to (i) operating leases or consignment or bailee arrangements entered into in the ordinary course of business,</w:t>
      </w:r>
    </w:p>
    <w:p>
      <w:pPr>
        <w:ind w:left="4" w:hanging="4"/>
        <w:spacing w:after="0" w:line="255" w:lineRule="auto"/>
        <w:tabs>
          <w:tab w:leader="none" w:pos="268"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accounts receivable in the ordinary course of business for which a UCC financing statement or similar financing statement under applicable Requirements of Law is required and/or (iii) the sale of Permitted Receivables Facility Assets and related assets in connection with any receivables facility ;</w:t>
      </w:r>
    </w:p>
    <w:p>
      <w:pPr>
        <w:spacing w:after="0" w:line="77"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81" w:val="left"/>
        </w:tabs>
        <w:numPr>
          <w:ilvl w:val="1"/>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customs and revenue authorities arising as a matter of Law to secure payment of customs duties in connection with the importation of goods;</w:t>
      </w:r>
    </w:p>
    <w:p>
      <w:pPr>
        <w:spacing w:after="0" w:line="53" w:lineRule="exact"/>
        <w:rPr>
          <w:rFonts w:ascii="Times New Roman" w:cs="Times New Roman" w:eastAsia="Times New Roman" w:hAnsi="Times New Roman"/>
          <w:sz w:val="18"/>
          <w:szCs w:val="18"/>
          <w:color w:val="auto"/>
        </w:rPr>
      </w:pPr>
    </w:p>
    <w:p>
      <w:pPr>
        <w:ind w:left="4" w:right="420" w:firstLine="419"/>
        <w:spacing w:after="0" w:line="266" w:lineRule="auto"/>
        <w:tabs>
          <w:tab w:leader="none" w:pos="771" w:val="left"/>
        </w:tabs>
        <w:numPr>
          <w:ilvl w:val="1"/>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any zoning, building or similar Requirements of Law or right reserved to or vested in any Governmental Authority to control or regulate the use of any dimensions of real property or any structure thereon, including Liens in connection with any condemnation, expropriation or eminent domain proceeding or compulsory purchase order;</w:t>
      </w:r>
    </w:p>
    <w:p>
      <w:pPr>
        <w:spacing w:after="0" w:line="67" w:lineRule="exact"/>
        <w:rPr>
          <w:rFonts w:ascii="Times New Roman" w:cs="Times New Roman" w:eastAsia="Times New Roman" w:hAnsi="Times New Roman"/>
          <w:sz w:val="18"/>
          <w:szCs w:val="18"/>
          <w:color w:val="auto"/>
        </w:rPr>
      </w:pPr>
    </w:p>
    <w:p>
      <w:pPr>
        <w:ind w:left="4" w:firstLine="419"/>
        <w:spacing w:after="0" w:line="255" w:lineRule="auto"/>
        <w:tabs>
          <w:tab w:leader="none" w:pos="765" w:val="left"/>
        </w:tabs>
        <w:numPr>
          <w:ilvl w:val="1"/>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to secure any Refinancing Indebtedness permitted to be incurred under this Indenture; provided, however, that (a) the new Lien shall be limited to all or part of the same property and assets that secured or, under the written agreements pursuant to which the original Lien arose, could (or would have been required to) secure the original Lien or after-acquired property that is affixed or incorporated into the property covered by such Lien or financed by Indebtedness not prohibited by this Indenture (plus improvements and accessions to such property or proceeds or distributions thereof); and (b) the Indebtedness secured by the new Lien is not increased to any amount greater than the sum of (x) the outstanding principal amount or, if greater, committed amount, of the Refinancing Indebtedness and (y) an amount necessary to pay any fees and expenses, including premiums, related to such refinancing, refunding, extension, renewal or replacement;</w:t>
      </w:r>
    </w:p>
    <w:p>
      <w:pPr>
        <w:spacing w:after="0" w:line="80" w:lineRule="exact"/>
        <w:rPr>
          <w:rFonts w:ascii="Times New Roman" w:cs="Times New Roman" w:eastAsia="Times New Roman" w:hAnsi="Times New Roman"/>
          <w:sz w:val="18"/>
          <w:szCs w:val="18"/>
          <w:color w:val="auto"/>
        </w:rPr>
      </w:pPr>
    </w:p>
    <w:p>
      <w:pPr>
        <w:ind w:left="4" w:right="140" w:firstLine="419"/>
        <w:spacing w:after="0" w:line="258" w:lineRule="auto"/>
        <w:tabs>
          <w:tab w:leader="none" w:pos="771" w:val="left"/>
        </w:tabs>
        <w:numPr>
          <w:ilvl w:val="1"/>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or contractually committed or contemplated as of, the Escrow Release Date and in each case any modification, replacement, refinancing, renewal or extension thereof; provided that (i) no such Lien extends to any additional property other than property required to be covered thereby and (A) after-acquired property that is affixed or incorporated into the property covered by such Lien or financed by Indebtedness not prohibited by this Indenture and (B) proceeds and products thereof, replacements, accessions or additions thereto and improvements thereon (it being understood that individual financings of the type permitted under </w:t>
      </w:r>
      <w:r>
        <w:rPr>
          <w:rFonts w:ascii="Times New Roman" w:cs="Times New Roman" w:eastAsia="Times New Roman" w:hAnsi="Times New Roman"/>
          <w:sz w:val="18"/>
          <w:szCs w:val="18"/>
          <w:u w:val="single" w:color="auto"/>
          <w:color w:val="auto"/>
        </w:rPr>
        <w:t>Section 4.09(b)(xiii)</w:t>
      </w:r>
    </w:p>
    <w:p>
      <w:pPr>
        <w:spacing w:after="0" w:line="116"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524"/>
          </w:cols>
          <w:pgMar w:left="876" w:top="270" w:right="499" w:bottom="1440" w:gutter="0" w:footer="0" w:header="0"/>
        </w:sectPr>
      </w:pPr>
    </w:p>
    <w:bookmarkStart w:id="628" w:name="page629"/>
    <w:bookmarkEnd w:id="62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by any lender may be cross-collateralized to other financings of such type provided by such lender or its affiliates) and (ii) any such modification, replacement, refinancing, renewal or extension of the obligations secured or benefited by such Liens, if constituting Indebtedness, is not prohibited by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419"/>
        <w:spacing w:after="0" w:line="270" w:lineRule="auto"/>
        <w:tabs>
          <w:tab w:leader="none" w:pos="768" w:val="left"/>
        </w:tabs>
        <w:numPr>
          <w:ilvl w:val="0"/>
          <w:numId w:val="8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securing Indebtedness permitted pursuant to </w:t>
      </w:r>
      <w:r>
        <w:rPr>
          <w:rFonts w:ascii="Times New Roman" w:cs="Times New Roman" w:eastAsia="Times New Roman" w:hAnsi="Times New Roman"/>
          <w:sz w:val="17"/>
          <w:szCs w:val="17"/>
          <w:u w:val="single" w:color="auto"/>
          <w:color w:val="auto"/>
        </w:rPr>
        <w:t>Section 4.09(b)(xiii)</w:t>
      </w:r>
      <w:r>
        <w:rPr>
          <w:rFonts w:ascii="Times New Roman" w:cs="Times New Roman" w:eastAsia="Times New Roman" w:hAnsi="Times New Roman"/>
          <w:sz w:val="17"/>
          <w:szCs w:val="17"/>
          <w:color w:val="auto"/>
        </w:rPr>
        <w:t>; provided that any such Lien shall encumber only the assets (including Capital Stock) acquired, constructed, repaired, replaced or improved with the proceeds of such Indebtedness, or the assets subject to the sale and lease back transaction, as applicable, and proceeds and products thereof, replacements, accessions or additions thereto and improvements thereon and customary security deposits with respect thereto (it being understood that individual financings of the type permitted under</w:t>
      </w:r>
    </w:p>
    <w:p>
      <w:pPr>
        <w:spacing w:after="0" w:line="2"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4.09(b)(xiii)</w:t>
      </w:r>
      <w:r>
        <w:rPr>
          <w:rFonts w:ascii="Times New Roman" w:cs="Times New Roman" w:eastAsia="Times New Roman" w:hAnsi="Times New Roman"/>
          <w:sz w:val="18"/>
          <w:szCs w:val="18"/>
          <w:color w:val="auto"/>
        </w:rPr>
        <w:t xml:space="preserve"> provided by any lender may be cross-collateralized to other financings of such type provided by such lender or its affiliates);</w:t>
      </w:r>
    </w:p>
    <w:p>
      <w:pPr>
        <w:spacing w:after="0" w:line="98" w:lineRule="exact"/>
        <w:rPr>
          <w:rFonts w:ascii="Times New Roman" w:cs="Times New Roman" w:eastAsia="Times New Roman" w:hAnsi="Times New Roman"/>
          <w:sz w:val="17"/>
          <w:szCs w:val="17"/>
          <w:color w:val="auto"/>
        </w:rPr>
      </w:pPr>
    </w:p>
    <w:p>
      <w:pPr>
        <w:ind w:firstLine="419"/>
        <w:spacing w:after="0" w:line="253" w:lineRule="auto"/>
        <w:tabs>
          <w:tab w:leader="none" w:pos="768"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pursuant to </w:t>
      </w:r>
      <w:r>
        <w:rPr>
          <w:rFonts w:ascii="Times New Roman" w:cs="Times New Roman" w:eastAsia="Times New Roman" w:hAnsi="Times New Roman"/>
          <w:sz w:val="18"/>
          <w:szCs w:val="18"/>
          <w:u w:val="single" w:color="auto"/>
          <w:color w:val="auto"/>
        </w:rPr>
        <w:t>Section 4.09(b)(xiv)</w:t>
      </w:r>
      <w:r>
        <w:rPr>
          <w:rFonts w:ascii="Times New Roman" w:cs="Times New Roman" w:eastAsia="Times New Roman" w:hAnsi="Times New Roman"/>
          <w:sz w:val="18"/>
          <w:szCs w:val="18"/>
          <w:color w:val="auto"/>
        </w:rPr>
        <w:t xml:space="preserve">; provided that (a) in that case of Liens securing Indebtedness incurred pursuant to </w:t>
      </w:r>
      <w:r>
        <w:rPr>
          <w:rFonts w:ascii="Times New Roman" w:cs="Times New Roman" w:eastAsia="Times New Roman" w:hAnsi="Times New Roman"/>
          <w:sz w:val="18"/>
          <w:szCs w:val="18"/>
          <w:u w:val="single" w:color="auto"/>
          <w:color w:val="auto"/>
        </w:rPr>
        <w:t>Section 4.09(b)(xiv)</w:t>
      </w:r>
      <w:r>
        <w:rPr>
          <w:rFonts w:ascii="Times New Roman" w:cs="Times New Roman" w:eastAsia="Times New Roman" w:hAnsi="Times New Roman"/>
          <w:sz w:val="18"/>
          <w:szCs w:val="18"/>
          <w:color w:val="auto"/>
        </w:rPr>
        <w:t xml:space="preserve">(x), (i) any such Liens on property of a Person existing at the time such Person becomes a Restricted Subsidiary, or is acquired by, or merged with or into or consolidated or amalgamated with, the Issuer or any Restricted Subsidiary, were not incurred in contemplation of such Person becoming a Restricted Subsidiary or such acquisition, merger, consolidation or amalgamation and do not extend to any assets other than those of the Person that becomes a Restricted Subsidiary or that is merged with or into, or consolidated or amalgamated with or acquired by, the Issuer or the Restricted Subsidiary, and (ii) any such Liens on property existing at the time of acquisition of the property by the Issuer or any Restricted Subsidiary of the Issuer were not incurred in contemplation of such acquisition and (b) in case of first priority Liens on the Collateral securing Indebtedness incurred pursuant to </w:t>
      </w:r>
      <w:r>
        <w:rPr>
          <w:rFonts w:ascii="Times New Roman" w:cs="Times New Roman" w:eastAsia="Times New Roman" w:hAnsi="Times New Roman"/>
          <w:sz w:val="18"/>
          <w:szCs w:val="18"/>
          <w:u w:val="single" w:color="auto"/>
          <w:color w:val="auto"/>
        </w:rPr>
        <w:t>Section 4.09(b)(xiv)</w:t>
      </w:r>
      <w:r>
        <w:rPr>
          <w:rFonts w:ascii="Times New Roman" w:cs="Times New Roman" w:eastAsia="Times New Roman" w:hAnsi="Times New Roman"/>
          <w:sz w:val="18"/>
          <w:szCs w:val="18"/>
          <w:color w:val="auto"/>
        </w:rPr>
        <w:t>(y), on the date of such incurrence and after giving pro forma effect thereto, such Liens rank on a pari passu basis with the Liens securing the Notes and the Secured Net Leverage Ratio would be no greater than 2.00:1.00.</w:t>
      </w:r>
    </w:p>
    <w:p>
      <w:pPr>
        <w:spacing w:after="0" w:line="86" w:lineRule="exact"/>
        <w:rPr>
          <w:rFonts w:ascii="Times New Roman" w:cs="Times New Roman" w:eastAsia="Times New Roman" w:hAnsi="Times New Roman"/>
          <w:sz w:val="18"/>
          <w:szCs w:val="18"/>
          <w:color w:val="auto"/>
        </w:rPr>
      </w:pPr>
    </w:p>
    <w:p>
      <w:pPr>
        <w:ind w:right="40" w:firstLine="419"/>
        <w:spacing w:after="0" w:line="253" w:lineRule="auto"/>
        <w:tabs>
          <w:tab w:leader="none" w:pos="768"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that are contractual rights of set-off or netting or pledge relating to (A) the establishment of depositary relations with banks or other financial institutions not granted in connection with the issuance of Indebtedness, (B) pooled deposit or sweep accounts of the Issuer and/or any Restricted Subsidiary to permit satisfaction of overdraft or similar obligations incurred in the ordinary course of business of the Issuer and/or any Restricted Subsidiary, (C) purchase orders and other agreements entered into with customers of the Issuer and/or any Restricted Subsidiary in the ordinary course of business and (D) commodity trading or other brokerage accounts incurred in the ordinary course of business, (ii) Liens encumbering reasonable customary initial deposits and margin deposits, (iii) bankers Liens and rights and remedies as to deposit accounts or similar accounts, (iv) Liens of a collection bank arising under Section 4-208 or Section 4-210 of the UCC (or any similar Requirements of Law of any jurisdiction) on items in the ordinary course of business, (v) Liens (including rights of set-off) in favor of banking or other financial institutions arising as a matter of Law or under customary general terms and conditions encumbering deposits or other funds maintained with a financial</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40"/>
          </w:cols>
          <w:pgMar w:left="880" w:top="271" w:right="479" w:bottom="1440" w:gutter="0" w:footer="0" w:header="0"/>
        </w:sectPr>
      </w:pPr>
    </w:p>
    <w:bookmarkStart w:id="629" w:name="page630"/>
    <w:bookmarkEnd w:id="629"/>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institution and that are within the general parameters customary in the banking industry or arising pursuant to such banking institution’s general terms and conditions and (vi) Liens on the proceeds of any Indebtedness not prohibited by this Indenture incurred in connection with any transaction not prohibited by this Indenture, which proceeds have been deposited into an escrow account on customary terms to secure such Indebtedness pending the application of such proceeds to finance such transaction or on Cash or Cash Equivalents set aside at the time of the incurrence of such Indebtedness to the extent such Cash or Cash Equivalents prefund the payment of interest or fees on such Indebtedness and are held in escrow pending application for such purpose;</w:t>
      </w:r>
    </w:p>
    <w:p>
      <w:pPr>
        <w:spacing w:after="0" w:line="79" w:lineRule="exact"/>
        <w:rPr>
          <w:sz w:val="20"/>
          <w:szCs w:val="20"/>
          <w:color w:val="auto"/>
        </w:rPr>
      </w:pPr>
    </w:p>
    <w:p>
      <w:pPr>
        <w:ind w:left="4" w:right="60" w:firstLine="419"/>
        <w:spacing w:after="0" w:line="266" w:lineRule="auto"/>
        <w:tabs>
          <w:tab w:leader="none" w:pos="771"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assets and Capital Stock of Restricted Subsidiaries that are not Guarantors (including Capital Stock owned by such Persons) securing Indebtedness or other obligations of Restricted Subsidiaries that are not Guarantors permitted pursuant to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(or not prohibited under this Indenture);</w:t>
      </w:r>
    </w:p>
    <w:p>
      <w:pPr>
        <w:spacing w:after="0" w:line="67" w:lineRule="exact"/>
        <w:rPr>
          <w:rFonts w:ascii="Times New Roman" w:cs="Times New Roman" w:eastAsia="Times New Roman" w:hAnsi="Times New Roman"/>
          <w:sz w:val="18"/>
          <w:szCs w:val="18"/>
          <w:color w:val="auto"/>
        </w:rPr>
      </w:pPr>
    </w:p>
    <w:p>
      <w:pPr>
        <w:ind w:left="4" w:firstLine="419"/>
        <w:spacing w:after="0" w:line="282" w:lineRule="auto"/>
        <w:tabs>
          <w:tab w:leader="none" w:pos="771"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(other than obligations representing Indebtedness for borrowed money) under operating, reciprocal easement or similar agreements entered into in the ordinary course of business of the Issuer and/or their Restricted Subsidiaries;</w:t>
      </w:r>
    </w:p>
    <w:p>
      <w:pPr>
        <w:spacing w:after="0" w:line="53" w:lineRule="exact"/>
        <w:rPr>
          <w:rFonts w:ascii="Times New Roman" w:cs="Times New Roman" w:eastAsia="Times New Roman" w:hAnsi="Times New Roman"/>
          <w:sz w:val="18"/>
          <w:szCs w:val="18"/>
          <w:color w:val="auto"/>
        </w:rPr>
      </w:pPr>
    </w:p>
    <w:p>
      <w:pPr>
        <w:ind w:left="4" w:right="320" w:firstLine="419"/>
        <w:spacing w:after="0" w:line="266" w:lineRule="auto"/>
        <w:tabs>
          <w:tab w:leader="none" w:pos="771"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any Material Real Estate Asset, and any replacement, extension or renewal of any such Lien; provided that no such replacement, extension or renewal Lien shall cover any property other than the property that was subject to such Lien prior to such replacement, extension or renewal (and additions thereto, improvements thereon and the proceeds thereof);</w:t>
      </w:r>
    </w:p>
    <w:p>
      <w:pPr>
        <w:spacing w:after="0" w:line="6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771"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under or by reason of Indebtedness or other contractual requirements of a Securitization Special Purpose Entity or any Standard Securitization Undertaking, in each case in respect of this clause (19) in connection with a Qualified Securitization Transaction;</w:t>
      </w:r>
    </w:p>
    <w:p>
      <w:pPr>
        <w:spacing w:after="0" w:line="53"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771"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Indebtedness or other obligations in an aggregate principal amount outstanding at the time of incurrence not to exceed the sum of the greater of (a) $787.5 million and (b) 35.0% of LTM Consolidated Adjusted EBITDA;</w:t>
      </w:r>
    </w:p>
    <w:p>
      <w:pPr>
        <w:spacing w:after="0" w:line="53" w:lineRule="exact"/>
        <w:rPr>
          <w:rFonts w:ascii="Times New Roman" w:cs="Times New Roman" w:eastAsia="Times New Roman" w:hAnsi="Times New Roman"/>
          <w:sz w:val="18"/>
          <w:szCs w:val="18"/>
          <w:color w:val="auto"/>
        </w:rPr>
      </w:pPr>
    </w:p>
    <w:p>
      <w:pPr>
        <w:ind w:left="4" w:right="160" w:firstLine="419"/>
        <w:spacing w:after="0" w:line="266" w:lineRule="auto"/>
        <w:tabs>
          <w:tab w:leader="none" w:pos="771"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on assets securing judgments, awards, attachments and/or decrees and notices of lis pendens and associated rights relating to litigation (including appeal bonds) being contested in good faith not constituting an Event of Default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xml:space="preserve"> and (ii) any cash deposits securing any settlement of litigation;</w:t>
      </w:r>
    </w:p>
    <w:p>
      <w:pPr>
        <w:spacing w:after="0" w:line="67" w:lineRule="exact"/>
        <w:rPr>
          <w:rFonts w:ascii="Times New Roman" w:cs="Times New Roman" w:eastAsia="Times New Roman" w:hAnsi="Times New Roman"/>
          <w:sz w:val="18"/>
          <w:szCs w:val="18"/>
          <w:color w:val="auto"/>
        </w:rPr>
      </w:pPr>
    </w:p>
    <w:p>
      <w:pPr>
        <w:jc w:val="both"/>
        <w:ind w:left="4" w:right="140" w:firstLine="419"/>
        <w:spacing w:after="0" w:line="276" w:lineRule="auto"/>
        <w:tabs>
          <w:tab w:leader="none" w:pos="771" w:val="left"/>
        </w:tabs>
        <w:numPr>
          <w:ilvl w:val="1"/>
          <w:numId w:val="8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arising from (i) leases, licenses, subleases, sub-licenses or cross-licenses granted to others, (ii) assignments of IP Rights granted to a customer of the Issuer or any Restricted Subsidiary or otherwise in the ordinary course of business which do not secure any Indebtedness or</w:t>
      </w:r>
    </w:p>
    <w:p>
      <w:pPr>
        <w:ind w:left="4" w:right="80" w:hanging="4"/>
        <w:spacing w:after="0" w:line="255" w:lineRule="auto"/>
        <w:tabs>
          <w:tab w:leader="none" w:pos="318"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or vested in any Person (including any Governmental Authority) by the terms of any lease, sub-lease, license, sub-license, franchise, grant or permit held by the Issuer or any of the Restricted Subsidiaries or by a statutory provision, to terminate any such lease, sub-lease, license, sub-license, franchise, grant or permit, or to require annual or periodic payments as a condition to the continuance thereof;</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544"/>
          </w:cols>
          <w:pgMar w:left="876" w:top="270" w:right="479" w:bottom="1440" w:gutter="0" w:footer="0" w:header="0"/>
        </w:sectPr>
      </w:pPr>
    </w:p>
    <w:bookmarkStart w:id="630" w:name="page631"/>
    <w:bookmarkEnd w:id="630"/>
    <w:p>
      <w:pPr>
        <w:ind w:right="60" w:firstLine="419"/>
        <w:spacing w:after="0" w:line="282" w:lineRule="auto"/>
        <w:tabs>
          <w:tab w:leader="none" w:pos="768"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Securities or other assets that are the subject of repurchase agreements constituting Investments permitted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arising out of such repurchase transaction;</w:t>
      </w:r>
    </w:p>
    <w:p>
      <w:pPr>
        <w:spacing w:after="0" w:line="53" w:lineRule="exact"/>
        <w:rPr>
          <w:rFonts w:ascii="Times New Roman" w:cs="Times New Roman" w:eastAsia="Times New Roman" w:hAnsi="Times New Roman"/>
          <w:sz w:val="18"/>
          <w:szCs w:val="18"/>
          <w:color w:val="auto"/>
        </w:rPr>
      </w:pPr>
    </w:p>
    <w:p>
      <w:pPr>
        <w:ind w:right="440" w:firstLine="419"/>
        <w:spacing w:after="0" w:line="282" w:lineRule="auto"/>
        <w:tabs>
          <w:tab w:leader="none" w:pos="768"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letters of credit, bank guaranties, surety bonds, performance bonds or similar instruments permitted under </w:t>
      </w:r>
      <w:r>
        <w:rPr>
          <w:rFonts w:ascii="Times New Roman" w:cs="Times New Roman" w:eastAsia="Times New Roman" w:hAnsi="Times New Roman"/>
          <w:sz w:val="18"/>
          <w:szCs w:val="18"/>
          <w:u w:val="single" w:color="auto"/>
          <w:color w:val="auto"/>
        </w:rPr>
        <w:t>Section 4.09(b)(v)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(xxiii)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(xxiv)</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40" w:firstLine="419"/>
        <w:spacing w:after="0" w:line="266" w:lineRule="auto"/>
        <w:tabs>
          <w:tab w:leader="none" w:pos="768"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 out of conditional sale, title retention, consignment or similar arrangements for the sale of any assets or property and bailee arrangements in the ordinary course of business and not prohibited by this Indenture or (ii) by operation of law under Article 2 of the UCC (or any similar Requirements of Law of any jurisdiction);</w:t>
      </w:r>
    </w:p>
    <w:p>
      <w:pPr>
        <w:spacing w:after="0" w:line="67" w:lineRule="exact"/>
        <w:rPr>
          <w:rFonts w:ascii="Times New Roman" w:cs="Times New Roman" w:eastAsia="Times New Roman" w:hAnsi="Times New Roman"/>
          <w:sz w:val="18"/>
          <w:szCs w:val="18"/>
          <w:color w:val="auto"/>
        </w:rPr>
      </w:pPr>
    </w:p>
    <w:p>
      <w:pPr>
        <w:ind w:firstLine="419"/>
        <w:spacing w:after="0" w:line="266" w:lineRule="auto"/>
        <w:tabs>
          <w:tab w:leader="none" w:pos="768"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in favor of the Issuer or any Guarantor and/or (ii) granted by any Person other than the Issuer or any Guarantor in favor of any Restricted Subsidiary that is not a Guarantor, in the case of each of clauses (i) and (ii), securing intercompany Indebtedness permitted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or securing other intercompany obligations not prohibited hereunder;</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insurance policies and the proceeds thereof securing the financing of the premiums with respect thereto;</w:t>
      </w:r>
    </w:p>
    <w:p>
      <w:pPr>
        <w:spacing w:after="0" w:line="117" w:lineRule="exact"/>
        <w:rPr>
          <w:rFonts w:ascii="Times New Roman" w:cs="Times New Roman" w:eastAsia="Times New Roman" w:hAnsi="Times New Roman"/>
          <w:sz w:val="18"/>
          <w:szCs w:val="18"/>
          <w:color w:val="auto"/>
        </w:rPr>
      </w:pPr>
    </w:p>
    <w:p>
      <w:pPr>
        <w:ind w:right="280" w:firstLine="419"/>
        <w:spacing w:after="0" w:line="266" w:lineRule="auto"/>
        <w:tabs>
          <w:tab w:leader="none" w:pos="768"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specific items of inventory or other goods and the proceeds thereof securing the relevant Person’s obligations in respect of documentary letters of credit or banker’s acceptances issued or created for the account of such Person to facilitate the purchase, shipment or storage of such inventory or goods;</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 obligations under Hedge Agreements in connection with any Derivative Transaction of the type described in</w:t>
      </w:r>
    </w:p>
    <w:p>
      <w:pPr>
        <w:spacing w:after="0" w:line="27"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4.09(b)(xviii)</w:t>
      </w:r>
      <w:r>
        <w:rPr>
          <w:rFonts w:ascii="Times New Roman" w:cs="Times New Roman" w:eastAsia="Times New Roman" w:hAnsi="Times New Roman"/>
          <w:sz w:val="18"/>
          <w:szCs w:val="18"/>
          <w:color w:val="auto"/>
        </w:rPr>
        <w:t xml:space="preserve">, (ii) obligations of the type described in </w:t>
      </w:r>
      <w:r>
        <w:rPr>
          <w:rFonts w:ascii="Times New Roman" w:cs="Times New Roman" w:eastAsia="Times New Roman" w:hAnsi="Times New Roman"/>
          <w:sz w:val="18"/>
          <w:szCs w:val="18"/>
          <w:u w:val="single" w:color="auto"/>
          <w:color w:val="auto"/>
        </w:rPr>
        <w:t>Section 4.09(b)(vii)</w:t>
      </w:r>
      <w:r>
        <w:rPr>
          <w:rFonts w:ascii="Times New Roman" w:cs="Times New Roman" w:eastAsia="Times New Roman" w:hAnsi="Times New Roman"/>
          <w:sz w:val="18"/>
          <w:szCs w:val="18"/>
          <w:color w:val="auto"/>
        </w:rPr>
        <w:t xml:space="preserve"> or (iii) obligations of the type described in clause (xvii) or (xx) of </w:t>
      </w: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 which Liens (A) in each case under this clause (29), may be (but are not required to be) secured by all or any of the Collateral so long as the Lien on the Collateral is subject to an Acceptable Intercreditor Agreement and (B) in the case of clause (ii) (to the extent not secured as provided in clause (A)), may consist of pledges of Cash collateral in an amount not to exceed the greater of (a) $562.5 million and (b) 25.0% of LTM Consolidated Adjusted EBITDA;</w:t>
      </w:r>
    </w:p>
    <w:p>
      <w:pPr>
        <w:spacing w:after="0" w:line="79" w:lineRule="exact"/>
        <w:rPr>
          <w:sz w:val="20"/>
          <w:szCs w:val="20"/>
          <w:color w:val="auto"/>
        </w:rPr>
      </w:pPr>
    </w:p>
    <w:p>
      <w:pPr>
        <w:jc w:val="both"/>
        <w:ind w:right="500" w:firstLine="419"/>
        <w:spacing w:after="0" w:line="266" w:lineRule="auto"/>
        <w:tabs>
          <w:tab w:leader="none" w:pos="768"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Capital Stock of Joint Ventures or Unrestricted Subsidiaries securing capital contributions to, or obligations of, such Persons and (ii) customary rights of first refusal and tag, drag and similar rights in joint venture agreements and agreements with respect to non-Wholly-Owned Subsidiaries;</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or Cash Equivalents arising in connection with the defeasance, discharge or redemption of Indebtedness;</w:t>
      </w:r>
    </w:p>
    <w:p>
      <w:pPr>
        <w:spacing w:after="0" w:line="158"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00"/>
          </w:cols>
          <w:pgMar w:left="880" w:top="271" w:right="519" w:bottom="1440" w:gutter="0" w:footer="0" w:header="0"/>
        </w:sectPr>
      </w:pPr>
    </w:p>
    <w:bookmarkStart w:id="631" w:name="page632"/>
    <w:bookmarkEnd w:id="631"/>
    <w:p>
      <w:pPr>
        <w:ind w:left="760" w:hanging="341"/>
        <w:spacing w:after="0"/>
        <w:tabs>
          <w:tab w:leader="none" w:pos="76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assets not constituting Collateral;</w:t>
      </w:r>
    </w:p>
    <w:p>
      <w:pPr>
        <w:spacing w:after="0" w:line="117" w:lineRule="exact"/>
        <w:rPr>
          <w:rFonts w:ascii="Times New Roman" w:cs="Times New Roman" w:eastAsia="Times New Roman" w:hAnsi="Times New Roman"/>
          <w:sz w:val="18"/>
          <w:szCs w:val="18"/>
          <w:color w:val="auto"/>
        </w:rPr>
      </w:pPr>
    </w:p>
    <w:p>
      <w:pPr>
        <w:jc w:val="both"/>
        <w:ind w:right="220" w:firstLine="419"/>
        <w:spacing w:after="0" w:line="289" w:lineRule="auto"/>
        <w:tabs>
          <w:tab w:leader="none" w:pos="768" w:val="left"/>
        </w:tabs>
        <w:numPr>
          <w:ilvl w:val="0"/>
          <w:numId w:val="8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undetermined or inchoate Liens, rights of distress and charges incidental to current operations that have not at such time been filed or exercised, or which relate to obligations not due or payable or, if due, the validity of such Liens are being contested in good faith by appropriate actions diligently conducted, if adequate reserves with respect thereto are maintained on the books of such Person in accordance with GAAP;</w:t>
      </w:r>
    </w:p>
    <w:p>
      <w:pPr>
        <w:spacing w:after="0" w:line="47" w:lineRule="exact"/>
        <w:rPr>
          <w:rFonts w:ascii="Times New Roman" w:cs="Times New Roman" w:eastAsia="Times New Roman" w:hAnsi="Times New Roman"/>
          <w:sz w:val="17"/>
          <w:szCs w:val="17"/>
          <w:color w:val="auto"/>
        </w:rPr>
      </w:pPr>
    </w:p>
    <w:p>
      <w:pPr>
        <w:ind w:right="60" w:firstLine="419"/>
        <w:spacing w:after="0" w:line="284"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Foreign Subsidiary, Liens and privileges arising mandatorily by any Requirements of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Liens and privileges extend only to the assets or Capital Stock of such Foreign Subsidiary;</w:t>
      </w:r>
    </w:p>
    <w:p>
      <w:pPr>
        <w:spacing w:after="0" w:line="52" w:lineRule="exact"/>
        <w:rPr>
          <w:rFonts w:ascii="Times New Roman" w:cs="Times New Roman" w:eastAsia="Times New Roman" w:hAnsi="Times New Roman"/>
          <w:sz w:val="18"/>
          <w:szCs w:val="18"/>
          <w:color w:val="auto"/>
        </w:rPr>
      </w:pPr>
    </w:p>
    <w:p>
      <w:pPr>
        <w:ind w:right="620" w:firstLine="419"/>
        <w:spacing w:after="0" w:line="282"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or subleases in respect of real property on which facilities owned or leased by the Issuer or any of their Restricted Subsidiaries are located;</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in the business of the Issuer and its Restricted Subsidiaries and that do not secure debt for borrowed money;</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given to a public or private utility or any Governmental Authority as required in the ordinary course of business;</w:t>
      </w:r>
    </w:p>
    <w:p>
      <w:pPr>
        <w:spacing w:after="0" w:line="117" w:lineRule="exact"/>
        <w:rPr>
          <w:rFonts w:ascii="Times New Roman" w:cs="Times New Roman" w:eastAsia="Times New Roman" w:hAnsi="Times New Roman"/>
          <w:sz w:val="18"/>
          <w:szCs w:val="18"/>
          <w:color w:val="auto"/>
        </w:rPr>
      </w:pPr>
    </w:p>
    <w:p>
      <w:pPr>
        <w:ind w:right="220" w:firstLine="419"/>
        <w:spacing w:after="0" w:line="282"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progress payments and advances from customers in the ordinary course of business to the extent the same creates a Lien on the related inventory and proceeds;</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pursuant to Section 107(l) of the Comprehensive Environmental Response, Compensation and Liability Act or similar provision of any applicable law;</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nature of the right of setoff in favor of counterparties to contractual agreements with the Issuer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jc w:val="both"/>
        <w:ind w:firstLine="419"/>
        <w:spacing w:after="0" w:line="266"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granted pursuant to a security agreement between the Issuer or any Restricted Subsidiary and a licensee of IP Rights to secure the damages, if any, incurred by such licensee resulting from the rejection of the license of such licensee in a bankruptcy, insolvency, reorganization or similar proceeding with respect to the Issuer or such Restricted Subsidiary;</w:t>
      </w:r>
    </w:p>
    <w:p>
      <w:pPr>
        <w:spacing w:after="0" w:line="67" w:lineRule="exact"/>
        <w:rPr>
          <w:rFonts w:ascii="Times New Roman" w:cs="Times New Roman" w:eastAsia="Times New Roman" w:hAnsi="Times New Roman"/>
          <w:sz w:val="18"/>
          <w:szCs w:val="18"/>
          <w:color w:val="auto"/>
        </w:rPr>
      </w:pPr>
    </w:p>
    <w:p>
      <w:pPr>
        <w:ind w:right="580" w:firstLine="419"/>
        <w:spacing w:after="0" w:line="282" w:lineRule="auto"/>
        <w:tabs>
          <w:tab w:leader="none" w:pos="768"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solely in connection with rights of dissenting equity holders pursuant to any Requirements of Law in respect of the Transactions, any acquisition or other similar Investment not prohibited by this Indenture;</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connection with Permitted Treasury Arrangements;</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580"/>
          </w:cols>
          <w:pgMar w:left="880" w:top="270" w:right="439" w:bottom="1440" w:gutter="0" w:footer="0" w:header="0"/>
        </w:sectPr>
      </w:pPr>
    </w:p>
    <w:bookmarkStart w:id="632" w:name="page633"/>
    <w:bookmarkEnd w:id="632"/>
    <w:p>
      <w:pPr>
        <w:ind w:left="4" w:firstLine="419"/>
        <w:spacing w:after="0" w:line="256" w:lineRule="auto"/>
        <w:tabs>
          <w:tab w:leader="none" w:pos="771"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to secure any Indebtedness permitted to be incurred pursuant to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in the case of this subclause (a), at the time of its incurrence and after giving pro forma effect thereto, the Secured Net Leverage Ratio would be no greater than 2.00 to 1.00; and to the extent such Liens are on Collateral, an authorized representative of the holders of such Indebtedness shall execute a joinder to the Pari Passu Intercreditor Agreement (substantially in the form attached thereto) as a holder of Pari Passu Indebtedness or (b) such Liens rank junior to the liens securing the Notes and Note Guarantees pursuant to an Acceptable Intercreditor Agreement pursuant to which such representative shall agree with the representatives of the Notes and Note Guarantees and other Pari Passu Indebtedness that the Liens securing such Indebtedness are subordinated to the Liens securing obligations under the Notes and the Note Guarantees;</w:t>
      </w:r>
    </w:p>
    <w:p>
      <w:pPr>
        <w:spacing w:after="0" w:line="76"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by reason of deposits necessary to obtain standby letters of credit in the ordinary course of business;</w:t>
      </w:r>
    </w:p>
    <w:p>
      <w:pPr>
        <w:spacing w:after="0" w:line="117" w:lineRule="exact"/>
        <w:rPr>
          <w:rFonts w:ascii="Times New Roman" w:cs="Times New Roman" w:eastAsia="Times New Roman" w:hAnsi="Times New Roman"/>
          <w:sz w:val="18"/>
          <w:szCs w:val="18"/>
          <w:color w:val="auto"/>
        </w:rPr>
      </w:pPr>
    </w:p>
    <w:p>
      <w:pPr>
        <w:ind w:left="4" w:right="240" w:firstLine="419"/>
        <w:spacing w:after="0" w:line="266" w:lineRule="auto"/>
        <w:tabs>
          <w:tab w:leader="none" w:pos="771"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securing the Notes (other than any Additional Notes) and the Note Guarantees with respect thereto, and (ii) Liens securing obligations to the Trustee arising under this Indenture and similar Liens in favor of trustees, collateral agents, agents and representatives arising under instruments governing Indebtedness permitted to be incurred under this Indenture;</w:t>
      </w:r>
    </w:p>
    <w:p>
      <w:pPr>
        <w:spacing w:after="0" w:line="67"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771"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one or more local working capital facilities of Foreign Subsidiaries, so long as such Liens do not extend to the assets of any Person other than such foreign Restricted Subsidiaries;</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Liens on assets of Foreign Subsidiaries securing Indebtedness incurred by Foreign Subsidiaries pursuant to </w:t>
      </w:r>
      <w:r>
        <w:rPr>
          <w:rFonts w:ascii="Times New Roman" w:cs="Times New Roman" w:eastAsia="Times New Roman" w:hAnsi="Times New Roman"/>
          <w:sz w:val="18"/>
          <w:szCs w:val="18"/>
          <w:u w:val="single" w:color="auto"/>
          <w:color w:val="auto"/>
        </w:rPr>
        <w:t>Section 4.09(b)(x)</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of Non-Guarantor Subsidiaries securing Indebtedness incurred by Non-Guarantor Subsidiaries;</w:t>
      </w:r>
    </w:p>
    <w:p>
      <w:pPr>
        <w:spacing w:after="0" w:line="98"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Escrow Release Date, Liens on the Escrowed Funds securing the Notes;</w:t>
      </w:r>
    </w:p>
    <w:p>
      <w:pPr>
        <w:spacing w:after="0" w:line="117" w:lineRule="exact"/>
        <w:rPr>
          <w:rFonts w:ascii="Times New Roman" w:cs="Times New Roman" w:eastAsia="Times New Roman" w:hAnsi="Times New Roman"/>
          <w:sz w:val="18"/>
          <w:szCs w:val="18"/>
          <w:color w:val="auto"/>
        </w:rPr>
      </w:pPr>
    </w:p>
    <w:p>
      <w:pPr>
        <w:ind w:left="4" w:right="780" w:firstLine="419"/>
        <w:spacing w:after="0" w:line="282" w:lineRule="auto"/>
        <w:tabs>
          <w:tab w:leader="none" w:pos="771" w:val="left"/>
        </w:tabs>
        <w:numPr>
          <w:ilvl w:val="1"/>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Sale Leasebacks on the assets or property sold and leased back in such Sale Leaseback and Liens securing Refinancing Indebtedness thereof;</w:t>
      </w:r>
    </w:p>
    <w:p>
      <w:pPr>
        <w:spacing w:after="0" w:line="53" w:lineRule="exact"/>
        <w:rPr>
          <w:rFonts w:ascii="Times New Roman" w:cs="Times New Roman" w:eastAsia="Times New Roman" w:hAnsi="Times New Roman"/>
          <w:sz w:val="18"/>
          <w:szCs w:val="18"/>
          <w:color w:val="auto"/>
        </w:rPr>
      </w:pPr>
    </w:p>
    <w:p>
      <w:pPr>
        <w:ind w:left="4" w:right="460" w:firstLine="419"/>
        <w:spacing w:after="0" w:line="289" w:lineRule="auto"/>
        <w:tabs>
          <w:tab w:leader="none" w:pos="771" w:val="left"/>
        </w:tabs>
        <w:numPr>
          <w:ilvl w:val="1"/>
          <w:numId w:val="8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Liens on Permitted Receivables Facility Assets, and any other assets of any Receivables Entity, incurred in connection with a Permitted Receivables Facility, and (ii) Liens existing under or by reason of Indebtedness or other contractual requirements of a Receivables Entity or any Standard Securitization Undertaking, in each case in respect of this clause (ii) in connection with a receivables facility.</w:t>
      </w:r>
    </w:p>
    <w:p>
      <w:pPr>
        <w:spacing w:after="0" w:line="49" w:lineRule="exact"/>
        <w:rPr>
          <w:rFonts w:ascii="Times New Roman" w:cs="Times New Roman" w:eastAsia="Times New Roman" w:hAnsi="Times New Roman"/>
          <w:sz w:val="17"/>
          <w:szCs w:val="17"/>
          <w:color w:val="auto"/>
        </w:rPr>
      </w:pPr>
    </w:p>
    <w:p>
      <w:pPr>
        <w:ind w:left="764" w:hanging="341"/>
        <w:spacing w:after="0"/>
        <w:tabs>
          <w:tab w:leader="none" w:pos="764" w:val="left"/>
        </w:tabs>
        <w:numPr>
          <w:ilvl w:val="1"/>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(including negative pledges) on intellectual property arising from licenses or sublicenses of intellectual property; and</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564"/>
          </w:cols>
          <w:pgMar w:left="876" w:top="269" w:right="459" w:bottom="1440" w:gutter="0" w:footer="0" w:header="0"/>
        </w:sectPr>
      </w:pPr>
    </w:p>
    <w:bookmarkStart w:id="633" w:name="page634"/>
    <w:bookmarkEnd w:id="633"/>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(55) Liens in favor of Comcast and its Subsidiaries arising from Separation Agreements and not securing Indebtedness for borrowed money.</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 Permitted Lien meets the criteria of more than one of the types of Permitted Liens (at the time of incurrence or at a later date), the Issuer in its sole discretion may divide, classify or from time to time reclassify all or any portion of such Permitted Lien in any manner that complies with this definition and such Permitted Lien shall be treated as having been made pursuant only to the clause or clauses of the definition of Permitted Lien to which such Permitted Lien has been classified or reclassified.</w:t>
      </w:r>
    </w:p>
    <w:p>
      <w:pPr>
        <w:spacing w:after="0" w:line="176"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Payee”</w:t>
      </w:r>
      <w:r>
        <w:rPr>
          <w:rFonts w:ascii="Times New Roman" w:cs="Times New Roman" w:eastAsia="Times New Roman" w:hAnsi="Times New Roman"/>
          <w:sz w:val="18"/>
          <w:szCs w:val="18"/>
          <w:color w:val="auto"/>
        </w:rPr>
        <w:t xml:space="preserve"> means any future, current or former director, officer, member of management, manager, employee, independent contractor or consultant (or any Affiliate, Immediate Family Member or transferee of any of the foregoing) of the Issuer (or any subsidiary).</w:t>
      </w:r>
    </w:p>
    <w:p>
      <w:pPr>
        <w:spacing w:after="0" w:line="155" w:lineRule="exact"/>
        <w:rPr>
          <w:sz w:val="20"/>
          <w:szCs w:val="20"/>
          <w:color w:val="auto"/>
        </w:rPr>
      </w:pPr>
    </w:p>
    <w:p>
      <w:pPr>
        <w:ind w:right="1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Receivables Facility</w:t>
      </w:r>
      <w:r>
        <w:rPr>
          <w:rFonts w:ascii="Times New Roman" w:cs="Times New Roman" w:eastAsia="Times New Roman" w:hAnsi="Times New Roman"/>
          <w:sz w:val="18"/>
          <w:szCs w:val="18"/>
          <w:color w:val="auto"/>
        </w:rPr>
        <w:t>” means any transaction or series of transactions that may be entered into by the Issuer or any of its Restricted Subsidiaries pursuant to which the Issuer or such Restricted Subsidiary may sell, convey, grant a security interest in or otherwise transfer any Permitted Receivables Facility Assets (whether now existing or arising in the future) to either (a) a Person that is not a Restricted Subsidiary or (b) a Receivables Entity that in turn may sell, convey, grant a security interest in or otherwise transfer Permitted Receivables Facility Assets to a Person that is not a Restricted Subsidiary (or by borrowing from such a Person or from another Receivables Entity that in turn funds itself by borrowing from such a Person).</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Receivables Facility Assets</w:t>
      </w:r>
      <w:r>
        <w:rPr>
          <w:rFonts w:ascii="Times New Roman" w:cs="Times New Roman" w:eastAsia="Times New Roman" w:hAnsi="Times New Roman"/>
          <w:sz w:val="18"/>
          <w:szCs w:val="18"/>
          <w:color w:val="auto"/>
        </w:rPr>
        <w:t>” means (i) any and all receivables customarily transferred or in respect of which security interests are customarily granted in connection with receivables facilities and/or asset securitization transactions involving accounts receivable (as determined by the Issuer in good faith) by the Issuer or any of its Restricted Subsidiaries pursuant to documents relating to any Receivables Entity, (ii) all rights arising under the documentation governing or related to receivables (including rights in respect of Liens securing such receivables and other credit support in respect of such receivables), any proceeds of such receivables and any lockboxes or accounts in which such proceeds are deposited or received, spread accounts and other similar accounts (and any amounts on deposit therein) established in connection with a Permitted Receivables Facility, any warranty, indemnity, dilution and other claim arising out of the documents relating to such Permitted Receivables Facility, and all other assets, rights or interests which are customarily transferred or in respect of which security interests are customarily granted in connection with receivables facilities and/or asset securitizations involving accounts receivable (as determined by the Issuer in good faith, and including, for the avoidance of doubt, equity interests in any Receivables Entity) and (iii) all collections (including recoveries) and other proceeds of the assets described in the foregoing clauses (i) and (ii).</w:t>
      </w:r>
    </w:p>
    <w:p>
      <w:pPr>
        <w:spacing w:after="0" w:line="185"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any transaction or undertaking, including Investments, in connection with internal reorganizations and or restructurings (including in connection with tax planning and corporate reorganizations), so long as, after giving effect thereto, (a) the Issuer and the Guarantors shall comply with any requirements in this Indenture to designate each of their subsidiaries as a Guarantor and to add as Collateral the Capital Stock 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0"/>
          </w:cols>
          <w:pgMar w:left="440" w:top="270" w:right="459" w:bottom="1440" w:gutter="0" w:footer="0" w:header="0"/>
        </w:sectPr>
      </w:pPr>
    </w:p>
    <w:bookmarkStart w:id="634" w:name="page635"/>
    <w:bookmarkEnd w:id="634"/>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such Restricted Subsidiary owned by the Issuer or a Guarantor, as applicable, in each case to the extent required by this Indenture or the Collateral Documents and (b) the security interest of the Notes Collateral Agent in the Collateral, taken as a whole, is not materially impaired (including by a material portion of the assets that constitute Collateral immediately prior to such Permitted Reorganization no longer constituting Collateral) as a result of such Permitted Reorganization.</w:t>
      </w:r>
    </w:p>
    <w:p>
      <w:pPr>
        <w:spacing w:after="0" w:line="176"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Treasury Arrangements</w:t>
      </w:r>
      <w:r>
        <w:rPr>
          <w:rFonts w:ascii="Times New Roman" w:cs="Times New Roman" w:eastAsia="Times New Roman" w:hAnsi="Times New Roman"/>
          <w:sz w:val="18"/>
          <w:szCs w:val="18"/>
          <w:color w:val="auto"/>
        </w:rPr>
        <w:t>” means Banking Services entered into in the ordinary course of business and any transactions between or among the Issuer and its Subsidiaries that are entered into in the ordinary course of business in connection with such Banking Services.</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Warrant Transaction</w:t>
      </w:r>
      <w:r>
        <w:rPr>
          <w:rFonts w:ascii="Times New Roman" w:cs="Times New Roman" w:eastAsia="Times New Roman" w:hAnsi="Times New Roman"/>
          <w:sz w:val="18"/>
          <w:szCs w:val="18"/>
          <w:color w:val="auto"/>
        </w:rPr>
        <w:t>” means any call option, warrant or right to purchase (or similar transaction), on or linked to the Issuer’s or a Restricted Subsidiary’s Capital Stock, regardless of the issuer or seller thereof, issued substantially concurrently with any purchase of a related Permitted Bond Hedge Transaction.</w:t>
      </w:r>
    </w:p>
    <w:p>
      <w:pPr>
        <w:spacing w:after="0" w:line="171"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any other entity.</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means, with respect to any Person, any and all Capital Stock which is preferred as to the payment of dividends or distributions, upon liquidation or otherwise, over another class of Capital Stock of such Person.</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principal</w:t>
      </w:r>
      <w:r>
        <w:rPr>
          <w:rFonts w:ascii="Times New Roman" w:cs="Times New Roman" w:eastAsia="Times New Roman" w:hAnsi="Times New Roman"/>
          <w:sz w:val="18"/>
          <w:szCs w:val="18"/>
          <w:color w:val="auto"/>
        </w:rPr>
        <w:t>” of a debt security, including the Notes, means the principal of the security plus, when appropriate, the premium, if any, on the security.</w:t>
      </w:r>
    </w:p>
    <w:p>
      <w:pPr>
        <w:spacing w:after="0" w:line="15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 Placement Legend</w:t>
      </w:r>
      <w:r>
        <w:rPr>
          <w:rFonts w:ascii="Times New Roman" w:cs="Times New Roman" w:eastAsia="Times New Roman" w:hAnsi="Times New Roman"/>
          <w:sz w:val="18"/>
          <w:szCs w:val="18"/>
          <w:color w:val="auto"/>
        </w:rPr>
        <w:t xml:space="preserve">” means the legend set forth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to be placed on all Notes issued under this Indenture except where otherwise permitted by the provisions of this Indenture.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means, with respect to any determination of the Total Net Leverage Ratio, the Secured Net Leverage Ratio, the Consolidated Coverage Ratio, Consolidated Adjusted EBITDA, Consolidated Net Income or Consolidated Total Assets (including component definitions thereof), that each Subject Transaction shall be deemed to have occurred as of the first day of the applicable period (or, in the case of Consolidated Total Assets, with respect to any determination pertaining to the balance sheet, including the acquisition of Cash and Cash Equivalents in connection with an acquisition of a Person, business line, unit, division or product line, as of the last day of such period) with respect to any test or covenant for which such calculation is being made and that:</w:t>
      </w:r>
    </w:p>
    <w:p>
      <w:pPr>
        <w:spacing w:after="0" w:line="78" w:lineRule="exact"/>
        <w:rPr>
          <w:sz w:val="20"/>
          <w:szCs w:val="20"/>
          <w:color w:val="auto"/>
        </w:rPr>
      </w:pPr>
    </w:p>
    <w:p>
      <w:pPr>
        <w:ind w:left="440" w:firstLine="419"/>
        <w:spacing w:after="0" w:line="258" w:lineRule="auto"/>
        <w:tabs>
          <w:tab w:leader="none" w:pos="1108"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 any disposition of all or substantially all of the Capital Stock of any Restricted Subsidiary and/or any division and/or product line of the Issuer or any Restricted Subsidiary or (B) any designation of a Restricted Subsidiary as an Unrestricted Subsidiary, income statement items (whether positive or negative) attributable to the property or Person subject to such Subject Transaction, shall be excluded as of the first day of the applicable period with respect to any test or covenant for which the relevant determination is being made and (ii) in the case of any acquisition,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1" w:right="459" w:bottom="1440" w:gutter="0" w:footer="0" w:header="0"/>
        </w:sectPr>
      </w:pPr>
    </w:p>
    <w:bookmarkStart w:id="635" w:name="page636"/>
    <w:bookmarkEnd w:id="635"/>
    <w:p>
      <w:pPr>
        <w:ind w:left="440" w:right="1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 and/or designation of an Unrestricted Subsidiary as a Restricted Subsidiary described in the definition of the term “Subject Transaction”, income statement items (whether positive or negative) attributable to the property or Person subject to such Subject Transaction shall be included as of the first day of the applicable period with respect to any test or covenant for which the relevant determination is being made; provided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79" w:lineRule="exact"/>
        <w:rPr>
          <w:sz w:val="20"/>
          <w:szCs w:val="20"/>
          <w:color w:val="auto"/>
        </w:rPr>
      </w:pPr>
    </w:p>
    <w:p>
      <w:pPr>
        <w:ind w:left="440" w:right="240" w:firstLine="419"/>
        <w:spacing w:after="0" w:line="258" w:lineRule="auto"/>
        <w:tabs>
          <w:tab w:leader="none" w:pos="1118"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Expected Cost Savings as a result of any Cost Saving Initiative shall be calculated on a Pro Forma Basis as though such Expected Cost Savings had been realized on the first day of the applicable period and as if such Expected Cost Savings were realized in full during the entirety of such period; provided that any pro forma adjustment may be applied to any such test or covenant solely to the extent that such adjustment is consistent with, subject to the limitations set forth in and without duplication with respect to the application of, the definition of “Consolidated Adjusted EBITDA”,</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08"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retirement or repayment of Indebtedness (other than normal fluctuations in revolving Indebtedness incurred for working capital purposes) shall be deemed to have occurred as of the first day of the applicable period with respect to any test or covenant for which the relevant determination is being made, and</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118"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incurred by the Issuer or any of its Restricted Subsidiaries in connection therewith shall be deemed to have occurred as of the first day of the applicable period with respect to any test or covenant for which the relevant determination is being made; provided that (x) if such Indebtedness has a floating or formula rate, such Indebtedness shall have an implied rate of interest for the applicable period for purposes of this definition determined by utilizing the rate that is or would be in effect with respect to such Indebtedness at the relevant date of determination (taking into account any interest hedging arrangements applicable to such Indebtedness), (y) interest on any obligation with respect to any Finance Lease shall be deemed to accrue at an interest rate determined by an officer of the Issuer in good faith to be the rate of interest implicit in such obligation in accordance with GAAP and (z) interest on any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by the Issuer.</w:t>
      </w:r>
    </w:p>
    <w:p>
      <w:pPr>
        <w:spacing w:after="0" w:line="184"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means any right or interest in or to property of any kind whatsoever, whether real, personal or mixed and whether tangible or intangible, including Capital Stock.</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Charges associated with, or in anticipation of, or preparation for, compliance with the requirements of the Sarbanes-Oxley Act of 2002 and the rules and regulations promulgated in connection therewith and Charges relating to compliance with the provisions of the Securities Act and the Exchange Act (and, in each case, any similar</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00"/>
          </w:cols>
          <w:pgMar w:left="440" w:top="270" w:right="459" w:bottom="1440" w:gutter="0" w:footer="0" w:header="0"/>
        </w:sectPr>
      </w:pPr>
    </w:p>
    <w:bookmarkStart w:id="636" w:name="page637"/>
    <w:bookmarkEnd w:id="63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 of Law under any other applicable jurisdiction), as applicable to companies with equity or debt securities held by the public, the rules of national securities exchange companies with listed equity or debt securities, directors’ or managers’ compensation, fees and expense reimbursement, Charges relating to investor relations, shareholder meetings and reports to shareholders or debtholders, directors’ and officers’ insurance, listing fees and all executive, legal and professional fees and costs related to the foregoing.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Capital Stock</w:t>
      </w:r>
      <w:r>
        <w:rPr>
          <w:rFonts w:ascii="Times New Roman" w:cs="Times New Roman" w:eastAsia="Times New Roman" w:hAnsi="Times New Roman"/>
          <w:sz w:val="18"/>
          <w:szCs w:val="18"/>
          <w:color w:val="auto"/>
        </w:rPr>
        <w:t>” of any Person means any Capital Stock of such Person that is not Disqualified Stock.</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Securitization Transaction</w:t>
      </w:r>
      <w:r>
        <w:rPr>
          <w:rFonts w:ascii="Times New Roman" w:cs="Times New Roman" w:eastAsia="Times New Roman" w:hAnsi="Times New Roman"/>
          <w:sz w:val="18"/>
          <w:szCs w:val="18"/>
          <w:color w:val="auto"/>
        </w:rPr>
        <w:t>” means any transaction or series of transactions that may be entered into by the Issuer or any of its Restricted Subsidiaries pursuant to which the Issuer or such Restricted Subsidiary may sell, convey, grant a security interest in or otherwise transfer to a Securitization Special Purpose Entity, and such Securitization Special Purpose Entity may sell, convey, grant a security interest in or otherwise transfer to any other Person, any Securitization Program Assets (whether now existing or arising in the future).</w:t>
      </w:r>
    </w:p>
    <w:p>
      <w:pPr>
        <w:spacing w:after="0" w:line="176"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Rating Agency</w:t>
      </w:r>
      <w:r>
        <w:rPr>
          <w:rFonts w:ascii="Times New Roman" w:cs="Times New Roman" w:eastAsia="Times New Roman" w:hAnsi="Times New Roman"/>
          <w:sz w:val="18"/>
          <w:szCs w:val="18"/>
          <w:color w:val="auto"/>
        </w:rPr>
        <w:t>” means S&amp;P, Moody’s and Fitch or, if S&amp;P, Moody’s or Fitch or any or all of them shall not make a rating on the Notes publicly available, a nationally recognized statistical rating organization under the Exchange Act selected by the Issuer as a replacement agent for S&amp;P, Moody’s or Fitch or any or all of them, as the case may be.</w:t>
      </w:r>
    </w:p>
    <w:p>
      <w:pPr>
        <w:spacing w:after="0" w:line="171"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Interest Expense</w:t>
      </w:r>
      <w:r>
        <w:rPr>
          <w:rFonts w:ascii="Times New Roman" w:cs="Times New Roman" w:eastAsia="Times New Roman" w:hAnsi="Times New Roman"/>
          <w:sz w:val="18"/>
          <w:szCs w:val="18"/>
          <w:color w:val="auto"/>
        </w:rPr>
        <w:t>” means, with respect to any Person for any period, (a) consolidated total cash interest expense of such Person and its Restricted Subsidiaries for such period, (i) including the interest component of any payment under any Finance Lease (regardless of whether accounted for as interest expense under GAAP) and (ii) excluding (A) amortization, accretion or accrual of deferred financing fees, original issue discount, debt issuance costs, discounted liabilities, commissions, fees and expenses, (B) any expense arising from any bridge, commitment, structuring and/or other financing fee (including fees and expenses associated with the Transactions and agency and trustee fees), (C) any expense resulting from the discounting of Indebtedness in connection with the application of recapitalization accounting or, if applicable, acquisition accounting, (D) fees and expenses associated with any dispositions, acquisitions, Investments, issuances of Capital Stock or Indebtedness (in each case, whether or not consummated), (E) costs associated with obtaining, or breakage costs in respect of, any Hedge Agreement or any other derivative instrument other than any interest rate Hedge Agreement or interest rate derivative instrument with respect to Indebtedness, (F) penalties and interest relating to Taxes, (G) any “additional interest” or “liquidated damages” for failure to timely comply with registration rights obligations, (H) [reserved], (I) any payments with respect to make-whole, prepayment or repayment premiums or other breakage costs of any Indebtedness, (J) any interest expense attributable to the exercise of appraisal rights or other rights of dissenting shareholders and the settlement of any claims or actions (whether actual, contingent or potential) with respect thereto in connection with any acquisition or Investment not prohibited by this Indenture, (K) any lease, rental or other expense in connection with a Non-Finance Lease Obligation and (L) for the avoidance of doubt, any non-Cash interest expense attributable to any movement in the mark to market valuation of any obligation under any Hedge Agreement or any other derivative instrument and/or any payment obligation arising under any Hedge Agreement or derivative instrument other than any interest rate Hedge Agreement or interest rate derivative instrument</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1" w:right="459" w:bottom="1440" w:gutter="0" w:footer="0" w:header="0"/>
        </w:sectPr>
      </w:pPr>
    </w:p>
    <w:bookmarkStart w:id="637" w:name="page638"/>
    <w:bookmarkEnd w:id="637"/>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Indebtedness minus (b) cash interest income for such period. For purposes of this definition, (x) interest in respect of any Finance Lease shall be deemed to accrue at an interest rate determined by such Person in good faith to be the rate of interest implicit in such Finance Lease in accordance with GAAP and (y) for the avoidance of doubt, unless already included in the calculation of interest expense, interest expense shall be calculated after giving effect to any payments made or received under any Hedge Agreement or any other derivative instrument with respect to Indebtedness.</w:t>
      </w:r>
    </w:p>
    <w:p>
      <w:pPr>
        <w:spacing w:after="0" w:line="179" w:lineRule="exact"/>
        <w:rPr>
          <w:sz w:val="20"/>
          <w:szCs w:val="20"/>
          <w:color w:val="auto"/>
        </w:rPr>
      </w:pPr>
    </w:p>
    <w:p>
      <w:pPr>
        <w:jc w:val="both"/>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Real Estate Asset</w:t>
      </w:r>
      <w:r>
        <w:rPr>
          <w:rFonts w:ascii="Times New Roman" w:cs="Times New Roman" w:eastAsia="Times New Roman" w:hAnsi="Times New Roman"/>
          <w:sz w:val="18"/>
          <w:szCs w:val="18"/>
          <w:color w:val="auto"/>
        </w:rPr>
        <w:t>” means, at any time of determination, all right, title and interest of the Issuer or any Guarantor in and to all real property owned by such Person and all real property leased or subleased by such Person (in each case including, but not limited to, land, improvements and fixtures thereon).</w:t>
      </w:r>
    </w:p>
    <w:p>
      <w:pPr>
        <w:spacing w:after="0" w:line="171" w:lineRule="exact"/>
        <w:rPr>
          <w:sz w:val="20"/>
          <w:szCs w:val="20"/>
          <w:color w:val="auto"/>
        </w:rPr>
      </w:pPr>
    </w:p>
    <w:p>
      <w:pPr>
        <w:jc w:val="both"/>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Entity</w:t>
      </w:r>
      <w:r>
        <w:rPr>
          <w:rFonts w:ascii="Times New Roman" w:cs="Times New Roman" w:eastAsia="Times New Roman" w:hAnsi="Times New Roman"/>
          <w:sz w:val="18"/>
          <w:szCs w:val="18"/>
          <w:color w:val="auto"/>
        </w:rPr>
        <w:t>” means a wholly owned Subsidiary of the Issuer which engages in no activities other than in connection with facilitating or entering into one or more receivables facilities or any other Person formed for the purposes of engaging in a receivables facility in which the Issuer or any subsidiary makes an Investment and to which the Issuer or any subsidiary transfers Permitted Receivables Facility Assets.</w:t>
      </w:r>
    </w:p>
    <w:p>
      <w:pPr>
        <w:spacing w:after="0" w:line="171"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Fees</w:t>
      </w:r>
      <w:r>
        <w:rPr>
          <w:rFonts w:ascii="Times New Roman" w:cs="Times New Roman" w:eastAsia="Times New Roman" w:hAnsi="Times New Roman"/>
          <w:sz w:val="18"/>
          <w:szCs w:val="18"/>
          <w:color w:val="auto"/>
        </w:rPr>
        <w:t>” means distributions or payments made directly or by means of discounts with respect to any Permitted Receivables Facility Asset or participation interest therein issued or sold in connection with, and other fees and expenses paid to a Person that is not a Restricted Subsidiary in connection with, any receivables facility.</w:t>
      </w:r>
    </w:p>
    <w:p>
      <w:pPr>
        <w:spacing w:after="0" w:line="171"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means any Indebtedness of the Issuer or any of its Restricted Subsidiaries issued in exchange for, or the net proceeds of which are used to extend, refinance, renew, replace, defease or refund, other Indebtedness of the Issuer or any of its Restricted Subsidiaries; provided that:</w:t>
      </w:r>
    </w:p>
    <w:p>
      <w:pPr>
        <w:spacing w:after="0" w:line="67" w:lineRule="exact"/>
        <w:rPr>
          <w:sz w:val="20"/>
          <w:szCs w:val="20"/>
          <w:color w:val="auto"/>
        </w:rPr>
      </w:pPr>
    </w:p>
    <w:p>
      <w:pPr>
        <w:ind w:left="440" w:firstLine="419"/>
        <w:spacing w:after="0" w:line="281" w:lineRule="auto"/>
        <w:tabs>
          <w:tab w:leader="none" w:pos="1118" w:val="left"/>
        </w:tabs>
        <w:numPr>
          <w:ilvl w:val="1"/>
          <w:numId w:val="8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principal amount (or accreted value, if applicable) of such Refinancing Indebtedness does not exceed the principal amount (or accreted value, if applicable) of the Indebtedness being extended, refinanced, refunded or replaced (plus by (A) an amount equal to unpaid accrued interest, penalties and premiums (including tender premiums) thereon plus underwriting discounts and other customary fees, commissions and expenses (including upfront fees, original issue discount or initial yield payments) incurred in connection therewith) plus unutilized commitments;</w:t>
      </w:r>
    </w:p>
    <w:p>
      <w:pPr>
        <w:spacing w:after="0" w:line="56" w:lineRule="exact"/>
        <w:rPr>
          <w:rFonts w:ascii="Times New Roman" w:cs="Times New Roman" w:eastAsia="Times New Roman" w:hAnsi="Times New Roman"/>
          <w:sz w:val="17"/>
          <w:szCs w:val="17"/>
          <w:color w:val="auto"/>
        </w:rPr>
      </w:pPr>
    </w:p>
    <w:p>
      <w:pPr>
        <w:ind w:left="440" w:right="460" w:firstLine="419"/>
        <w:spacing w:after="0" w:line="272" w:lineRule="auto"/>
        <w:tabs>
          <w:tab w:leader="none" w:pos="1118" w:val="left"/>
        </w:tabs>
        <w:numPr>
          <w:ilvl w:val="1"/>
          <w:numId w:val="8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Refinancing Indebtedness has a final maturity date later than the final maturity date of, and has a Weighted Average Life to Maturity equal to or greater than the Weighted Average Life to Maturity of, the Indebtedness being extended, refinanced, renewed, replaced, defeased or refunded; provided, that the limitations set forth in this subclause (2) shall not apply to Refinancing Indebtedness in the form of</w:t>
      </w:r>
    </w:p>
    <w:p>
      <w:pPr>
        <w:spacing w:after="0" w:line="1" w:lineRule="exact"/>
        <w:rPr>
          <w:rFonts w:ascii="Times New Roman" w:cs="Times New Roman" w:eastAsia="Times New Roman" w:hAnsi="Times New Roman"/>
          <w:sz w:val="17"/>
          <w:szCs w:val="17"/>
          <w:color w:val="auto"/>
        </w:rPr>
      </w:pPr>
    </w:p>
    <w:p>
      <w:pPr>
        <w:jc w:val="both"/>
        <w:ind w:left="440" w:right="80" w:hanging="4"/>
        <w:spacing w:after="0" w:line="253" w:lineRule="auto"/>
        <w:tabs>
          <w:tab w:leader="none" w:pos="695"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bridge loans (provided that either (A) the terms of such bridge loans provide for automatic extension of the maturity date thereof to a date that is not earlier than 91 days after the final maturity date of the Notes or (B) any loans, notes, securities or other Indebtedness (other than revolving loans) which are exchanged for or otherwise replace (which may include by automatic extension) such bridge loans shall be subject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38" w:name="page639"/>
    <w:bookmarkEnd w:id="638"/>
    <w:p>
      <w:pPr>
        <w:ind w:left="4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requirements of this clause (2)), (v) customary term A loans, (w) 364-day bridge loans, (x) notes or other debt securities with a final stated maturity of 91 days after the final maturity date of the Notes or greater (and any additional or other notes or other debt securities issued under the same indenture or purchase agreement as such notes or other debt securities with a final stated maturity of no shorter than that of (A) such initially issued notes or other debt securities and/or (B) the Notes), (y) convertible notes or other convertible debt securities and (z) escrowed debt subject to a customary special mandatory redemption;</w:t>
      </w:r>
    </w:p>
    <w:p>
      <w:pPr>
        <w:spacing w:after="0" w:line="75" w:lineRule="exact"/>
        <w:rPr>
          <w:sz w:val="20"/>
          <w:szCs w:val="20"/>
          <w:color w:val="auto"/>
        </w:rPr>
      </w:pPr>
    </w:p>
    <w:p>
      <w:pPr>
        <w:ind w:left="440" w:firstLine="419"/>
        <w:spacing w:after="0" w:line="258" w:lineRule="auto"/>
        <w:tabs>
          <w:tab w:leader="none" w:pos="1118"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extended, refinanced, renewed, replaced, defeased or refunded is contractually subordinated in right of payment to the Notes, such Refinancing Indebtedness has a final maturity date later than the final maturity date of, and is subordinated in right of payment to, the Notes either: (i) on terms at least as favorable to the Holders of Notes as those contained in the documentation governing the Indebtedness being extended, refinanced, renewed, replaced, defeased or refunded (as determined by the Issuer in good faith), or (ii) pursuant to an Acceptable Intercreditor Agreement; and</w:t>
      </w:r>
    </w:p>
    <w:p>
      <w:pPr>
        <w:spacing w:after="0" w:line="75"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Indebtedness being refinanced is Indebtedness of the Issuer or a Guarantor, such Refinancing Indebtedness is also Indebtedness of the Issuer or a Guarantor.</w:t>
      </w:r>
    </w:p>
    <w:p>
      <w:pPr>
        <w:spacing w:after="0" w:line="15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means a commercial bank with a consolidated combined capital surplus of at least $5,000,000,000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of Governors of the Federal Reserve System of the U.S.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w:t>
      </w:r>
      <w:r>
        <w:rPr>
          <w:rFonts w:ascii="Times New Roman" w:cs="Times New Roman" w:eastAsia="Times New Roman" w:hAnsi="Times New Roman"/>
          <w:sz w:val="18"/>
          <w:szCs w:val="18"/>
          <w:color w:val="auto"/>
        </w:rPr>
        <w:t>” means Regulation S under the Securities Act, or any successor to such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S-K</w:t>
      </w:r>
      <w:r>
        <w:rPr>
          <w:rFonts w:ascii="Times New Roman" w:cs="Times New Roman" w:eastAsia="Times New Roman" w:hAnsi="Times New Roman"/>
          <w:sz w:val="18"/>
          <w:szCs w:val="18"/>
          <w:color w:val="auto"/>
        </w:rPr>
        <w:t>” means Regulation S-K under the Securities Act, as amended or any successor to such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S-X</w:t>
      </w:r>
      <w:r>
        <w:rPr>
          <w:rFonts w:ascii="Times New Roman" w:cs="Times New Roman" w:eastAsia="Times New Roman" w:hAnsi="Times New Roman"/>
          <w:sz w:val="18"/>
          <w:szCs w:val="18"/>
          <w:color w:val="auto"/>
        </w:rPr>
        <w:t>” means Regulation S-X under the Securities Act, as amended, or any successor to such regulation.</w:t>
      </w:r>
    </w:p>
    <w:p>
      <w:pPr>
        <w:spacing w:after="0" w:line="22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 Global Note</w:t>
      </w:r>
      <w:r>
        <w:rPr>
          <w:rFonts w:ascii="Times New Roman" w:cs="Times New Roman" w:eastAsia="Times New Roman" w:hAnsi="Times New Roman"/>
          <w:sz w:val="18"/>
          <w:szCs w:val="18"/>
          <w:color w:val="auto"/>
        </w:rPr>
        <w:t xml:space="preserve">” means a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bearing the Global Note Legend and the Private Placement Legend and deposited with or on behalf of, and registered in the name of, the Depositary or its nominee that will initially be issued in a denomination equal to the principal amount of the Notes sold in reliance on Regulation 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20"/>
          </w:cols>
          <w:pgMar w:left="440" w:top="271" w:right="439" w:bottom="1440" w:gutter="0" w:footer="0" w:header="0"/>
        </w:sectPr>
      </w:pPr>
    </w:p>
    <w:bookmarkStart w:id="639" w:name="page640"/>
    <w:bookmarkEnd w:id="639"/>
    <w:p>
      <w:pPr>
        <w:ind w:right="10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Requirements of Law</w:t>
      </w:r>
      <w:r>
        <w:rPr>
          <w:rFonts w:ascii="Times New Roman" w:cs="Times New Roman" w:eastAsia="Times New Roman" w:hAnsi="Times New Roman"/>
          <w:sz w:val="18"/>
          <w:szCs w:val="18"/>
          <w:color w:val="auto"/>
        </w:rPr>
        <w:t>” means, with respect to any Person, collectively, the common law and all federal, state, local, foreign, multinational or international laws, statutes, codes, treaties, standards, rules and regulations, guidelines, ordinances, orders, judgments, writs, injunctions, decrees (including administrative or judicial precedents or authorities) and the interpretation or administration thereof by, and other determinations, directives, requirements or requests of any Governmental Authority, in each case whether or not having the force of law and that are applicable to or binding upon such Person or any of its property or to which such Person or any of its property is subject.</w:t>
      </w:r>
    </w:p>
    <w:p>
      <w:pPr>
        <w:spacing w:after="0" w:line="179"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Global Note</w:t>
      </w:r>
      <w:r>
        <w:rPr>
          <w:rFonts w:ascii="Times New Roman" w:cs="Times New Roman" w:eastAsia="Times New Roman" w:hAnsi="Times New Roman"/>
          <w:sz w:val="18"/>
          <w:szCs w:val="18"/>
          <w:color w:val="auto"/>
        </w:rPr>
        <w:t xml:space="preserve">” means a permanent Global Note that is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that bears the Global Note Legend and that has the “Schedule of Exchanges of Interests in the Global Note” attached thereto, and that is deposited with or on behalf of and registered in the name of the Depositary or a nominee of the Depositary, representing Notes that bear the Legend.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Investment</w:t>
      </w:r>
      <w:r>
        <w:rPr>
          <w:rFonts w:ascii="Times New Roman" w:cs="Times New Roman" w:eastAsia="Times New Roman" w:hAnsi="Times New Roman"/>
          <w:sz w:val="18"/>
          <w:szCs w:val="18"/>
          <w:color w:val="auto"/>
        </w:rPr>
        <w:t>” means an Investment other than a Permitted Investment.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Note</w:t>
      </w:r>
      <w:r>
        <w:rPr>
          <w:rFonts w:ascii="Times New Roman" w:cs="Times New Roman" w:eastAsia="Times New Roman" w:hAnsi="Times New Roman"/>
          <w:sz w:val="18"/>
          <w:szCs w:val="18"/>
          <w:color w:val="auto"/>
        </w:rPr>
        <w:t xml:space="preserve">” means a Note required to bear the restricted legend set forth in the form of Notes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Indenture.</w:t>
      </w:r>
    </w:p>
    <w:p>
      <w:pPr>
        <w:spacing w:after="0" w:line="225"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as to any Person, any subsidiary of such Person that is not an Unrestricted Subsidiary. Unless the context otherwise requires, references to a “Restricted Subsidiary” means a Restricted Subsidiary of the Issuer.</w:t>
      </w:r>
    </w:p>
    <w:p>
      <w:pPr>
        <w:spacing w:after="0" w:line="15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Restructuring</w:t>
      </w:r>
      <w:r>
        <w:rPr>
          <w:rFonts w:ascii="Times New Roman" w:cs="Times New Roman" w:eastAsia="Times New Roman" w:hAnsi="Times New Roman"/>
          <w:sz w:val="18"/>
          <w:szCs w:val="18"/>
          <w:color w:val="auto"/>
        </w:rPr>
        <w:t>” means the series of transactions involving the Spin Business prior to the consummation of the Distribution, including the restructuring of the Spin Business and the transactions resulting in the Spin Business being owned directly, or indirectly through its subsidiaries, by the Issuer.</w:t>
      </w:r>
    </w:p>
    <w:p>
      <w:pPr>
        <w:spacing w:after="0" w:line="171" w:lineRule="exact"/>
        <w:rPr>
          <w:sz w:val="20"/>
          <w:szCs w:val="20"/>
          <w:color w:val="auto"/>
        </w:rPr>
      </w:pPr>
    </w:p>
    <w:p>
      <w:pPr>
        <w:jc w:val="both"/>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Asset Sale Proceeds</w:t>
      </w:r>
      <w:r>
        <w:rPr>
          <w:rFonts w:ascii="Times New Roman" w:cs="Times New Roman" w:eastAsia="Times New Roman" w:hAnsi="Times New Roman"/>
          <w:sz w:val="18"/>
          <w:szCs w:val="18"/>
          <w:color w:val="auto"/>
        </w:rPr>
        <w:t xml:space="preserve">” means, at any date of determination, an amount determined on a cumulative basis of all Net Proceeds received by the Issuer or any of its Restricted Subsidiaries that, pursuant to application of the Asset Sale Prepayment Percentage, are or were not required to be applied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Rule 3-16 Capital Stock</w:t>
      </w:r>
      <w:r>
        <w:rPr>
          <w:rFonts w:ascii="Times New Roman" w:cs="Times New Roman" w:eastAsia="Times New Roman" w:hAnsi="Times New Roman"/>
          <w:sz w:val="17"/>
          <w:szCs w:val="17"/>
          <w:color w:val="auto"/>
        </w:rPr>
        <w:t>” means any Capital Stock of any Subsidiary, in the event that Rule 3-16 of Regulation S-X requires or is amended, modified or interpreted by the SEC to require (or is replaced with another rule or regulation, or any other law, rule or regulation is adopted, which would require) the filing with the SEC (or any other governmental agency) of separate financial statements of the Issuer or any such Subsidiary due to the fact that such Subsidiary’s Capital Stock secures the Notes and the Note Guarantees, but only to the extent necessary to not be subject to such requirement.</w:t>
      </w:r>
    </w:p>
    <w:p>
      <w:pPr>
        <w:spacing w:after="0" w:line="16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“Rule 144” </w:t>
      </w:r>
      <w:r>
        <w:rPr>
          <w:rFonts w:ascii="Times New Roman" w:cs="Times New Roman" w:eastAsia="Times New Roman" w:hAnsi="Times New Roman"/>
          <w:sz w:val="18"/>
          <w:szCs w:val="18"/>
          <w:color w:val="auto"/>
        </w:rPr>
        <w:t>means Rule 144 promulgated under the Securities Act or any successor to such rule.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means Rule 144A promulgated under the Securities Act or any successor to such rule.</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40" w:top="266" w:right="479" w:bottom="1440" w:gutter="0" w:footer="0" w:header="0"/>
        </w:sectPr>
      </w:pPr>
    </w:p>
    <w:bookmarkStart w:id="640" w:name="page641"/>
    <w:bookmarkEnd w:id="640"/>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Rule 903</w:t>
      </w:r>
      <w:r>
        <w:rPr>
          <w:rFonts w:ascii="Times New Roman" w:cs="Times New Roman" w:eastAsia="Times New Roman" w:hAnsi="Times New Roman"/>
          <w:sz w:val="18"/>
          <w:szCs w:val="18"/>
          <w:color w:val="auto"/>
        </w:rPr>
        <w:t>” means Rule 903 promulgated under the Securities Act or any successor to such rule.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Rule 904</w:t>
      </w:r>
      <w:r>
        <w:rPr>
          <w:rFonts w:ascii="Times New Roman" w:cs="Times New Roman" w:eastAsia="Times New Roman" w:hAnsi="Times New Roman"/>
          <w:sz w:val="18"/>
          <w:szCs w:val="18"/>
          <w:color w:val="auto"/>
        </w:rPr>
        <w:t>” means Rule 904 promulgated under the Securities Act or any successor to such rule.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S&amp;P Global Ratings, or any successor to the rating agency business thereof.</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w:t>
      </w:r>
      <w:r>
        <w:rPr>
          <w:rFonts w:ascii="Times New Roman" w:cs="Times New Roman" w:eastAsia="Times New Roman" w:hAnsi="Times New Roman"/>
          <w:sz w:val="18"/>
          <w:szCs w:val="18"/>
          <w:color w:val="auto"/>
        </w:rPr>
        <w:t>” means any transaction or series of related transactions pursuant to which the Issuer or any of its Restricted Subsidiaries</w:t>
      </w:r>
    </w:p>
    <w:p>
      <w:pPr>
        <w:spacing w:after="0" w:line="31" w:lineRule="exact"/>
        <w:rPr>
          <w:sz w:val="20"/>
          <w:szCs w:val="20"/>
          <w:color w:val="auto"/>
        </w:rPr>
      </w:pPr>
    </w:p>
    <w:p>
      <w:pPr>
        <w:ind w:left="4" w:right="140" w:hanging="4"/>
        <w:spacing w:after="0" w:line="255" w:lineRule="auto"/>
        <w:tabs>
          <w:tab w:leader="none" w:pos="249"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sells, transfers or otherwise disposes of any property (whether real, personal or mixed), whether now owned or hereafter acquired and (b) as part of such transaction, thereafter rents or leases such property or other property that it intends to use for substantially the same purpose or purposes as the property being sold, transferred or disposed of, other than leases between the Issuer and the Restricted Subsidiaries.</w:t>
      </w:r>
    </w:p>
    <w:p>
      <w:pPr>
        <w:spacing w:after="0" w:line="182"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Screened Affiliate</w:t>
      </w:r>
      <w:r>
        <w:rPr>
          <w:rFonts w:ascii="Times New Roman" w:cs="Times New Roman" w:eastAsia="Times New Roman" w:hAnsi="Times New Roman"/>
          <w:sz w:val="18"/>
          <w:szCs w:val="18"/>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 in connection with its investment in the Notes.</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Secured Net Leverage Ratio</w:t>
      </w:r>
      <w:r>
        <w:rPr>
          <w:rFonts w:ascii="Times New Roman" w:cs="Times New Roman" w:eastAsia="Times New Roman" w:hAnsi="Times New Roman"/>
          <w:sz w:val="17"/>
          <w:szCs w:val="17"/>
          <w:color w:val="auto"/>
        </w:rPr>
        <w:t xml:space="preserve">” means the ratio, as of any date of determination, of (i) Consolidated Secured Debt as of such date (provided that in the event the Issuer or any Restricted Subsidiary proposes to incur Indebtedness pursuant to Section 4.09(b)(i) or (xxxiv) hereof or Liens pursuant to clause (45) of the definition of Permitted Liens on the same day, Indebtedness incurred under </w:t>
      </w:r>
      <w:r>
        <w:rPr>
          <w:rFonts w:ascii="Times New Roman" w:cs="Times New Roman" w:eastAsia="Times New Roman" w:hAnsi="Times New Roman"/>
          <w:sz w:val="17"/>
          <w:szCs w:val="17"/>
          <w:u w:val="single" w:color="auto"/>
          <w:color w:val="auto"/>
        </w:rPr>
        <w:t>Section 4.09(b)(i)</w:t>
      </w:r>
      <w:r>
        <w:rPr>
          <w:rFonts w:ascii="Times New Roman" w:cs="Times New Roman" w:eastAsia="Times New Roman" w:hAnsi="Times New Roman"/>
          <w:sz w:val="17"/>
          <w:szCs w:val="17"/>
          <w:color w:val="auto"/>
        </w:rPr>
        <w:t xml:space="preserve"> on that date shall not be included in the calculation of the Secured Net Leverage Ratio for purposes of the calculation to be made pursuant to such clauses on such date (but shall, for the avoidance of doubt, be included in any and all subsequent calculations of the Secured Net Leverage Ratio to the extent then outstanding and secured)) to</w:t>
      </w:r>
    </w:p>
    <w:p>
      <w:pPr>
        <w:spacing w:after="0" w:line="3" w:lineRule="exact"/>
        <w:rPr>
          <w:sz w:val="20"/>
          <w:szCs w:val="20"/>
          <w:color w:val="auto"/>
        </w:rPr>
      </w:pPr>
    </w:p>
    <w:p>
      <w:pPr>
        <w:ind w:left="4" w:right="300" w:hanging="4"/>
        <w:spacing w:after="0" w:line="253" w:lineRule="auto"/>
        <w:tabs>
          <w:tab w:leader="none" w:pos="269" w:val="left"/>
        </w:tabs>
        <w:numPr>
          <w:ilvl w:val="0"/>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LTM Consolidated Adjusted EBITDA. In addition, the “Secured Net Leverage Ratio” will be calculated on a Pro Forma Basis. To the extent the Issuer elects to treat all or any portion of the commitment under any Indebtedness as being incurred prior to the actual incurrence thereof pursuant to </w:t>
      </w:r>
      <w:r>
        <w:rPr>
          <w:rFonts w:ascii="Times New Roman" w:cs="Times New Roman" w:eastAsia="Times New Roman" w:hAnsi="Times New Roman"/>
          <w:sz w:val="18"/>
          <w:szCs w:val="18"/>
          <w:u w:val="single" w:color="auto"/>
          <w:color w:val="auto"/>
        </w:rPr>
        <w:t>Section 4.09(d)</w:t>
      </w:r>
      <w:r>
        <w:rPr>
          <w:rFonts w:ascii="Times New Roman" w:cs="Times New Roman" w:eastAsia="Times New Roman" w:hAnsi="Times New Roman"/>
          <w:sz w:val="18"/>
          <w:szCs w:val="18"/>
          <w:color w:val="auto"/>
        </w:rPr>
        <w:t>, the Issuer shall deem all or such portion of such commitment of such Indebtedness, as applicable, as having been incurred and to be outstanding for purposes of calculating the Secured Net Leverage Ratio for any period in which the Issuer makes any such election and for any subsequent period until such commitments or such Indebtedness, as applicable, are no longer outstanding.</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84"/>
          </w:cols>
          <w:pgMar w:left="436" w:top="267" w:right="479" w:bottom="1440" w:gutter="0" w:footer="0" w:header="0"/>
        </w:sectPr>
      </w:pPr>
    </w:p>
    <w:bookmarkStart w:id="641" w:name="page642"/>
    <w:bookmarkEnd w:id="641"/>
    <w:p>
      <w:pPr>
        <w:ind w:right="8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Securities</w:t>
      </w:r>
      <w:r>
        <w:rPr>
          <w:rFonts w:ascii="Times New Roman" w:cs="Times New Roman" w:eastAsia="Times New Roman" w:hAnsi="Times New Roman"/>
          <w:sz w:val="17"/>
          <w:szCs w:val="17"/>
          <w:color w:val="auto"/>
        </w:rPr>
        <w:t>” means any stock, shares, units, partnership interests, voting trust certificates, certificates of interest or participation in any profit-sharing agreement or arrangement, options, warrants, bonds, debentures, notes, or other evidences of indebtedness, secured or unsecured, convertible, subordinated or otherwise, or in general any instruments commonly known as “securities” or any certificates of interest, shares or participations in temporary or interim certificates for the purchase or acquisition of, or any right to subscribe to, purchase or acquire, any of the foregoing; provided that the term “Securities” shall not include any earn-out agreement or obligation or any employee bonus or other incentive compensation plan or agreement.</w:t>
      </w:r>
    </w:p>
    <w:p>
      <w:pPr>
        <w:spacing w:after="0" w:line="164"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 and the rules and regulations of the Securities and Exchange Commission promulgated thereunder, as in effect from time to time.</w:t>
      </w:r>
    </w:p>
    <w:p>
      <w:pPr>
        <w:spacing w:after="0" w:line="155"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Program Assets</w:t>
      </w:r>
      <w:r>
        <w:rPr>
          <w:rFonts w:ascii="Times New Roman" w:cs="Times New Roman" w:eastAsia="Times New Roman" w:hAnsi="Times New Roman"/>
          <w:sz w:val="18"/>
          <w:szCs w:val="18"/>
          <w:color w:val="auto"/>
        </w:rPr>
        <w:t>” means (i) all receivables customarily transferred in connection with asset securitization transactions by the Issuer or any of its Restricted Subsidiaries pursuant to documents relating to any Qualified Securitization Transaction, (ii) all rights arising under the documentation governing or related to receivables (including rights in respect of Liens securing such receivables and other credit support in respect of such receivables), any proceeds of such receivables and any lockboxes or accounts in which such proceeds are deposited, spread accounts and other similar accounts (and any amounts on deposit therein) established in connection with a Qualified Securitization Transaction, any warranty, indemnity, dilution and other intercompany claim arising out of the documents relating to such Qualified Securitization Transaction and other assets which are customarily transferred or in respect of which security interests are customarily granted in connection with asset securitizations involving accounts receivable and (iii) all collections (including recoveries) and other proceeds of the assets described in the foregoing clauses (i) and (ii).</w:t>
      </w:r>
    </w:p>
    <w:p>
      <w:pPr>
        <w:spacing w:after="0" w:line="185"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Special Purpose Entity</w:t>
      </w:r>
      <w:r>
        <w:rPr>
          <w:rFonts w:ascii="Times New Roman" w:cs="Times New Roman" w:eastAsia="Times New Roman" w:hAnsi="Times New Roman"/>
          <w:sz w:val="18"/>
          <w:szCs w:val="18"/>
          <w:color w:val="auto"/>
        </w:rPr>
        <w:t>” means a Person (including, without limitation, a Restricted Subsidiary) created in connection with the transactions contemplated by a Qualified Securitization Transaction, which Person engages in no activities and holds no assets other than those incidental to such Qualified Securitization Transaction.</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means that certain Pledge and Security Agreement, to be dated as of the Escrow Release Date, by and among the Issuer, each of the Guarantors party thereto and Citibank, N.A., in its capacity as Notes Collateral Agent (or its successor).</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w:t>
      </w:r>
      <w:r>
        <w:rPr>
          <w:rFonts w:ascii="Times New Roman" w:cs="Times New Roman" w:eastAsia="Times New Roman" w:hAnsi="Times New Roman"/>
          <w:sz w:val="18"/>
          <w:szCs w:val="18"/>
          <w:color w:val="auto"/>
        </w:rPr>
        <w:t>” means the execution, delivery and performance of the Separation Agreements and the consummation of the transactions, including the Restructuring, the Issuer Distribution and the Distribution, in connection with the separation of the Spin Business from Comcast, in each case as may be further described or referred to in, or contemplated by, the Separation Agreements.</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Separation Agreements</w:t>
      </w:r>
      <w:r>
        <w:rPr>
          <w:rFonts w:ascii="Times New Roman" w:cs="Times New Roman" w:eastAsia="Times New Roman" w:hAnsi="Times New Roman"/>
          <w:sz w:val="18"/>
          <w:szCs w:val="18"/>
          <w:color w:val="auto"/>
        </w:rPr>
        <w:t>” means the agreements pursuant to which the separation of the Spin Business is expected to be effected, including the Separation and Distribution Agreement, the Tax Matters Agreement, the Transition Services Agreement, the Employee Matters Agreement and the Ancillary Agreements (each as described in or referred to in, or contemplated by, the Form 10), and any other transition services agreements, other commercial agreements or arrangements or other agreements or arrangements described or referred to therein or in the Form 10 or contemplated thereby or by the Form 10.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66" w:right="459" w:bottom="1440" w:gutter="0" w:footer="0" w:header="0"/>
        </w:sectPr>
      </w:pPr>
    </w:p>
    <w:bookmarkStart w:id="642" w:name="page643"/>
    <w:bookmarkEnd w:id="642"/>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5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“Shared Collateral” </w:t>
      </w:r>
      <w:r>
        <w:rPr>
          <w:rFonts w:ascii="Times New Roman" w:cs="Times New Roman" w:eastAsia="Times New Roman" w:hAnsi="Times New Roman"/>
          <w:sz w:val="18"/>
          <w:szCs w:val="18"/>
          <w:color w:val="auto"/>
        </w:rPr>
        <w:t>shall have the meaning given to such term in the Pari Passu Intercreditor Agreement.</w:t>
      </w:r>
    </w:p>
    <w:p>
      <w:pPr>
        <w:spacing w:after="0" w:line="225" w:lineRule="exact"/>
        <w:rPr>
          <w:sz w:val="20"/>
          <w:szCs w:val="20"/>
          <w:color w:val="auto"/>
        </w:rPr>
      </w:pPr>
    </w:p>
    <w:p>
      <w:pPr>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Derivative Instrument</w:t>
      </w:r>
      <w:r>
        <w:rPr>
          <w:rFonts w:ascii="Times New Roman" w:cs="Times New Roman" w:eastAsia="Times New Roman" w:hAnsi="Times New Roman"/>
          <w:sz w:val="18"/>
          <w:szCs w:val="18"/>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1"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Significant Subsidiary</w:t>
      </w:r>
      <w:r>
        <w:rPr>
          <w:rFonts w:ascii="Times New Roman" w:cs="Times New Roman" w:eastAsia="Times New Roman" w:hAnsi="Times New Roman"/>
          <w:sz w:val="18"/>
          <w:szCs w:val="18"/>
          <w:color w:val="auto"/>
        </w:rPr>
        <w:t xml:space="preserve">” means any Subsidiary of the Issuer that would be a “significant subsidiary” as defined in </w:t>
      </w:r>
      <w:r>
        <w:rPr>
          <w:rFonts w:ascii="Times New Roman" w:cs="Times New Roman" w:eastAsia="Times New Roman" w:hAnsi="Times New Roman"/>
          <w:sz w:val="18"/>
          <w:szCs w:val="18"/>
          <w:u w:val="single" w:color="auto"/>
          <w:color w:val="auto"/>
        </w:rPr>
        <w:t>Article 1</w:t>
      </w:r>
      <w:r>
        <w:rPr>
          <w:rFonts w:ascii="Times New Roman" w:cs="Times New Roman" w:eastAsia="Times New Roman" w:hAnsi="Times New Roman"/>
          <w:sz w:val="18"/>
          <w:szCs w:val="18"/>
          <w:color w:val="auto"/>
        </w:rPr>
        <w:t>, Rule 1-02 of Regulation S-X, promulgated by the SEC, as such regulation is in effect on the date hereof.</w:t>
      </w:r>
    </w:p>
    <w:p>
      <w:pPr>
        <w:spacing w:after="0" w:line="155" w:lineRule="exact"/>
        <w:rPr>
          <w:sz w:val="20"/>
          <w:szCs w:val="20"/>
          <w:color w:val="auto"/>
        </w:rPr>
      </w:pPr>
    </w:p>
    <w:p>
      <w:pPr>
        <w:ind w:right="5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means the businesses engaged (or proposed to be engaged) in by the Issuer or any Restricted Subsidiary on the Escrow Release Date, reasonably related, similar, incidental, complementary, ancillary, corollary, synergistic or related businesses, and/or a reasonable extension, development or expansion of such businesses.</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7" w:right="459" w:bottom="1440" w:gutter="0" w:footer="0" w:header="0"/>
        </w:sectPr>
      </w:pPr>
    </w:p>
    <w:bookmarkStart w:id="643" w:name="page644"/>
    <w:bookmarkEnd w:id="643"/>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Special Cash Payment</w:t>
      </w:r>
      <w:r>
        <w:rPr>
          <w:rFonts w:ascii="Times New Roman" w:cs="Times New Roman" w:eastAsia="Times New Roman" w:hAnsi="Times New Roman"/>
          <w:sz w:val="18"/>
          <w:szCs w:val="18"/>
          <w:color w:val="auto"/>
        </w:rPr>
        <w:t xml:space="preserve">” has the meaning set forth in the Separation and Distribution Agreement (as described in or referred to in, or contemplated by, the Form 10);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the Special Cash Payment shall not exceed $2.25 billion.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Foreign Subsidiary</w:t>
      </w:r>
      <w:r>
        <w:rPr>
          <w:rFonts w:ascii="Times New Roman" w:cs="Times New Roman" w:eastAsia="Times New Roman" w:hAnsi="Times New Roman"/>
          <w:sz w:val="18"/>
          <w:szCs w:val="18"/>
          <w:color w:val="auto"/>
        </w:rPr>
        <w:t>” means a Foreign Subsidiary that is a CFC within the meaning of Section 957 of the Code.</w:t>
      </w:r>
    </w:p>
    <w:p>
      <w:pPr>
        <w:spacing w:after="0" w:line="22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 Business</w:t>
      </w:r>
      <w:r>
        <w:rPr>
          <w:rFonts w:ascii="Times New Roman" w:cs="Times New Roman" w:eastAsia="Times New Roman" w:hAnsi="Times New Roman"/>
          <w:sz w:val="18"/>
          <w:szCs w:val="18"/>
          <w:color w:val="auto"/>
        </w:rPr>
        <w:t>” means the SpinCo Business as defined in the Separation and Distribution Agreement (as described in or referred to in, or contemplated by, the Form 10).</w:t>
      </w:r>
    </w:p>
    <w:p>
      <w:pPr>
        <w:spacing w:after="0" w:line="155" w:lineRule="exact"/>
        <w:rPr>
          <w:sz w:val="20"/>
          <w:szCs w:val="20"/>
          <w:color w:val="auto"/>
        </w:rPr>
      </w:pPr>
    </w:p>
    <w:p>
      <w:pPr>
        <w:ind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all representations, warranties, covenants, indemnities, performance guarantees, servicing obligations and repurchase obligations (including guarantees thereof), entered into by the Issuer or any Subsidiary which are customary in connection with any receivables facility (as determined by the Issuer in good faith).</w:t>
      </w:r>
    </w:p>
    <w:p>
      <w:pPr>
        <w:spacing w:after="0" w:line="171"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means, with respect to any installment of interest or principal on any series of Indebtedness, the date on which the payment of interest or principal was scheduled to be paid in the original documentation governing such Indebtedness, and will not include any contingent obligations to repay, redeem or repurchase any such interest or principal prior to the date originally scheduled for the payment thereof.</w:t>
      </w:r>
    </w:p>
    <w:p>
      <w:pPr>
        <w:spacing w:after="0" w:line="171"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Transaction</w:t>
      </w:r>
      <w:r>
        <w:rPr>
          <w:rFonts w:ascii="Times New Roman" w:cs="Times New Roman" w:eastAsia="Times New Roman" w:hAnsi="Times New Roman"/>
          <w:sz w:val="18"/>
          <w:szCs w:val="18"/>
          <w:color w:val="auto"/>
        </w:rPr>
        <w:t>” means, (a) the Transactions, (b) any acquisition or similar Investment, whether by purchase, merger, amalgamation or otherwise, of all or substantially all of the assets of, or any business line, unit or division of, any Person or any facility, or of a majority of the outstanding Capital Stock of any Person (and in any event including any Investment in (x) any Restricted Subsidiary the effect of which is to increase the Issuer’s or any Restricted Subsidiary’s respective equity ownership in such Restricted Subsidiary or (y) any Joint Venture for the purpose of increasing the Issuer’s or its relevant Restricted Subsidiary’s ownership interest in such Joint Venture), in each case that is not prohibited by this Indenture, (c) any disposition of all or substantially all of the assets or Capital Stock of a subsidiary (or any business unit, line of business or division of the Issuer or a Restricted Subsidiary) not prohibited by this Indenture, (d) the designation of a Restricted Subsidiary as an Unrestricted Subsidiary or an Unrestricted Subsidiary as a Restricted Subsidiary, (e) any incurrence or repayment of Indebtedness (other than revolving Indebtedness), (f) any Cost Saving Initiative and/or (g) any other event that by the terms of this Indenture or the Collateral Documents requires pro forma compliance with a test or covenant hereunder or requires such test or covenant to be calculated on a Pro Forma Basis.</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association, joint venture or other business entity of which more than 50% of the total voting power of stock or other ownership interests entitled (without regard to the occurrence of any contingency) to vote in the election of the Person or Persons (whether directors, trustees or other Persons performing similar functions) having the power to direct or cause the direction of the management and policies thereof is at the time owned or controlled, directly or indirectly, by such Person or one or more of the other subsidiaries of such Person or a combination thereof; provided that in determining the percentage of ownership interests of any Person controlled by another Person, no ownership interests in the nature of a “qualifying share” of the former Person shall be deemed to be outstanding. Unless otherwise specified, “subsidiary” shall mean any subsidiary of the Issuer.</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6" w:right="459" w:bottom="1440" w:gutter="0" w:footer="0" w:header="0"/>
        </w:sectPr>
      </w:pPr>
    </w:p>
    <w:bookmarkStart w:id="644" w:name="page645"/>
    <w:bookmarkEnd w:id="644"/>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Suspension Event</w:t>
      </w:r>
      <w:r>
        <w:rPr>
          <w:rFonts w:ascii="Times New Roman" w:cs="Times New Roman" w:eastAsia="Times New Roman" w:hAnsi="Times New Roman"/>
          <w:sz w:val="18"/>
          <w:szCs w:val="18"/>
          <w:color w:val="auto"/>
        </w:rPr>
        <w:t xml:space="preserve">” means, automatically, the first day on which the Notes have an Investment Grade Rating Status;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no Default or Event of Default has occurred and is continuing under this Indenture.</w:t>
      </w:r>
    </w:p>
    <w:p>
      <w:pPr>
        <w:spacing w:after="0" w:line="155" w:lineRule="exact"/>
        <w:rPr>
          <w:sz w:val="20"/>
          <w:szCs w:val="20"/>
          <w:color w:val="auto"/>
        </w:rPr>
      </w:pPr>
    </w:p>
    <w:p>
      <w:pPr>
        <w:ind w:right="3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Taxes</w:t>
      </w:r>
      <w:r>
        <w:rPr>
          <w:rFonts w:ascii="Times New Roman" w:cs="Times New Roman" w:eastAsia="Times New Roman" w:hAnsi="Times New Roman"/>
          <w:sz w:val="17"/>
          <w:szCs w:val="17"/>
          <w:color w:val="auto"/>
        </w:rPr>
        <w:t>” means any and all present and future taxes, levies, imposts, duties, deductions, withholdings (including backup withholding), assessments, fees or other charges imposed by any Governmental Authority, including any interest, additions to tax and penalties applicable thereto.</w:t>
      </w:r>
    </w:p>
    <w:p>
      <w:pPr>
        <w:spacing w:after="0" w:line="132" w:lineRule="exact"/>
        <w:rPr>
          <w:sz w:val="20"/>
          <w:szCs w:val="20"/>
          <w:color w:val="auto"/>
        </w:rPr>
      </w:pPr>
    </w:p>
    <w:p>
      <w:pPr>
        <w:ind w:right="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TIA</w:t>
      </w:r>
      <w:r>
        <w:rPr>
          <w:rFonts w:ascii="Times New Roman" w:cs="Times New Roman" w:eastAsia="Times New Roman" w:hAnsi="Times New Roman"/>
          <w:sz w:val="17"/>
          <w:szCs w:val="17"/>
          <w:color w:val="auto"/>
        </w:rPr>
        <w:t>” means the Trust Indenture Act of 1939, as amended, and the rules and regulations thereunder as in effect on the date of this Indenture, except to the extent any amendment to the Trust Indenture Act expressly provides for application of the Trust Indenture Act as in effect on another date.</w:t>
      </w:r>
    </w:p>
    <w:p>
      <w:pPr>
        <w:spacing w:after="0" w:line="13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Net Leverage Ratio</w:t>
      </w:r>
      <w:r>
        <w:rPr>
          <w:rFonts w:ascii="Times New Roman" w:cs="Times New Roman" w:eastAsia="Times New Roman" w:hAnsi="Times New Roman"/>
          <w:sz w:val="18"/>
          <w:szCs w:val="18"/>
          <w:color w:val="auto"/>
        </w:rPr>
        <w:t>” means the ratio of (i) Consolidated Total Debt of the Issuer and its Restricted Subsidiaries, after giving effect to all incurrences and repayments of Indebtedness on the transaction date (net of the Unrestricted Cash Amount), to (ii) LTM Consolidated Adjusted EBITDA. In addition, the “Total Net Leverage Ratio” will be calculated on a Pro Forma Basis.</w:t>
      </w:r>
    </w:p>
    <w:p>
      <w:pPr>
        <w:spacing w:after="0" w:line="17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the extent the Issuer elects to treat all or any portion of the commitment under any Indebtedness as being incurred prior to the actual incurrence thereof pursuant to </w:t>
      </w:r>
      <w:r>
        <w:rPr>
          <w:rFonts w:ascii="Times New Roman" w:cs="Times New Roman" w:eastAsia="Times New Roman" w:hAnsi="Times New Roman"/>
          <w:sz w:val="18"/>
          <w:szCs w:val="18"/>
          <w:u w:val="single" w:color="auto"/>
          <w:color w:val="auto"/>
        </w:rPr>
        <w:t>Section 4.09(d)</w:t>
      </w:r>
      <w:r>
        <w:rPr>
          <w:rFonts w:ascii="Times New Roman" w:cs="Times New Roman" w:eastAsia="Times New Roman" w:hAnsi="Times New Roman"/>
          <w:sz w:val="18"/>
          <w:szCs w:val="18"/>
          <w:color w:val="auto"/>
        </w:rPr>
        <w:t>, the Issuer shall deem all or such portion of such commitment of such Indebtedness, as applicable, as having been incurred and to be outstanding for purposes of calculating the Total Net Leverage Ratio for any period in which the Issuer makes any such election and for any subsequent period until such commitments or such Indebtedness, as applicable, are no longer outstanding.</w:t>
      </w:r>
    </w:p>
    <w:p>
      <w:pPr>
        <w:spacing w:after="0" w:line="176"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means fees, premiums, expenses and other transaction costs (including original issue discount or upfront fees) payable or otherwise borne by the Issuer and/or its subsidiaries in connection with the Transactions and the transactions contemplated thereby.</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 collectively, (a) the execution, delivery and performance by the Issuer and its respective subsidiaries of documents in connection with, and incurrence of Indebtedness under, the Credit Agreements, (b) the execution, delivery and performance by the Issuer and Guarantors of documents in connection with, and incurrence of Indebtedness, the offering of the Notes, (c) the entry into Separation Agreements and the consummation of the Separation, including the Restructuring and the Distribution, and other transactions contemplated by Separation Agreements or otherwise in connection therewith, (d) the payment of the Special Cash Payment and (e) the payment of the Transaction Costs.</w:t>
      </w:r>
    </w:p>
    <w:p>
      <w:pPr>
        <w:spacing w:after="0" w:line="179"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Rate</w:t>
      </w:r>
      <w:r>
        <w:rPr>
          <w:rFonts w:ascii="Times New Roman" w:cs="Times New Roman" w:eastAsia="Times New Roman" w:hAnsi="Times New Roman"/>
          <w:sz w:val="18"/>
          <w:szCs w:val="18"/>
          <w:color w:val="auto"/>
        </w:rPr>
        <w:t xml:space="preserve">” means, with respect to the Notes, the rate per annum equal to the yield to maturity at the time of computation of U.S. Treasury securities with a constant maturity most nearly equal to the period from such date of redemption to January 30, 2028,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such date of redemption to January 30, 2028 is not equal to the constant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20"/>
          </w:cols>
          <w:pgMar w:left="440" w:top="267" w:right="439" w:bottom="1440" w:gutter="0" w:footer="0" w:header="0"/>
        </w:sectPr>
      </w:pPr>
    </w:p>
    <w:bookmarkStart w:id="645" w:name="page646"/>
    <w:bookmarkEnd w:id="645"/>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maturity of a U.S. Treasury security for which a weekly average yield is given, the Treasury Rate shall be obtained by linear interpolation (calculated to the nearest one-twelfth of a year) from the weekly average yields of U.S. Treasury securities for which such yields are given, except that if the period from such date of redemption to January 30, 2028 is less than one year, the weekly average yield on actually traded U.S. Treasury securities adjusted to a constant maturity of one year shall be used. The Issuer shall obtain the Treasury Rate. The Trustee shall have no duty to calculate or verify the calculations of the Applicable Premium and the Treasury Rate nor shall it have any duty to review or verify the Issuer’s calculations of the Applicable Premium and the Treasury Rate.</w:t>
      </w:r>
    </w:p>
    <w:p>
      <w:pPr>
        <w:spacing w:after="0" w:line="183"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 Officer</w:t>
      </w:r>
      <w:r>
        <w:rPr>
          <w:rFonts w:ascii="Times New Roman" w:cs="Times New Roman" w:eastAsia="Times New Roman" w:hAnsi="Times New Roman"/>
          <w:sz w:val="18"/>
          <w:szCs w:val="18"/>
          <w:color w:val="auto"/>
        </w:rPr>
        <w:t>” shall mean, when used with respect to the Trustee, any officer within the corporate trust department of the Trustee, including any vice president, assistant secretary, associate, secretary,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76"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means Citibank, N.A., a national association, until a successor replaces it in accordance with the provisions of this Indenture, and thereafter means the successor.</w:t>
      </w:r>
    </w:p>
    <w:p>
      <w:pPr>
        <w:spacing w:after="0" w:line="15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Restricted Subsidiary that was formed under the laws of the United States or any state thereof or the District of Columbia.</w:t>
      </w:r>
    </w:p>
    <w:p>
      <w:pPr>
        <w:spacing w:after="0" w:line="155"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UCC</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Uniform Commercial Code</w:t>
      </w:r>
      <w:r>
        <w:rPr>
          <w:rFonts w:ascii="Times New Roman" w:cs="Times New Roman" w:eastAsia="Times New Roman" w:hAnsi="Times New Roman"/>
          <w:sz w:val="17"/>
          <w:szCs w:val="17"/>
          <w:color w:val="auto"/>
        </w:rPr>
        <w:t>” means the Uniform Commercial Code as the same may be in effect from time to time in the State of New York or the Uniform Commercial Code (or similar code or statute) of another jurisdiction, to the extent it applies to any item or items of Collateral.</w:t>
      </w:r>
    </w:p>
    <w:p>
      <w:pPr>
        <w:spacing w:after="0" w:line="132"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Amount</w:t>
      </w:r>
      <w:r>
        <w:rPr>
          <w:rFonts w:ascii="Times New Roman" w:cs="Times New Roman" w:eastAsia="Times New Roman" w:hAnsi="Times New Roman"/>
          <w:sz w:val="18"/>
          <w:szCs w:val="18"/>
          <w:color w:val="auto"/>
        </w:rPr>
        <w:t>” means, as to any Person on any date of determination, the amount of (a) unrestricted Cash and Cash Equivalents of such Person and its Restricted Subsidiaries and (b) Cash and Cash Equivalents of such Person and its Restricted Subsidiaries that are restricted in favor of the Notes, the Credit Agreements and/or other permitted pari passu, senior or junior secured Indebtedness (which may also include Cash and Cash Equivalents securing other Indebtedness that is secured by a Lien on Collateral along with the Notes, the Credit Agreements and/or any other permitted pari passu, senior or junior secured Indebtedness), in each case as determined in accordance with GAAP.</w:t>
      </w:r>
    </w:p>
    <w:p>
      <w:pPr>
        <w:spacing w:after="0" w:line="179"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means any Subsidiary of the Issuer that is designated by the Board of Directors of the Issuer as an Unrestricted Subsidiary pursuant to a board resolution or consent, but only to the extent that such Subsidiary:</w:t>
      </w:r>
    </w:p>
    <w:p>
      <w:pPr>
        <w:spacing w:after="0" w:line="51" w:lineRule="exact"/>
        <w:rPr>
          <w:sz w:val="20"/>
          <w:szCs w:val="20"/>
          <w:color w:val="auto"/>
        </w:rPr>
      </w:pPr>
    </w:p>
    <w:p>
      <w:pPr>
        <w:ind w:left="1120" w:hanging="261"/>
        <w:spacing w:after="0"/>
        <w:tabs>
          <w:tab w:leader="none" w:pos="1120"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 Indebtedness other than non-recourse debt;</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89" w:lineRule="auto"/>
        <w:tabs>
          <w:tab w:leader="none" w:pos="1118" w:val="left"/>
        </w:tabs>
        <w:numPr>
          <w:ilvl w:val="0"/>
          <w:numId w:val="8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 not party to any agreement, contract, arrangement or understanding with the Issuer or any Restricted Subsidiary of the Issuer unless the terms of any such agreement, contract, arrangement or understanding are not materially less favorable to the Issuer or such Restricted Subsidiary, in each case, taken as a whole, than those that might be obtained at the time from Persons who are not Affiliates of the Issuer;</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80"/>
          </w:cols>
          <w:pgMar w:left="440" w:top="270" w:right="479" w:bottom="1440" w:gutter="0" w:footer="0" w:header="0"/>
        </w:sectPr>
      </w:pPr>
    </w:p>
    <w:bookmarkStart w:id="646" w:name="page647"/>
    <w:bookmarkEnd w:id="646"/>
    <w:p>
      <w:pPr>
        <w:ind w:left="440" w:right="260" w:firstLine="419"/>
        <w:spacing w:after="0" w:line="266" w:lineRule="auto"/>
        <w:tabs>
          <w:tab w:leader="none" w:pos="1118"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a Person with respect to which neither the Issuer nor any of its Restricted Subsidiaries has any direct or indirect obligation (a) to subscribe for additional Equity Interests or (b) to maintain or preserve such Person’s financial condition or to cause such Person to achieve any specified levels of operating results; and</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 Guaranteed or otherwise directly or indirectly provided credit support for any Indebtedness of the Issuer or any of its Restricted Subsidiaries.</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Any designation of a Subsidiary of the Issuer as an Unrestricted Subsidiary will be evidenced to the Trustee by filing with the Trustee a certified copy of the board resolution or consent giving effect to such designation and an Officers’ Certificate certifying that such designation complied with the preceding conditions and was permitted by this Indenture. For the avoidance of doubt, any Subsidiary of an Unrestricted Subsidiary shall also be an Unrestricted Subsidiary.</w:t>
      </w:r>
    </w:p>
    <w:p>
      <w:pPr>
        <w:spacing w:after="0" w:line="176"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Vice President</w:t>
      </w:r>
      <w:r>
        <w:rPr>
          <w:rFonts w:ascii="Times New Roman" w:cs="Times New Roman" w:eastAsia="Times New Roman" w:hAnsi="Times New Roman"/>
          <w:sz w:val="18"/>
          <w:szCs w:val="18"/>
          <w:color w:val="auto"/>
        </w:rPr>
        <w:t>” when used with respect to the Issuer or the Trustee, means any vice president, whether or not designated by a number or a word or words added before or after the title “vice president.”</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in the election of the Board of Directors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21" w:lineRule="exact"/>
        <w:rPr>
          <w:sz w:val="20"/>
          <w:szCs w:val="20"/>
          <w:color w:val="auto"/>
        </w:rPr>
      </w:pPr>
    </w:p>
    <w:p>
      <w:pPr>
        <w:ind w:left="440" w:right="20" w:firstLine="419"/>
        <w:spacing w:after="0" w:line="266" w:lineRule="auto"/>
        <w:tabs>
          <w:tab w:leader="none" w:pos="1118"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(a) the amount of each then remaining installment, sinking fund, serial maturity or other required scheduled payments of principal, including payment at final maturity, in respect thereof, by (b) the number of years (calculated to the nearest one-twelfth) that will elapse between such date and the making of such payment; by</w:t>
      </w:r>
    </w:p>
    <w:p>
      <w:pPr>
        <w:spacing w:after="0" w:line="6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 provided that the effect of (x) any prepayment made in respect of such Indebtedness shall be disregarded in making such calculation and (y) any “AHYDO catch-up” payment that may be required to be made in respect of such Indebtedness shall be disregarded in making such calculation.</w:t>
      </w:r>
    </w:p>
    <w:p>
      <w:pPr>
        <w:spacing w:after="0" w:line="17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Wholly-Owned Subsidiary</w:t>
      </w:r>
      <w:r>
        <w:rPr>
          <w:rFonts w:ascii="Times New Roman" w:cs="Times New Roman" w:eastAsia="Times New Roman" w:hAnsi="Times New Roman"/>
          <w:sz w:val="18"/>
          <w:szCs w:val="18"/>
          <w:color w:val="auto"/>
        </w:rPr>
        <w:t>” of any Person means a subsidiary of such Person 100% of the Capital Stock of which (other than directors’ qualifying shares or shares required by Requirements of Law to be owned by a resident of the relevant jurisdiction) are owned by such Person or by one or more Wholly-Owned Subsidiaries of such Person.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80"/>
          </w:cols>
          <w:pgMar w:left="440" w:top="270" w:right="479" w:bottom="1440" w:gutter="0" w:footer="0" w:header="0"/>
        </w:sectPr>
      </w:pPr>
    </w:p>
    <w:bookmarkStart w:id="647" w:name="page648"/>
    <w:bookmarkEnd w:id="64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i w:val="1"/>
          <w:iCs w:val="1"/>
          <w:color w:val="auto"/>
        </w:rPr>
        <w:t>Other Definitions</w:t>
      </w:r>
      <w:r>
        <w:rPr>
          <w:rFonts w:ascii="Times New Roman" w:cs="Times New Roman" w:eastAsia="Times New Roman" w:hAnsi="Times New Roman"/>
          <w:sz w:val="18"/>
          <w:szCs w:val="18"/>
          <w:color w:val="auto"/>
        </w:rPr>
        <w:t>.</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2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3280" w:type="dxa"/>
            <w:vAlign w:val="bottom"/>
          </w:tcPr>
          <w:p>
            <w:pPr>
              <w:spacing w:after="0"/>
              <w:rPr>
                <w:sz w:val="13"/>
                <w:szCs w:val="13"/>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58"/>
        </w:trPr>
        <w:tc>
          <w:tcPr>
            <w:tcW w:w="3220" w:type="dxa"/>
            <w:vAlign w:val="bottom"/>
            <w:gridSpan w:val="2"/>
            <w:vMerge w:val="continue"/>
          </w:tcPr>
          <w:p>
            <w:pPr>
              <w:spacing w:after="0"/>
              <w:rPr>
                <w:sz w:val="13"/>
                <w:szCs w:val="13"/>
                <w:color w:val="auto"/>
              </w:rPr>
            </w:pPr>
          </w:p>
        </w:tc>
        <w:tc>
          <w:tcPr>
            <w:tcW w:w="3280" w:type="dxa"/>
            <w:vAlign w:val="bottom"/>
          </w:tcPr>
          <w:p>
            <w:pPr>
              <w:spacing w:after="0"/>
              <w:rPr>
                <w:sz w:val="13"/>
                <w:szCs w:val="13"/>
                <w:color w:val="auto"/>
              </w:rPr>
            </w:pPr>
          </w:p>
        </w:tc>
        <w:tc>
          <w:tcPr>
            <w:tcW w:w="980" w:type="dxa"/>
            <w:vAlign w:val="bottom"/>
          </w:tcPr>
          <w:p>
            <w:pPr>
              <w:ind w:left="180"/>
              <w:spacing w:after="0" w:line="158" w:lineRule="exact"/>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3220" w:type="dxa"/>
            <w:vAlign w:val="bottom"/>
            <w:gridSpan w:val="2"/>
          </w:tcPr>
          <w:p>
            <w:pPr>
              <w:spacing w:after="0" w:line="185" w:lineRule="exact"/>
              <w:rPr>
                <w:sz w:val="20"/>
                <w:szCs w:val="20"/>
                <w:color w:val="auto"/>
              </w:rPr>
            </w:pPr>
            <w:r>
              <w:rPr>
                <w:rFonts w:ascii="Times New Roman" w:cs="Times New Roman" w:eastAsia="Times New Roman" w:hAnsi="Times New Roman"/>
                <w:sz w:val="18"/>
                <w:szCs w:val="18"/>
                <w:color w:val="auto"/>
              </w:rPr>
              <w:t>“Acceptable Commitment”</w:t>
            </w:r>
          </w:p>
        </w:tc>
        <w:tc>
          <w:tcPr>
            <w:tcW w:w="3280" w:type="dxa"/>
            <w:vAlign w:val="bottom"/>
          </w:tcPr>
          <w:p>
            <w:pPr>
              <w:spacing w:after="0"/>
              <w:rPr>
                <w:sz w:val="16"/>
                <w:szCs w:val="16"/>
                <w:color w:val="auto"/>
              </w:rPr>
            </w:pPr>
          </w:p>
        </w:tc>
        <w:tc>
          <w:tcPr>
            <w:tcW w:w="9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4.13(b)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12.8(w)</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4.12(a)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2.01(b)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Collateral Limitations”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4.19(f)</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“Asset Sale Offer”</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4.13(c)/3.14</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“ASU”</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11.15(d)</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“Authorized Officers”</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“Benefited Party”</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10.01(b)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“CERCLA”</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12.08(r)</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3.08(b)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Purchase Date”</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3.08(b)(iii)</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Purchase Notice”</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3.08(c)</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of Control Purchase Price”</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3.08(a)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Saving Initiative”</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8.03</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“Declined Asset Sale Proceeds”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4.13(c)</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“Directing Holder”</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“Electronic Means”</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Account”</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13.01(a)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Agent”</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13.01(a)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Agreement”</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13.01(a)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“Escrowed Funds”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13.01(b)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Release Conditions”</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Release Date”</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“Escrow Release Officer’s Certificate”</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13.02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“Excess Proceeds”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4.13(c)</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Cost Savings”</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“Fixed Amounts”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11.15(h)</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4.09(a)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“Incurrence-Based Amounts”</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11.15(h)</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Lien”</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“Instructions”</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11.02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 Notice”</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3.08(b)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“Issuer Order”</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“Legend”</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2.12(a)</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“Market Maker”</w:t>
            </w:r>
          </w:p>
        </w:tc>
        <w:tc>
          <w:tcPr>
            <w:tcW w:w="328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4.03(b)</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“Noteholder Direction”</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“Notes Custodian”</w:t>
            </w:r>
          </w:p>
        </w:tc>
        <w:tc>
          <w:tcPr>
            <w:tcW w:w="4260" w:type="dxa"/>
            <w:vAlign w:val="bottom"/>
            <w:gridSpan w:val="2"/>
          </w:tcPr>
          <w:p>
            <w:pPr>
              <w:ind w:left="328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34"/>
        </w:trPr>
        <w:tc>
          <w:tcPr>
            <w:tcW w:w="3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“Notice of Default”</w:t>
            </w:r>
          </w:p>
        </w:tc>
        <w:tc>
          <w:tcPr>
            <w:tcW w:w="328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6.01(k)</w:t>
            </w:r>
          </w:p>
        </w:tc>
        <w:tc>
          <w:tcPr>
            <w:tcW w:w="0" w:type="dxa"/>
            <w:vAlign w:val="bottom"/>
          </w:tcPr>
          <w:p>
            <w:pPr>
              <w:spacing w:after="0"/>
              <w:rPr>
                <w:sz w:val="1"/>
                <w:szCs w:val="1"/>
                <w:color w:val="auto"/>
              </w:rPr>
            </w:pPr>
          </w:p>
        </w:tc>
      </w:tr>
      <w:tr>
        <w:trPr>
          <w:trHeight w:val="365"/>
        </w:trPr>
        <w:tc>
          <w:tcPr>
            <w:tcW w:w="4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2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68</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79"/>
          </w:cols>
          <w:pgMar w:left="880" w:top="268" w:right="1440" w:bottom="1440" w:gutter="0" w:footer="0" w:header="0"/>
        </w:sectPr>
      </w:pPr>
    </w:p>
    <w:bookmarkStart w:id="648" w:name="page649"/>
    <w:bookmarkEnd w:id="64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132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TERM</w:t>
            </w:r>
          </w:p>
        </w:tc>
        <w:tc>
          <w:tcPr>
            <w:tcW w:w="164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DEFINED IN</w:t>
            </w:r>
          </w:p>
        </w:tc>
        <w:tc>
          <w:tcPr>
            <w:tcW w:w="0" w:type="dxa"/>
            <w:vAlign w:val="bottom"/>
          </w:tcPr>
          <w:p>
            <w:pPr>
              <w:spacing w:after="0"/>
              <w:rPr>
                <w:sz w:val="1"/>
                <w:szCs w:val="1"/>
                <w:color w:val="auto"/>
              </w:rPr>
            </w:pPr>
          </w:p>
        </w:tc>
      </w:tr>
      <w:tr>
        <w:trPr>
          <w:trHeight w:val="178"/>
        </w:trPr>
        <w:tc>
          <w:tcPr>
            <w:tcW w:w="5000" w:type="dxa"/>
            <w:vAlign w:val="bottom"/>
            <w:gridSpan w:val="2"/>
            <w:vMerge w:val="continue"/>
          </w:tcPr>
          <w:p>
            <w:pPr>
              <w:spacing w:after="0"/>
              <w:rPr>
                <w:sz w:val="15"/>
                <w:szCs w:val="15"/>
                <w:color w:val="auto"/>
              </w:rPr>
            </w:pPr>
          </w:p>
        </w:tc>
        <w:tc>
          <w:tcPr>
            <w:tcW w:w="1640" w:type="dxa"/>
            <w:vAlign w:val="bottom"/>
          </w:tcPr>
          <w:p>
            <w:pPr>
              <w:spacing w:after="0"/>
              <w:rPr>
                <w:sz w:val="15"/>
                <w:szCs w:val="15"/>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color w:val="auto"/>
              </w:rPr>
              <w:t>SECTION</w:t>
            </w:r>
          </w:p>
        </w:tc>
        <w:tc>
          <w:tcPr>
            <w:tcW w:w="0" w:type="dxa"/>
            <w:vAlign w:val="bottom"/>
          </w:tcPr>
          <w:p>
            <w:pPr>
              <w:spacing w:after="0"/>
              <w:rPr>
                <w:sz w:val="1"/>
                <w:szCs w:val="1"/>
                <w:color w:val="auto"/>
              </w:rPr>
            </w:pPr>
          </w:p>
        </w:tc>
      </w:tr>
      <w:tr>
        <w:trPr>
          <w:trHeight w:val="185"/>
        </w:trPr>
        <w:tc>
          <w:tcPr>
            <w:tcW w:w="40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w w:val="80"/>
              </w:rPr>
              <w:t>“Offer</w:t>
            </w:r>
          </w:p>
        </w:tc>
        <w:tc>
          <w:tcPr>
            <w:tcW w:w="4600" w:type="dxa"/>
            <w:vAlign w:val="bottom"/>
          </w:tcPr>
          <w:p>
            <w:pPr>
              <w:ind w:left="120"/>
              <w:spacing w:after="0" w:line="185" w:lineRule="exact"/>
              <w:rPr>
                <w:sz w:val="20"/>
                <w:szCs w:val="20"/>
                <w:color w:val="auto"/>
              </w:rPr>
            </w:pPr>
            <w:r>
              <w:rPr>
                <w:rFonts w:ascii="Times New Roman" w:cs="Times New Roman" w:eastAsia="Times New Roman" w:hAnsi="Times New Roman"/>
                <w:sz w:val="18"/>
                <w:szCs w:val="18"/>
                <w:color w:val="auto"/>
              </w:rPr>
              <w:t>Amount”</w:t>
            </w:r>
          </w:p>
        </w:tc>
        <w:tc>
          <w:tcPr>
            <w:tcW w:w="1640" w:type="dxa"/>
            <w:vAlign w:val="bottom"/>
          </w:tcPr>
          <w:p>
            <w:pPr>
              <w:spacing w:after="0"/>
              <w:rPr>
                <w:sz w:val="16"/>
                <w:szCs w:val="16"/>
                <w:color w:val="auto"/>
              </w:rPr>
            </w:pPr>
          </w:p>
        </w:tc>
        <w:tc>
          <w:tcPr>
            <w:tcW w:w="840" w:type="dxa"/>
            <w:vAlign w:val="bottom"/>
            <w:tcBorders>
              <w:top w:val="single" w:sz="8" w:color="auto"/>
            </w:tcBorders>
          </w:tcPr>
          <w:p>
            <w:pPr>
              <w:spacing w:after="0" w:line="185" w:lineRule="exact"/>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Period”</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Default”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6.01(e)(i)</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“Performance References”</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Debt”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4.09(b)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“Position Representation”</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“Purchase Date”</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“Refunding Capital Stock”</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4.08(b)(v)</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“Registrar”</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“Reinstatement Date”</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4.07(c)</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“Related Person”</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12.08(b)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Amount”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4.13(b)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“Restricted Payments”</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4.08(a)(iv)</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“Secured System”</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4.03(b)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Analyst”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4.03(b)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Mandatory Redemption”</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3.16(a)</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Mandatory Redemption Date”</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3.16(b)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Mandatory Redemption Event”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3.16(a)</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Mandatory Redemption Notice Date”</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3.16(b)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“Special Mandatory Redemption Price”</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3.16(a)</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“Suspended Covenants”</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4.07(a)</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4.07(b)</w:t>
            </w:r>
          </w:p>
        </w:tc>
        <w:tc>
          <w:tcPr>
            <w:tcW w:w="0" w:type="dxa"/>
            <w:vAlign w:val="bottom"/>
          </w:tcPr>
          <w:p>
            <w:pPr>
              <w:spacing w:after="0"/>
              <w:rPr>
                <w:sz w:val="1"/>
                <w:szCs w:val="1"/>
                <w:color w:val="auto"/>
              </w:rPr>
            </w:pPr>
          </w:p>
        </w:tc>
      </w:tr>
      <w:tr>
        <w:trPr>
          <w:trHeight w:val="216"/>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“Treasury Capital Stock”</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4.08(b)(v)</w:t>
            </w:r>
          </w:p>
        </w:tc>
        <w:tc>
          <w:tcPr>
            <w:tcW w:w="0" w:type="dxa"/>
            <w:vAlign w:val="bottom"/>
          </w:tcPr>
          <w:p>
            <w:pPr>
              <w:spacing w:after="0"/>
              <w:rPr>
                <w:sz w:val="1"/>
                <w:szCs w:val="1"/>
                <w:color w:val="auto"/>
              </w:rPr>
            </w:pPr>
          </w:p>
        </w:tc>
      </w:tr>
      <w:tr>
        <w:trPr>
          <w:trHeight w:val="234"/>
        </w:trPr>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“Verification Covenant”</w:t>
            </w:r>
          </w:p>
        </w:tc>
        <w:tc>
          <w:tcPr>
            <w:tcW w:w="2480" w:type="dxa"/>
            <w:vAlign w:val="bottom"/>
            <w:gridSpan w:val="2"/>
          </w:tcPr>
          <w:p>
            <w:pPr>
              <w:ind w:left="1640"/>
              <w:spacing w:after="0"/>
              <w:rPr>
                <w:sz w:val="20"/>
                <w:szCs w:val="20"/>
                <w:color w:val="auto"/>
              </w:rPr>
            </w:pPr>
            <w:r>
              <w:rPr>
                <w:rFonts w:ascii="Times New Roman" w:cs="Times New Roman" w:eastAsia="Times New Roman" w:hAnsi="Times New Roman"/>
                <w:sz w:val="18"/>
                <w:szCs w:val="18"/>
                <w:color w:val="auto"/>
              </w:rPr>
              <w:t>6.02</w:t>
            </w:r>
          </w:p>
        </w:tc>
        <w:tc>
          <w:tcPr>
            <w:tcW w:w="0" w:type="dxa"/>
            <w:vAlign w:val="bottom"/>
          </w:tcPr>
          <w:p>
            <w:pPr>
              <w:spacing w:after="0"/>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i w:val="1"/>
          <w:iCs w:val="1"/>
          <w:color w:val="auto"/>
        </w:rPr>
        <w:t>Rules of Construction</w:t>
      </w:r>
      <w:r>
        <w:rPr>
          <w:rFonts w:ascii="Times New Roman" w:cs="Times New Roman" w:eastAsia="Times New Roman" w:hAnsi="Times New Roman"/>
          <w:sz w:val="18"/>
          <w:szCs w:val="18"/>
          <w:color w:val="auto"/>
        </w:rPr>
        <w:t>. Unless the context otherwise requires:</w:t>
      </w:r>
    </w:p>
    <w:p>
      <w:pPr>
        <w:spacing w:after="0" w:line="119" w:lineRule="exact"/>
        <w:rPr>
          <w:sz w:val="20"/>
          <w:szCs w:val="20"/>
          <w:color w:val="auto"/>
        </w:rPr>
      </w:pPr>
    </w:p>
    <w:p>
      <w:pPr>
        <w:ind w:left="720" w:hanging="301"/>
        <w:spacing w:after="0"/>
        <w:tabs>
          <w:tab w:leader="none" w:pos="72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GAAP;</w:t>
      </w:r>
    </w:p>
    <w:p>
      <w:pPr>
        <w:spacing w:after="0" w:line="117"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apply to successive events and transactions;</w:t>
      </w:r>
    </w:p>
    <w:p>
      <w:pPr>
        <w:spacing w:after="0" w:line="117" w:lineRule="exact"/>
        <w:rPr>
          <w:rFonts w:ascii="Times New Roman" w:cs="Times New Roman" w:eastAsia="Times New Roman" w:hAnsi="Times New Roman"/>
          <w:sz w:val="18"/>
          <w:szCs w:val="18"/>
          <w:color w:val="auto"/>
        </w:rPr>
      </w:pPr>
    </w:p>
    <w:p>
      <w:pPr>
        <w:ind w:left="700" w:hanging="281"/>
        <w:spacing w:after="0"/>
        <w:tabs>
          <w:tab w:leader="none" w:pos="70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“merger” includes a statutory share exchange and the term “merged” has a correlative meaning;</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masculine gender includes the feminine and the neuter;</w:t>
      </w:r>
    </w:p>
    <w:p>
      <w:pPr>
        <w:spacing w:after="0" w:line="15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9579"/>
          </w:cols>
          <w:pgMar w:left="880" w:top="254" w:right="1440" w:bottom="1440" w:gutter="0" w:footer="0" w:header="0"/>
        </w:sectPr>
      </w:pPr>
    </w:p>
    <w:bookmarkStart w:id="649" w:name="page650"/>
    <w:bookmarkEnd w:id="649"/>
    <w:p>
      <w:pPr>
        <w:ind w:left="1160" w:hanging="301"/>
        <w:spacing w:after="0"/>
        <w:tabs>
          <w:tab w:leader="none" w:pos="1160"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references to agreements and other instruments include subsequent amendments thereto;</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58"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subdivision;</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088"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to ratings by Fitch, Moody’s or S&amp;P shall include any successor equivalent ratings if either Fitch, Moody’s or S&amp;P changes its ratings scale subsequent to the date of this Indenture;</w:t>
      </w:r>
    </w:p>
    <w:p>
      <w:pPr>
        <w:spacing w:after="0" w:line="53"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098"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for herein, the Notes will be treated as a single class for all purposes under this Indenture, including, without limitation, waivers, amendments, redemptions and offers to purchase;</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58"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reference to a statute includes all regulations made pursuant to such statute and, unless otherwise specified, the provisions of any statute or regulation which amends, revises, restates, supplements or supersedes any such statute or any such regulation;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2</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2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i w:val="1"/>
          <w:iCs w:val="1"/>
          <w:color w:val="auto"/>
        </w:rPr>
        <w:t>Form and Dating</w:t>
      </w:r>
      <w:r>
        <w:rPr>
          <w:rFonts w:ascii="Times New Roman" w:cs="Times New Roman" w:eastAsia="Times New Roman" w:hAnsi="Times New Roman"/>
          <w:sz w:val="18"/>
          <w:szCs w:val="18"/>
          <w:color w:val="auto"/>
        </w:rPr>
        <w:t xml:space="preserve">. The Notes and the Trustee’s certificate of authentication with respect thereto shall be substantially in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are incorporated in and made part of this Indenture. The Notes may have notations, legends or endorsements required by law, stock exchange rule or usage. The Issuer shall provide any such notations, legends or endorsements to the Trustee in writing. The Notes shall be in a minimum denomination of $2,000 and integral multiples of $1,000 in excess thereof. Each Note shall be dated the date of its authentication. The Notes are being offered and sold by the Issuer in transactions exempt from, or not subject to, the registration requirements of the Securities Act.</w:t>
      </w:r>
    </w:p>
    <w:p>
      <w:pPr>
        <w:spacing w:after="0" w:line="185" w:lineRule="exact"/>
        <w:rPr>
          <w:sz w:val="20"/>
          <w:szCs w:val="20"/>
          <w:color w:val="auto"/>
        </w:rPr>
      </w:pPr>
    </w:p>
    <w:p>
      <w:pPr>
        <w:ind w:right="40" w:firstLine="436"/>
        <w:spacing w:after="0" w:line="255" w:lineRule="auto"/>
        <w:tabs>
          <w:tab w:leader="none" w:pos="685"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Global Notes</w:t>
      </w:r>
      <w:r>
        <w:rPr>
          <w:rFonts w:ascii="Times New Roman" w:cs="Times New Roman" w:eastAsia="Times New Roman" w:hAnsi="Times New Roman"/>
          <w:sz w:val="18"/>
          <w:szCs w:val="18"/>
          <w:color w:val="auto"/>
        </w:rPr>
        <w:t>. All of the Notes are initially being offered and sold to (i) qualified institutional buyers as defined in Rule 144A in reliance on Rule 144A under the Securities Act or (ii) outside the United States to persons other than U.S. persons in reliance upon Regulation S under the Securities Act, and shall be issued initially in the form of one or more 144A Global Notes and Regulation S Global Notes, respectively, which shall be deposited on behalf of the purchasers of the Notes represented thereby with the Trustee, as custodian for the depositary, DTC, and registered in the name of its nominee, Cede &amp; Co., duly executed by the Issuer and, upon receipt of an Issuer Order, authenticated by the Trustee as hereinafter provided. The aggregate principal amount of the Restricted Global Notes may from time to time be increased or decreased by adjustments made on the records of the Notes Custodian as hereinafter provided, subject in each case to compliance with the Applicable Procedures.</w:t>
      </w:r>
    </w:p>
    <w:p>
      <w:pPr>
        <w:spacing w:after="0" w:line="188"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Notes</w:t>
      </w:r>
      <w:r>
        <w:rPr>
          <w:rFonts w:ascii="Times New Roman" w:cs="Times New Roman" w:eastAsia="Times New Roman" w:hAnsi="Times New Roman"/>
          <w:sz w:val="18"/>
          <w:szCs w:val="18"/>
          <w:color w:val="auto"/>
        </w:rPr>
        <w:t xml:space="preserve">. Notes issued in global form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(including the Global Note Legend thereon and the “Schedule of Exchanges of Interests in the Global Note” attached thereto). Definitive Notes shall be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(but without the Global Note Legend thereon and without the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650" w:name="page651"/>
    <w:bookmarkEnd w:id="650"/>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 of Exchanges of Interests in the Global Note” attached thereto). Each Global Note shall represent such of the outstanding Notes as shall be specified therein and each shall provide that it shall represent the aggregate principal amount of outstanding Notes from time to time endorsed thereon and that the aggregate principal amount of outstanding Notes represented thereby may from time to time be reduced or increased, as appropriate, to reflect exchanges and redemptions. Any endorsement of a Global Note to reflect the amount of any increase or decrease in the aggregate principal amount of outstanding Notes represented thereby shall be made by the Trustee or the Notes Custodian, at the direction of the Trustee, in accordance with instructions given by the Holder thereof as required by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 and shall be made on the records of the Trustee and the Depositary.</w:t>
      </w:r>
    </w:p>
    <w:p>
      <w:pPr>
        <w:spacing w:after="0" w:line="183"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Members of, or participants in, the Depositary (“</w:t>
      </w:r>
      <w:r>
        <w:rPr>
          <w:rFonts w:ascii="Times New Roman" w:cs="Times New Roman" w:eastAsia="Times New Roman" w:hAnsi="Times New Roman"/>
          <w:sz w:val="18"/>
          <w:szCs w:val="18"/>
          <w:b w:val="1"/>
          <w:bCs w:val="1"/>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Depositary or under the Global Note, and the Depositary (including, for this purpose, its nominee) may be treated by the Issuer, the Trustee and any agent of the Issuer or the Trustee as the absolute owner and Holder of such Global Note for all purposes whatsoever. Notwithstanding the foregoing, nothing herein shall (A) prevent the Issuer, the Trustee or any agent of the Issuer or the Trustee from giving effect to any written certification, proxy or other authorization furnished by the Depositary or (B) impair, as between the Depositary and its Agent Members, the operation of customary practices governing the exercise of the rights of a Holder of any Note.</w:t>
      </w:r>
    </w:p>
    <w:p>
      <w:pPr>
        <w:spacing w:after="0" w:line="186" w:lineRule="exact"/>
        <w:rPr>
          <w:sz w:val="20"/>
          <w:szCs w:val="20"/>
          <w:color w:val="auto"/>
        </w:rPr>
      </w:pPr>
    </w:p>
    <w:p>
      <w:pPr>
        <w:ind w:firstLine="436"/>
        <w:spacing w:after="0" w:line="256" w:lineRule="auto"/>
        <w:tabs>
          <w:tab w:leader="none" w:pos="685"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Subject to compliance with the provisions of Sections </w:t>
      </w:r>
      <w:r>
        <w:rPr>
          <w:rFonts w:ascii="Times New Roman" w:cs="Times New Roman" w:eastAsia="Times New Roman" w:hAnsi="Times New Roman"/>
          <w:sz w:val="18"/>
          <w:szCs w:val="18"/>
          <w:u w:val="single" w:color="auto"/>
          <w:color w:val="auto"/>
        </w:rPr>
        <w:t>4.09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hereof, the Issuer may issue Additional Notes in an unlimited amount under this Indenture. Any such Additional Notes shall have the same terms as the Initial Notes but may be offered at a different offering price or have a different initial interest payment date than the Initial Notes. If issued, such Additional Notes shall become part of the same series as the Initial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Initial Notes for U.S. federal income tax purposes, such Additional Notes shall have one or more separate CUSIP numbers and/or other identifying numbers. Holders of Additional Notes, if any, shall share equally and ratably in the Collateral with the Holders of the Initial Notes.</w:t>
      </w:r>
    </w:p>
    <w:p>
      <w:pPr>
        <w:spacing w:after="0" w:line="187"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Regulation S Global Notes</w:t>
      </w:r>
      <w:r>
        <w:rPr>
          <w:rFonts w:ascii="Times New Roman" w:cs="Times New Roman" w:eastAsia="Times New Roman" w:hAnsi="Times New Roman"/>
          <w:sz w:val="18"/>
          <w:szCs w:val="18"/>
          <w:color w:val="auto"/>
        </w:rPr>
        <w:t xml:space="preserve">. Global Notes offered and sold in reliance on Regulation S shall initially be represented by one or more Regulation S Global Notes,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with such applicable legends as are provided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Regulation S Global Notes will be deposited, upon issuance, on behalf of the purchasers of the Notes represented thereby with the Trustee, as custodian for the Depositary and registered in the name of the Depositary or the nominee of the Depositary, duly executed by the Issuer, upon receipt of an Issuer Order, authenticated by the Trustee as hereinafter provided.</w:t>
      </w:r>
    </w:p>
    <w:p>
      <w:pPr>
        <w:spacing w:after="0" w:line="183"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aggregate principal amount of the Regulation S Global Notes may from time to time be increased or decreased by adjustments made on the records of the Trustee and the Depositary or its nominee, as the case may be, in connection with transfers of interest as hereinafter provided.</w:t>
      </w:r>
    </w:p>
    <w:p>
      <w:pPr>
        <w:spacing w:after="0" w:line="162" w:lineRule="exact"/>
        <w:rPr>
          <w:sz w:val="20"/>
          <w:szCs w:val="20"/>
          <w:color w:val="auto"/>
        </w:rPr>
      </w:pPr>
    </w:p>
    <w:p>
      <w:pPr>
        <w:ind w:firstLine="436"/>
        <w:spacing w:after="0" w:line="261" w:lineRule="auto"/>
        <w:tabs>
          <w:tab w:leader="none" w:pos="685"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 Entry Provisions</w:t>
      </w:r>
      <w:r>
        <w:rPr>
          <w:rFonts w:ascii="Times New Roman" w:cs="Times New Roman" w:eastAsia="Times New Roman" w:hAnsi="Times New Roman"/>
          <w:sz w:val="18"/>
          <w:szCs w:val="18"/>
          <w:color w:val="auto"/>
        </w:rPr>
        <w:t xml:space="preserve">. The Issuer shall execute, upon receipt of an Issuer Order, and the Trustee shall, in accordance with this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authenticate and deliver initially one or more Global Notes that (i) shall be registered in the name of the applicable Depositary or its nominee, (ii) shall be delivered by the Trustee to the applicable Depositary or pursuant to the applicable Depositary’s instructions and (iii) shall bear legends substantially in the form of the first paragraph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651" w:name="page652"/>
    <w:bookmarkEnd w:id="651"/>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2.02 </w:t>
      </w:r>
      <w:r>
        <w:rPr>
          <w:rFonts w:ascii="Times New Roman" w:cs="Times New Roman" w:eastAsia="Times New Roman" w:hAnsi="Times New Roman"/>
          <w:sz w:val="18"/>
          <w:szCs w:val="18"/>
          <w:i w:val="1"/>
          <w:iCs w:val="1"/>
          <w:color w:val="auto"/>
        </w:rPr>
        <w:t>Execution and Authentication</w:t>
      </w:r>
      <w:r>
        <w:rPr>
          <w:rFonts w:ascii="Times New Roman" w:cs="Times New Roman" w:eastAsia="Times New Roman" w:hAnsi="Times New Roman"/>
          <w:sz w:val="18"/>
          <w:szCs w:val="18"/>
          <w:color w:val="auto"/>
        </w:rPr>
        <w:t>. An Officer of the Issuer shall sign the Notes for the Issuer by manual, facsimile or electronic signature. Typographic and other minor errors or defects in any such electronic signature shall not affect the validity or enforceability of any Note which has been authenticated and delivered by the Trustee.</w:t>
      </w:r>
    </w:p>
    <w:p>
      <w:pPr>
        <w:spacing w:after="0" w:line="17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Note no longer holds that office at the time the Trustee authenticates the Note, the Note shall be valid nevertheless.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Note shall not be valid until an authorized signatory of the Trustee manually or electronically signs the certificate of authentication on the Note.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signature shall be conclusive evidence that the Note has been authenticated under this Indenture.</w:t>
      </w:r>
    </w:p>
    <w:p>
      <w:pPr>
        <w:spacing w:after="0" w:line="20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Trustee shall, upon receipt of an Issuer Order, authenticate and make available for delivery the Notes for original issue in an initial aggregate principal amount of $1,400,000,000 and Additional Notes as contemplated by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hereof, upon receipt of a written order of the Issuer signed by an Officer of the Issuer (an “</w:t>
      </w:r>
      <w:r>
        <w:rPr>
          <w:rFonts w:ascii="Times New Roman" w:cs="Times New Roman" w:eastAsia="Times New Roman" w:hAnsi="Times New Roman"/>
          <w:sz w:val="18"/>
          <w:szCs w:val="18"/>
          <w:b w:val="1"/>
          <w:bCs w:val="1"/>
          <w:color w:val="auto"/>
        </w:rPr>
        <w:t>Issuer Order</w:t>
      </w:r>
      <w:r>
        <w:rPr>
          <w:rFonts w:ascii="Times New Roman" w:cs="Times New Roman" w:eastAsia="Times New Roman" w:hAnsi="Times New Roman"/>
          <w:sz w:val="18"/>
          <w:szCs w:val="18"/>
          <w:color w:val="auto"/>
        </w:rPr>
        <w:t xml:space="preserve">”). The Issuer Order shall specify the amount of Notes to be authenticated and shall provide that all such Notes will be represented by a Restricted Global Note and the date on which such issue of Notes is to be authenticated. The aggregate principal amount of Notes outstanding at any time may not exceed the applicable amounts in the foregoing sentence, except as provided in Sections </w:t>
      </w:r>
      <w:r>
        <w:rPr>
          <w:rFonts w:ascii="Times New Roman" w:cs="Times New Roman" w:eastAsia="Times New Roman" w:hAnsi="Times New Roman"/>
          <w:sz w:val="18"/>
          <w:szCs w:val="18"/>
          <w:u w:val="single" w:color="auto"/>
          <w:color w:val="auto"/>
        </w:rPr>
        <w:t>2.01(c)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hereof.</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The Trustee shall act as the initial authenticating agent. Thereafter, the Trustee may appoint an authenticating agent acceptable to the Issuer to authenticate Notes. An authenticating agent may authenticate Notes whenever the Trustee may do so. Each reference in this Indenture to authentication by the Trustee includes authentication by such agent. An authenticating agent shall have the same rights as an Agent to deal with the Issuer or an Affiliate of the Issuer.</w:t>
      </w:r>
    </w:p>
    <w:p>
      <w:pPr>
        <w:spacing w:after="0" w:line="180"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The Notes shall be issuable only in registered form without coupons and only in minimum denominations of $2,000 principal amount and integral multiples of $1,000 in excess thereof.</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2.03 </w:t>
      </w:r>
      <w:r>
        <w:rPr>
          <w:rFonts w:ascii="Times New Roman" w:cs="Times New Roman" w:eastAsia="Times New Roman" w:hAnsi="Times New Roman"/>
          <w:sz w:val="17"/>
          <w:szCs w:val="17"/>
          <w:i w:val="1"/>
          <w:iCs w:val="1"/>
          <w:color w:val="auto"/>
        </w:rPr>
        <w:t>Registrar, Paying Agent and Transfer Agent</w:t>
      </w:r>
      <w:r>
        <w:rPr>
          <w:rFonts w:ascii="Times New Roman" w:cs="Times New Roman" w:eastAsia="Times New Roman" w:hAnsi="Times New Roman"/>
          <w:sz w:val="17"/>
          <w:szCs w:val="17"/>
          <w:color w:val="auto"/>
        </w:rPr>
        <w:t>. The Issuer shall maintain one or more offices or agencies where Notes may be presented</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registration of transfer or for exchange (each, a “</w:t>
      </w:r>
      <w:r>
        <w:rPr>
          <w:rFonts w:ascii="Times New Roman" w:cs="Times New Roman" w:eastAsia="Times New Roman" w:hAnsi="Times New Roman"/>
          <w:sz w:val="18"/>
          <w:szCs w:val="18"/>
          <w:b w:val="1"/>
          <w:bCs w:val="1"/>
          <w:color w:val="auto"/>
        </w:rPr>
        <w:t>Registrar</w:t>
      </w:r>
      <w:r>
        <w:rPr>
          <w:rFonts w:ascii="Times New Roman" w:cs="Times New Roman" w:eastAsia="Times New Roman" w:hAnsi="Times New Roman"/>
          <w:sz w:val="18"/>
          <w:szCs w:val="18"/>
          <w:color w:val="auto"/>
        </w:rPr>
        <w:t>”), one or more offices or agencies where Notes may be presented for payment (each,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Paying Agent</w:t>
      </w:r>
      <w:r>
        <w:rPr>
          <w:rFonts w:ascii="Times New Roman" w:cs="Times New Roman" w:eastAsia="Times New Roman" w:hAnsi="Times New Roman"/>
          <w:sz w:val="17"/>
          <w:szCs w:val="17"/>
          <w:color w:val="auto"/>
        </w:rPr>
        <w:t>”) and one or more offices or agencies where notices and demands to or upon the Issuer in respect of the Notes and this Indenture may be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served. In addition, the Issuer will maintain one or more transfer agents (each, a “</w:t>
      </w:r>
      <w:r>
        <w:rPr>
          <w:rFonts w:ascii="Times New Roman" w:cs="Times New Roman" w:eastAsia="Times New Roman" w:hAnsi="Times New Roman"/>
          <w:sz w:val="18"/>
          <w:szCs w:val="18"/>
          <w:b w:val="1"/>
          <w:bCs w:val="1"/>
          <w:color w:val="auto"/>
        </w:rPr>
        <w:t>Transfer Agent</w:t>
      </w:r>
      <w:r>
        <w:rPr>
          <w:rFonts w:ascii="Times New Roman" w:cs="Times New Roman" w:eastAsia="Times New Roman" w:hAnsi="Times New Roman"/>
          <w:sz w:val="18"/>
          <w:szCs w:val="18"/>
          <w:color w:val="auto"/>
        </w:rPr>
        <w:t>”). The Issuer will at all times maintain a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Agent, Registrar, Transfer Agent and an office or agency where notices and demands to or upon the Issuer in respect of the Notes and this Indenture may</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served in the Borough of Manhattan in the City of New York.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68" w:right="459" w:bottom="1440" w:gutter="0" w:footer="0" w:header="0"/>
        </w:sectPr>
      </w:pPr>
    </w:p>
    <w:bookmarkStart w:id="652" w:name="page653"/>
    <w:bookmarkEnd w:id="652"/>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shall enter into an appropriate agency agreement with any Agent not a party to this Indenture. The agreement shall implement the provisions of this Indenture that relate to such Agent. The Issuer shall notify in writing the Trustee of the name and address of any Agent not a party to this Indenture. If the Issuer fails to maintain a Registrar, Paying Agent, Transfer Agent or agent for service of notices and demands in any place required by this Indenture, or fail to give the foregoing notice, the Trustee shall act as such. The Issuer or any Affiliate of the Issuer may act as Paying Agent (except for the purposes of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The Issuer hereby initially designates the Trustee as Paying Agent, Registrar, Transfer Agent and custodian for the Notes (in such capacity, the “</w:t>
      </w:r>
      <w:r>
        <w:rPr>
          <w:rFonts w:ascii="Times New Roman" w:cs="Times New Roman" w:eastAsia="Times New Roman" w:hAnsi="Times New Roman"/>
          <w:sz w:val="18"/>
          <w:szCs w:val="18"/>
          <w:b w:val="1"/>
          <w:bCs w:val="1"/>
          <w:color w:val="auto"/>
        </w:rPr>
        <w:t>Notes Custodian</w:t>
      </w:r>
      <w:r>
        <w:rPr>
          <w:rFonts w:ascii="Times New Roman" w:cs="Times New Roman" w:eastAsia="Times New Roman" w:hAnsi="Times New Roman"/>
          <w:sz w:val="18"/>
          <w:szCs w:val="18"/>
          <w:color w:val="auto"/>
        </w:rPr>
        <w:t>”), and the Corporate Trust Office of the Trustee as one such office or agency of the Issuer for each of the aforesaid purposes. In acting hereunder and in connection with the Notes, the Notes Custodian, the Paying Agent, the Transfer Agent and the Registrar shall act solely as agents of the Issuer, and will not thereby assume any obligations towards or relationship of agency or trust for or with any Holder of the Notes.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may change the Paying Agents, Registrar or Transfer Agent in its sole discretion without prior notice to the Holders.</w:t>
      </w:r>
    </w:p>
    <w:p>
      <w:pPr>
        <w:spacing w:after="0" w:line="223"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i w:val="1"/>
          <w:iCs w:val="1"/>
          <w:color w:val="auto"/>
        </w:rPr>
        <w:t>Paying Agent to Hold Money in Trust</w:t>
      </w:r>
      <w:r>
        <w:rPr>
          <w:rFonts w:ascii="Times New Roman" w:cs="Times New Roman" w:eastAsia="Times New Roman" w:hAnsi="Times New Roman"/>
          <w:sz w:val="18"/>
          <w:szCs w:val="18"/>
          <w:color w:val="auto"/>
        </w:rPr>
        <w:t>. Prior to 10:00 a.m., New York City time, on the due date of the principal of or interest on any Notes, the Issuer shall deposit with a Paying Agent a sum sufficient to pay such principal or interest, if any, so becoming due. A Paying Agent shall hold in trust for the benefit of Noteholders or the Trustee all money held by the Paying Agent for the payment of principal of or interest on the Notes, and shall notify the Trustee of any default by the Issuer (or any other obligor on the Notes) in making any such payment. If the Issuer or an Affiliate of the Issuer acts as Paying Agent, the Issuer or such Affiliate shall, before 10:00 a.m., New York City time, on each due date of the principal of or interest on any Notes, segregate the money and hold it as a separate trust fund. The Issuer at any time may require a Paying Agent to pay all money held by it to the Trustee, and the Trustee may at any time during the continuance of any Default, upon written request to a Paying Agent, require such Paying Agent to pay forthwith to the Trustee all sums so held in trust by such Paying Agent. Upon doing so, the Paying Agent (other than the Issuer) shall have no further liability for the money. For the avoidance of doubt, in no event shall any Paying Agent (unless the Issuer or an Affiliate of the Issuer is acting as Paying Agent) be required to advance funds for any payment on the Notes hereunder or to make any such payment until the Paying Agent has actually received such funds from the Issuer.</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i w:val="1"/>
          <w:iCs w:val="1"/>
          <w:color w:val="auto"/>
        </w:rPr>
        <w:t>Noteholder Lists</w:t>
      </w:r>
      <w:r>
        <w:rPr>
          <w:rFonts w:ascii="Times New Roman" w:cs="Times New Roman" w:eastAsia="Times New Roman" w:hAnsi="Times New Roman"/>
          <w:sz w:val="18"/>
          <w:szCs w:val="18"/>
          <w:color w:val="auto"/>
        </w:rPr>
        <w:t>. The Trustee or Registrar shall preserve in as current a form as is reasonably practicable the most recent list available to it of the names and addresses of Noteholders. If the Trustee is not the Registrar, the Issuer shall furnish to the Trustee on or before each interest payment date, and at such other times as the Trustee may request in writing, a list in such form and as of such date as the Trustee may reasonably require of the names and addresses of Noteholders.</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i w:val="1"/>
          <w:iCs w:val="1"/>
          <w:color w:val="auto"/>
        </w:rPr>
        <w:t>Transfer and Exchange</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40" w:firstLine="436"/>
        <w:spacing w:after="0" w:line="266" w:lineRule="auto"/>
        <w:tabs>
          <w:tab w:leader="none" w:pos="685" w:val="left"/>
        </w:tabs>
        <w:numPr>
          <w:ilvl w:val="0"/>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any applicable additional requirements contained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 when a Note is presented to a Registrar with a request to register a transfer thereof or to exchange such Note for an equal principal amount of Notes of other authorized denominations, the Registrar shall register the transfer or make the exchange as requested;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20"/>
          </w:cols>
          <w:pgMar w:left="440" w:top="270" w:right="439" w:bottom="1440" w:gutter="0" w:footer="0" w:header="0"/>
        </w:sectPr>
      </w:pPr>
    </w:p>
    <w:bookmarkStart w:id="653" w:name="page654"/>
    <w:bookmarkEnd w:id="653"/>
    <w:p>
      <w:pPr>
        <w:ind w:right="20"/>
        <w:spacing w:after="0" w:line="255"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every Note presented or surrendered for registration of transfer or exchange shall be duly endorsed or accompanied by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assignment form and, if applicable, a transfer certificate in the form(s) included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as applicable, and in form satisfactory to the Registrar, duly executed by the Holder thereof or its attorney duly authorized in writing. To permit registration of transfers and exchanges, upon surrender of any Note for registration of transfer or exchange at an office or agency maintained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hereof, the Issuer shall execute and, upon receipt of an Issuer Order, the Trustee shall authenticate Notes of a like aggregate principal amount at the Registrar’s request. Any exchange or transfer shall be without charge, except that the Issuer and/or the Trustee or the Registrar may require payment of a sum sufficient to cover any tax or other governmental charge that may be imposed in relation thereto,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sentence shall not apply to any exchange pursuant to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 xml:space="preserve"> hereof.</w:t>
      </w:r>
    </w:p>
    <w:p>
      <w:pPr>
        <w:spacing w:after="0" w:line="18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Neither the Issuer, any Registrar nor the Trustee shall be required to exchange or register a transfer of any Notes or portions thereof in respect of which a Change of Control Purchase Notice or a notice in connection with an Asset Sale Offer has been delivered and not withdrawn by the Holder thereof (except, in the case of the purchase of a Note in part, the portion thereof not to be purchased).</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All Notes issued upon any transfer or exchange of Notes shall be valid obligations of the Issuer, evidencing the same debt and entitled to the same benefits under this Indenture, as the Notes surrendered upon such transfer or exchange.</w:t>
      </w:r>
    </w:p>
    <w:p>
      <w:pPr>
        <w:spacing w:after="0" w:line="162" w:lineRule="exact"/>
        <w:rPr>
          <w:sz w:val="20"/>
          <w:szCs w:val="20"/>
          <w:color w:val="auto"/>
        </w:rPr>
      </w:pPr>
    </w:p>
    <w:p>
      <w:pPr>
        <w:ind w:firstLine="436"/>
        <w:spacing w:after="0" w:line="282" w:lineRule="auto"/>
        <w:tabs>
          <w:tab w:leader="none" w:pos="695" w:val="left"/>
        </w:tabs>
        <w:numPr>
          <w:ilvl w:val="0"/>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Registrar appointed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hereof shall provide to the Trustee such information as the Trustee may reasonably require in connection with the delivery by such Registrar of Notes upon transfer or exchange of Notes.</w:t>
      </w:r>
    </w:p>
    <w:p>
      <w:pPr>
        <w:spacing w:after="0" w:line="161" w:lineRule="exact"/>
        <w:rPr>
          <w:rFonts w:ascii="Times New Roman" w:cs="Times New Roman" w:eastAsia="Times New Roman" w:hAnsi="Times New Roman"/>
          <w:sz w:val="18"/>
          <w:szCs w:val="18"/>
          <w:color w:val="auto"/>
        </w:rPr>
      </w:pPr>
    </w:p>
    <w:p>
      <w:pPr>
        <w:ind w:right="520" w:firstLine="436"/>
        <w:spacing w:after="0" w:line="312" w:lineRule="auto"/>
        <w:tabs>
          <w:tab w:leader="none" w:pos="685" w:val="left"/>
        </w:tabs>
        <w:numPr>
          <w:ilvl w:val="0"/>
          <w:numId w:val="8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Holder of a Note agrees to indemnify the Issuer and the Trustee against any liability that may result from the transfer, exchange or assignment of such Holder’s Note in violation of any provision of this Indenture and/or applicable United States federal or state securities law.</w:t>
      </w:r>
    </w:p>
    <w:p>
      <w:pPr>
        <w:spacing w:after="0" w:line="139" w:lineRule="exact"/>
        <w:rPr>
          <w:rFonts w:ascii="Times New Roman" w:cs="Times New Roman" w:eastAsia="Times New Roman" w:hAnsi="Times New Roman"/>
          <w:sz w:val="17"/>
          <w:szCs w:val="17"/>
          <w:color w:val="auto"/>
        </w:rPr>
      </w:pPr>
    </w:p>
    <w:p>
      <w:pPr>
        <w:ind w:right="120" w:firstLine="436"/>
        <w:spacing w:after="0" w:line="253" w:lineRule="auto"/>
        <w:tabs>
          <w:tab w:leader="none" w:pos="695" w:val="left"/>
        </w:tabs>
        <w:numPr>
          <w:ilvl w:val="0"/>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w:t>
      </w:r>
      <w:r>
        <w:rPr>
          <w:rFonts w:ascii="Times New Roman" w:cs="Times New Roman" w:eastAsia="Times New Roman" w:hAnsi="Times New Roman"/>
          <w:sz w:val="18"/>
          <w:szCs w:val="18"/>
          <w:color w:val="auto"/>
        </w:rPr>
        <w:t>. Neither the Trustee nor the Registrar shall have any responsibility or obligation to any beneficial owner of a Global Note, a member of, or a participant in, Depositary or other Person with respect to the accuracy of the records of Depositary or its nominee or of any participant or member thereof, with respect to any ownership interest in the Notes or with respect to the delivery to any participant, member, beneficial owner of a Global Note or other Person (other than Depositary and any other Holder) of any notice (including any notice of redemption or purchase) or the payment of any amount or delivery of any Notes (or other security or property) under or with respect to such Notes. All notices and communications to be given to the Holders shall be given only to or upon the order of the registered Holders (which shall be Depositary or its nominee in the case of a Global Note). The Trustee may rely and shall be fully protected in relying upon information furnished by Depositary with respect to its members, participants and any beneficial owners of a Global Note. None of the Issuer, the Trustee nor the Registrar shall have any responsibility or liability for any acts or omissions of Depositary in the case of Global Notes with respect to such Global Note, for the records of any such depositary, including records in respect of beneficial ownership interests</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68" w:right="479" w:bottom="1440" w:gutter="0" w:footer="0" w:header="0"/>
        </w:sectPr>
      </w:pPr>
    </w:p>
    <w:bookmarkStart w:id="654" w:name="page655"/>
    <w:bookmarkEnd w:id="654"/>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respect of any such Global Note, for any transactions between Depositary and any Participant or between or among Depositary, any such Participant and/or any holder or owner of a beneficial interest in such Global Note, or for any transfers of beneficial interests in any such Global Note. Neither the Trustee nor any of its agents shall have any responsibility for any actions taken or not taken by Depositary.</w:t>
      </w:r>
    </w:p>
    <w:p>
      <w:pPr>
        <w:spacing w:after="0" w:line="174"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i w:val="1"/>
          <w:iCs w:val="1"/>
          <w:color w:val="auto"/>
        </w:rPr>
        <w:t>Replacement Notes</w:t>
      </w:r>
      <w:r>
        <w:rPr>
          <w:rFonts w:ascii="Times New Roman" w:cs="Times New Roman" w:eastAsia="Times New Roman" w:hAnsi="Times New Roman"/>
          <w:sz w:val="18"/>
          <w:szCs w:val="18"/>
          <w:color w:val="auto"/>
        </w:rPr>
        <w:t>. If any mutilated Note is surrendered to the Issuer, a Registrar or the Trustee, or the Issuer, a Registrar and the Trustee receive evidence to their satisfaction of the destruction, loss or theft of any Note, and there is delivered to the Issuer, the applicable Registrar and the Trustee such security and/or indemnity as will be required by them to save each of them harmless, then, in the absence of notice to the Issuer, such Registrar or the Trustee that such Note has been acquired by a bona fide purchaser, the Issuer shall execute, and upon its written request the Trustee shall authenticate and deliver, in exchange for any such mutilated Note or in lieu of any such destroyed, lost or stolen Note, a new Note of like tenor and principal amount, bearing a number not contemporaneously outstanding.</w:t>
      </w:r>
    </w:p>
    <w:p>
      <w:pPr>
        <w:spacing w:after="0" w:line="184"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 case any such mutilated, destroyed, lost or stolen Note has become or is about to become due and payable, or is about to be purchased by the Issuer pursuant to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the Issuer in its discretion may, instead of issuing a new Note, pay or purchase such Note, as the case may be.</w:t>
      </w:r>
    </w:p>
    <w:p>
      <w:pPr>
        <w:spacing w:after="0" w:line="162" w:lineRule="exact"/>
        <w:rPr>
          <w:sz w:val="20"/>
          <w:szCs w:val="20"/>
          <w:color w:val="auto"/>
        </w:rPr>
      </w:pPr>
    </w:p>
    <w:p>
      <w:pPr>
        <w:jc w:val="both"/>
        <w:ind w:right="4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Upon the issuance of any new Notes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the Issuer and/or the Trustee or the Registrar may require the payment of a sum sufficient to cover any tax or other governmental charge that may be imposed in relation thereto and any other reasonable expenses (including the reasonable fees and expenses of the Trustee or the Registrar) in connection therewith.</w:t>
      </w:r>
    </w:p>
    <w:p>
      <w:pPr>
        <w:spacing w:after="0" w:line="176"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Every new Note issued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lieu of any mutilated, destroyed, lost or stolen Note shall constitute an original additional contractual obligation of the Issuer, whether or not the mutilated, destroyed, lost or stolen Note shall be at any time enforceable by anyone, and shall be entitled to all benefits of this Indenture equally and proportionately with any and all other Notes duly issued hereunder.</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are (to the extent lawful) exclusive and shall preclude (to the extent lawful) all other rights and remedies with respect to the replacement or payment of mutilated, destroyed, lost or stolen Notes.</w:t>
      </w:r>
    </w:p>
    <w:p>
      <w:pPr>
        <w:spacing w:after="0" w:line="160"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i w:val="1"/>
          <w:iCs w:val="1"/>
          <w:color w:val="auto"/>
        </w:rPr>
        <w:t>Outstanding Notes</w:t>
      </w:r>
      <w:r>
        <w:rPr>
          <w:rFonts w:ascii="Times New Roman" w:cs="Times New Roman" w:eastAsia="Times New Roman" w:hAnsi="Times New Roman"/>
          <w:sz w:val="18"/>
          <w:szCs w:val="18"/>
          <w:color w:val="auto"/>
        </w:rPr>
        <w:t xml:space="preserve">. Notes outstanding at any time are all Notes authenticated by the Trustee, except for those canceled by it, those delivered to it for cancellation or surrendered for transfer or exchange and those described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as not outstanding.</w:t>
      </w:r>
    </w:p>
    <w:p>
      <w:pPr>
        <w:spacing w:after="0" w:line="160"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a Note is replaced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hereof, it ceases to be outstanding unless the Issuer receives proof satisfactory to it that the replaced Note is held by a bona fide purchaser.</w:t>
      </w:r>
    </w:p>
    <w:p>
      <w:pPr>
        <w:spacing w:after="0" w:line="162"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If a Paying Agent (other than the Issuer or an Affiliate of the Issuer) holds on a Redemption Date, Change of Control Purchase Date or the Final Maturity Date money sufficient to pay the principal of (including premium, if any) and interest on Notes (or portions thereof) payable on that date, then on and after such Redemption Date, Change of Control Purchase Date or the Final Maturity Date, as the case may be, such Notes (or portions thereof, as the case may be) shall cease to be outstanding and interest on them shall cease to accrue.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655" w:name="page656"/>
    <w:bookmarkEnd w:id="655"/>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the restrictions contained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hereof, a Note does not cease to be outstanding because the Issuer or an Affiliate of the Issuer holds the Note.</w:t>
      </w:r>
    </w:p>
    <w:p>
      <w:pPr>
        <w:spacing w:after="0" w:line="160"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i w:val="1"/>
          <w:iCs w:val="1"/>
          <w:color w:val="auto"/>
        </w:rPr>
        <w:t>Treasury Notes</w:t>
      </w:r>
      <w:r>
        <w:rPr>
          <w:rFonts w:ascii="Times New Roman" w:cs="Times New Roman" w:eastAsia="Times New Roman" w:hAnsi="Times New Roman"/>
          <w:sz w:val="18"/>
          <w:szCs w:val="18"/>
          <w:color w:val="auto"/>
        </w:rPr>
        <w:t>. In determining whether the Holders of the required principal amount of Notes have concurred in any notice, direction, waiver or consent, Notes owned by the Issuer or any other obligor on the Notes or by any Affiliate of the Issuer or of such other obligor shall be disregarded, except that, for purposes of determining whether the Trustee shall be protected in relying on any such notice, direction, waiver or consent, only Notes which a Trust Officer of the Trustee actually knows are so owned shall be so disregarded. Notes so owned which have been pledged in good faith shall not be disregarded if the pledgee establishes to the satisfaction of the Trustee the pledgee’s right so to act with respect to the Notes and that the pledgee is neither the Issuer nor any other obligor on the Notes or any Affiliate of the Issuer or of such other obligor.</w:t>
      </w:r>
    </w:p>
    <w:p>
      <w:pPr>
        <w:spacing w:after="0" w:line="18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i w:val="1"/>
          <w:iCs w:val="1"/>
          <w:color w:val="auto"/>
        </w:rPr>
        <w:t>Temporary Notes</w:t>
      </w:r>
      <w:r>
        <w:rPr>
          <w:rFonts w:ascii="Times New Roman" w:cs="Times New Roman" w:eastAsia="Times New Roman" w:hAnsi="Times New Roman"/>
          <w:sz w:val="18"/>
          <w:szCs w:val="18"/>
          <w:color w:val="auto"/>
        </w:rPr>
        <w:t>. Until Definitive Notes are ready for delivery, the Issuer may prepare and execute, and, upon receipt of an Issuer Order, the Trustee shall authenticate and deliver, temporary Notes. Temporary Notes shall be substantially in the form of Definitive Notes but may have variations that the Issuer with the consent of the Trustee considers appropriate for temporary Notes. Without unreasonable delay, the Issuer shall execute and, upon receipt of an Issuer Order, the Trustee shall authenticate and deliver Definitive Notes in exchange for temporary Notes.</w:t>
      </w:r>
    </w:p>
    <w:p>
      <w:pPr>
        <w:spacing w:after="0" w:line="180"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The Issuer at any time may deliver Notes to the Trustee for cancellation. The Registrar and the Paying Agent shall forward to the Trustee or its agent any Notes surrendered to them for transfer, exchange, payment or conversion. The Trustee and no one else shall cancel, in accordance with its standard procedures, all Notes surrendered for transfer, exchange, payment, conversion or cancellation and shall deliver the canceled Notes to the Issuer. All Notes which are purchased or otherwise acquired by the Issuer or any of its Subsidiaries prior to the Final Maturity Date of such Notes may be delivered to the Trustee for cancellation or resold. The Issuer may not hold or resell such Notes or issue any new Notes to replace any Notes delivered for cancellation</w:t>
      </w:r>
    </w:p>
    <w:p>
      <w:pPr>
        <w:spacing w:after="0" w:line="2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i w:val="1"/>
          <w:iCs w:val="1"/>
          <w:color w:val="auto"/>
        </w:rPr>
        <w:t>Legend; Additional Transfer and Exchange Requirements</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firstLine="436"/>
        <w:spacing w:after="0" w:line="255" w:lineRule="auto"/>
        <w:tabs>
          <w:tab w:leader="none" w:pos="685"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Notes are issued upon the transfer, exchange or replacement of Notes subject to restrictions on transfer and bearing the legends set forth on the form of Notes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b w:val="1"/>
          <w:bCs w:val="1"/>
          <w:color w:val="auto"/>
        </w:rPr>
        <w:t>Legend</w:t>
      </w:r>
      <w:r>
        <w:rPr>
          <w:rFonts w:ascii="Times New Roman" w:cs="Times New Roman" w:eastAsia="Times New Roman" w:hAnsi="Times New Roman"/>
          <w:sz w:val="18"/>
          <w:szCs w:val="18"/>
          <w:color w:val="auto"/>
        </w:rPr>
        <w:t xml:space="preserve">”), or if a request is made to remove the Legend on a Note, the Notes so issued shall bear the Legend, or the Legend shall not be removed, as the case may be, unless there is delivered to the Issuer such satisfactory evidence, which shall include an opinion of counsel if requested by the Issuer, as may be reasonably required by the Issuer, that neither the Legend nor the restrictions on transfer set forth therein are required to ensure that transfers thereof comply with the provisions of Rule 144 under the Securities Act or that such Notes are not “restricted” within the meaning of Rule 144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evidence need be supplied in connection with the sale of such Note pursuant to a</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0"/>
          </w:cols>
          <w:pgMar w:left="440" w:top="270" w:right="499" w:bottom="1440" w:gutter="0" w:footer="0" w:header="0"/>
        </w:sectPr>
      </w:pPr>
    </w:p>
    <w:bookmarkStart w:id="656" w:name="page657"/>
    <w:bookmarkEnd w:id="65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registration statement that is effective at the time of such sale. Upon (i) provision of satisfactory evidence if requested, or (ii) notification by the Issuer to the Trustee and Registrar of the sale of such Note pursuant to a registration statement that is effective at the time of such sale, the Trustee, at the written direction of the Issuer, shall authenticate and deliver a Note that does not bear the Legend. If the Legend is removed from the face of a Note and the Note is subsequently held by an Affiliate of the Issuer, the Legend shall be reinstated.</w:t>
      </w:r>
    </w:p>
    <w:p>
      <w:pPr>
        <w:spacing w:after="0" w:line="180" w:lineRule="exact"/>
        <w:rPr>
          <w:sz w:val="20"/>
          <w:szCs w:val="20"/>
          <w:color w:val="auto"/>
        </w:rPr>
      </w:pPr>
    </w:p>
    <w:p>
      <w:pPr>
        <w:ind w:right="100" w:firstLine="436"/>
        <w:spacing w:after="0" w:line="255" w:lineRule="auto"/>
        <w:tabs>
          <w:tab w:leader="none" w:pos="695"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Global Note may not be transferred, in whole or in part, to any Person other than the Depositary or a nominee or any successor thereof, and no such transfer to any such other Person may be registered;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prohibit any transfer of a Note that is issued in exchange for a Global Note but is not itself a Global Note;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in no event shall a beneficial interest in a Regulation S Global Note be transferred to a U.S. Person prior to the receipt by the Registrar of any certificates required pursuant to Regulation S, as determined by the Issuer. No transfer of a Note to any Person shall be effective under this Indenture or the Notes unless and until such Note has been registered in the name of such Person. Notwithstanding any other provisions of this Indenture or the Notes, transfers of a Global Note, in whole or in part, shall be made only in accordance with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succeeding paragraph, every Note shall be subject to the restrictions on transfer provided in the Legend. Whenever any</w:t>
      </w:r>
    </w:p>
    <w:p>
      <w:pPr>
        <w:spacing w:after="0" w:line="27" w:lineRule="exact"/>
        <w:rPr>
          <w:rFonts w:ascii="Times New Roman" w:cs="Times New Roman" w:eastAsia="Times New Roman" w:hAnsi="Times New Roman"/>
          <w:sz w:val="18"/>
          <w:szCs w:val="18"/>
          <w:color w:val="auto"/>
        </w:rPr>
      </w:pPr>
    </w:p>
    <w:p>
      <w:pPr>
        <w:ind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Note is presented or surrendered for registration of transfer or for exchange for a Note registered in a name other than that of the Holder, such Note must be accompanied by a certificate in substantially the form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dated the date of such surrender and signed by the Holder of such Note, as to compliance with such restrictions on transfer. The Registrar shall not be required to accept for such registration of transfer or exchange any Note not so accompanied by a properly completed certificate.</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imposed by the Legend upon the transferability of any Note shall cease and terminate when such Note has been sold pursuant to an effective registration statement under the Securities Act or transferred in compliance with Rule 144 under the Securities Act (or any successor provision thereto) or, if earlier, upon the expiration of the holding period applicable to sales thereof under Rule 144(d)(1)(ii) under the Securities Act (or any successor provision). Any Note as to which such restrictions on transfer shall have expired in accordance with their terms or shall have terminated may, upon a surrender of such Note for exchange to the Registrar in accordance with the provisions of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(accompanied, in the event that such restrictions on transfer have terminated by reason of a transfer in compliance with Rule 144 or any successor provision by, if requested by the Issuer or the Registrar, an opinion of counsel reasonably acceptable to the Issuer and addressed to the Issuer to the effect that the transfer of such Note has been made in compliance with Rule 144 or such successor provision), be exchanged for a new Note, of like tenor, series and aggregate principal amount, which shall not bear the restrictive Legend. The Issuer shall inform the Trustee of the effective date of any registration statement registering any Notes under the Securities Act. The Trustee shall not be liable for any action taken or omitted to be taken by it in good faith in accordance with the aforementioned opinion of counsel or registration statement.</w:t>
      </w:r>
    </w:p>
    <w:p>
      <w:pPr>
        <w:spacing w:after="0" w:line="19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the term “transfer” encompasses any sale, pledge, transfer, hypothecation or other disposition of any Note.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0"/>
          </w:cols>
          <w:pgMar w:left="440" w:top="270" w:right="459" w:bottom="1440" w:gutter="0" w:footer="0" w:header="0"/>
        </w:sectPr>
      </w:pPr>
    </w:p>
    <w:bookmarkStart w:id="657" w:name="page658"/>
    <w:bookmarkEnd w:id="657"/>
    <w:p>
      <w:pPr>
        <w:ind w:left="224" w:hanging="224"/>
        <w:spacing w:after="0"/>
        <w:tabs>
          <w:tab w:leader="none" w:pos="224" w:val="left"/>
        </w:tabs>
        <w:numPr>
          <w:ilvl w:val="0"/>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clauses (iii), (iv) and (v) below shall apply only to Global Notes:</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41"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Indenture or the Notes, a Global Note shall not be exchanged in whole or in part for a Note registered in the name of any Person other than the Depositary or one or more nominees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Global Note may be exchanged for Notes registered in the names of any person designated by the Depositary in the event that (A) the Depositary has notified the obligors that it is unwilling or unable to continue as Depositary for such Global Note or has ceased to be a clearing agency registered under the Exchange Act and, in either case, the Issuer fails to appoint a successor Depositary or (B) an Event of Default has occurred and is continuing with respect to the Notes. Any Global Note exchanged pursuant to clause (A) above shall be so exchanged in whole and not in part, and any Global Note exchanged pursuant to clause (B) above may be exchanged in whole or from time to time in part as directed by the applicable Depositary. Any Note issued in exchange for a Global Note or any portion thereof shall be a Global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Note so issued that is registered in the name of a Person other than the applicable Depositary or a nominee thereof shall not be a Global Note.</w:t>
      </w:r>
    </w:p>
    <w:p>
      <w:pPr>
        <w:spacing w:after="0" w:line="80" w:lineRule="exact"/>
        <w:rPr>
          <w:rFonts w:ascii="Times New Roman" w:cs="Times New Roman" w:eastAsia="Times New Roman" w:hAnsi="Times New Roman"/>
          <w:sz w:val="18"/>
          <w:szCs w:val="18"/>
          <w:color w:val="auto"/>
        </w:rPr>
      </w:pPr>
    </w:p>
    <w:p>
      <w:pPr>
        <w:ind w:left="4" w:firstLine="419"/>
        <w:spacing w:after="0" w:line="254" w:lineRule="auto"/>
        <w:tabs>
          <w:tab w:leader="none" w:pos="691"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 issued in exchange for a Global Note or any portion thereof shall be issued in definitive, fully registered form, without interest coupons, shall have an aggregate principal amount equal to that of such Global Note or portion thereof to be so exchanged, shall be registered in such names and shall be in such authorized denominations as the Depositary shall designate and shall bear the applicable legends provided for herein. Any Global Note to be exchanged in whole shall be surrendered by the Depositary to the Trustee, as Registrar. With regard to any Global Note to be exchanged in part, either such Global Note shall be so surrendered for exchange or, if the Trustee is acting as custodian for the Depositary or its nominee with respect to such Global Note, the principal amount thereof shall be reduced, by an amount equal to the portion thereof to be so exchanged, by means of an appropriate adjustment made on the records of the Trustee. Upon any such surrender or adjustment and its receipt of an Issuer Order, the Trustee shall authenticate and deliver Notes issuable on such exchange to or upon the order of the Depositary or an authorized representative thereof.</w:t>
      </w:r>
    </w:p>
    <w:p>
      <w:pPr>
        <w:spacing w:after="0" w:line="80" w:lineRule="exact"/>
        <w:rPr>
          <w:rFonts w:ascii="Times New Roman" w:cs="Times New Roman" w:eastAsia="Times New Roman" w:hAnsi="Times New Roman"/>
          <w:sz w:val="18"/>
          <w:szCs w:val="18"/>
          <w:color w:val="auto"/>
        </w:rPr>
      </w:pPr>
    </w:p>
    <w:p>
      <w:pPr>
        <w:ind w:left="4" w:right="300" w:firstLine="419"/>
        <w:spacing w:after="0" w:line="266" w:lineRule="auto"/>
        <w:tabs>
          <w:tab w:leader="none" w:pos="741"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clause (v) below, the registered Holder may grant proxies and otherwise authorize any Person, including Agent Members and persons that may hold interests through Agent Members, to take any action which a Holder is entitled to take under this Indenture or the Notes.</w:t>
      </w:r>
    </w:p>
    <w:p>
      <w:pPr>
        <w:spacing w:after="0" w:line="67"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731"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occurrence of any of the events specified in clause (i) above, the obligors will promptly make available to the Trustee a reasonable supply of applicable Definitive Notes in definitive, fully registered form, without interest coupons.</w:t>
      </w:r>
    </w:p>
    <w:p>
      <w:pPr>
        <w:spacing w:after="0" w:line="53" w:lineRule="exact"/>
        <w:rPr>
          <w:rFonts w:ascii="Times New Roman" w:cs="Times New Roman" w:eastAsia="Times New Roman" w:hAnsi="Times New Roman"/>
          <w:sz w:val="18"/>
          <w:szCs w:val="18"/>
          <w:color w:val="auto"/>
        </w:rPr>
      </w:pPr>
    </w:p>
    <w:p>
      <w:pPr>
        <w:jc w:val="both"/>
        <w:ind w:left="4" w:right="40" w:firstLine="419"/>
        <w:spacing w:after="0" w:line="266" w:lineRule="auto"/>
        <w:tabs>
          <w:tab w:leader="none" w:pos="681"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Agent Members nor any other Persons on whose behalf Agent Members may act shall have any rights under this Indenture with respect to any Global Note registered in the name of the Depositary or any nominee thereof, or under any such Global Note, and the Depositary or such nominee, as the case may be, may be treated by</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64"/>
          </w:cols>
          <w:pgMar w:left="876" w:top="270" w:right="459" w:bottom="1440" w:gutter="0" w:footer="0" w:header="0"/>
        </w:sectPr>
      </w:pPr>
    </w:p>
    <w:bookmarkStart w:id="658" w:name="page659"/>
    <w:bookmarkEnd w:id="658"/>
    <w:p>
      <w:pPr>
        <w:ind w:left="440"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the Trustee and any agent of the Issuer or the Trustee as the absolute owner and Holder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such nominee, as the case may be, or impair, as between the Depositary, its Agent Members and any other Person on whose behalf an Agent Member may act, the operation of customary practices of such Persons governing the exercise of the rights of a Holder of any Note.</w:t>
      </w:r>
    </w:p>
    <w:p>
      <w:pPr>
        <w:spacing w:after="0" w:line="75" w:lineRule="exact"/>
        <w:rPr>
          <w:sz w:val="20"/>
          <w:szCs w:val="20"/>
          <w:color w:val="auto"/>
        </w:rPr>
      </w:pPr>
    </w:p>
    <w:p>
      <w:pPr>
        <w:ind w:left="440" w:right="80" w:firstLine="419"/>
        <w:spacing w:after="0" w:line="258" w:lineRule="auto"/>
        <w:tabs>
          <w:tab w:leader="none" w:pos="1168" w:val="left"/>
        </w:tabs>
        <w:numPr>
          <w:ilvl w:val="1"/>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have no obligation or duty to monitor, determine or inquire as to compliance with any restrictions on transfer imposed under this Indenture or under applicable law with respect to any transfer of any interest in any Note (including any transfers between or among Agent Members or beneficial owners in any Global Note) other than to require delivery of such certificates and other documentation or evidence as are expressly required by, and to do so as and when expressly required by, the terms or this Indenture, and to examine the same to determine substantial compliance as to form with the express requirements hereof.</w:t>
      </w:r>
    </w:p>
    <w:p>
      <w:pPr>
        <w:spacing w:after="0" w:line="183" w:lineRule="exact"/>
        <w:rPr>
          <w:rFonts w:ascii="Times New Roman" w:cs="Times New Roman" w:eastAsia="Times New Roman" w:hAnsi="Times New Roman"/>
          <w:sz w:val="18"/>
          <w:szCs w:val="18"/>
          <w:color w:val="auto"/>
        </w:rPr>
      </w:pPr>
    </w:p>
    <w:p>
      <w:pPr>
        <w:ind w:right="220" w:firstLine="436"/>
        <w:spacing w:after="0" w:line="266" w:lineRule="auto"/>
        <w:tabs>
          <w:tab w:leader="none" w:pos="695"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Euroclear and Clearstream Procedures Applicable</w:t>
      </w:r>
      <w:r>
        <w:rPr>
          <w:rFonts w:ascii="Times New Roman" w:cs="Times New Roman" w:eastAsia="Times New Roman" w:hAnsi="Times New Roman"/>
          <w:sz w:val="18"/>
          <w:szCs w:val="18"/>
          <w:color w:val="auto"/>
        </w:rPr>
        <w:t>. The provisions of the “Operating Procedures of the Euroclear System” and “Terms and Conditions Governing Use of Euroclear” and the equivalent procedures of Clearstream shall be applicable to transfers of beneficial interests in Global Notes that are held by Participants through Euroclear or Clearstream.</w:t>
      </w:r>
    </w:p>
    <w:p>
      <w:pPr>
        <w:spacing w:after="0" w:line="174"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i w:val="1"/>
          <w:iCs w:val="1"/>
          <w:color w:val="auto"/>
        </w:rPr>
        <w:t>CUSIP, Common Code and ISIN Numbers</w:t>
      </w:r>
      <w:r>
        <w:rPr>
          <w:rFonts w:ascii="Times New Roman" w:cs="Times New Roman" w:eastAsia="Times New Roman" w:hAnsi="Times New Roman"/>
          <w:sz w:val="18"/>
          <w:szCs w:val="18"/>
          <w:color w:val="auto"/>
        </w:rPr>
        <w:t xml:space="preserve">. The Issuer in issuing the Notes may use one or more “CUSIP” and “ISIN” numbers (if then generally in use), and, if so, the Trustee shall use “CUSIP” and “ISIN” numbers in notices of purchase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of such numbers either as printed on the Notes or as contained in any notice of a purchase and that reliance may be placed only on the other identification numbers printed on the Notes, and any such purchase shall not be affected by any defect in or omission of such numbers. The Issuer will promptly notify the Trustee of any change in the “CUSIP” and “ISIN” numbers applicable to the Notes.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REDEMPTION AND PURCHASES</w:t>
      </w:r>
    </w:p>
    <w:p>
      <w:pPr>
        <w:spacing w:after="0" w:line="223" w:lineRule="exact"/>
        <w:rPr>
          <w:sz w:val="20"/>
          <w:szCs w:val="20"/>
          <w:color w:val="auto"/>
        </w:rPr>
      </w:pPr>
    </w:p>
    <w:p>
      <w:pPr>
        <w:ind w:right="4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i w:val="1"/>
          <w:iCs w:val="1"/>
          <w:color w:val="auto"/>
        </w:rPr>
        <w:t>Right to Redeem</w:t>
      </w:r>
      <w:r>
        <w:rPr>
          <w:rFonts w:ascii="Times New Roman" w:cs="Times New Roman" w:eastAsia="Times New Roman" w:hAnsi="Times New Roman"/>
          <w:sz w:val="18"/>
          <w:szCs w:val="18"/>
          <w:color w:val="auto"/>
        </w:rPr>
        <w:t xml:space="preserve">. The Issuer, at its option, may redeem the Notes in accordance with the provisions of Sections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3.08(g)</w:t>
      </w:r>
      <w:r>
        <w:rPr>
          <w:rFonts w:ascii="Times New Roman" w:cs="Times New Roman" w:eastAsia="Times New Roman" w:hAnsi="Times New Roman"/>
          <w:sz w:val="18"/>
          <w:szCs w:val="18"/>
          <w:color w:val="auto"/>
        </w:rPr>
        <w:t xml:space="preserve"> hereof.</w:t>
      </w:r>
    </w:p>
    <w:p>
      <w:pPr>
        <w:spacing w:after="0" w:line="15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If the Issuer elects to redeem the Notes, it shall notify the Trustee in writing at least 15 days prior to the date of redemption (the “</w:t>
      </w:r>
      <w:r>
        <w:rPr>
          <w:rFonts w:ascii="Times New Roman" w:cs="Times New Roman" w:eastAsia="Times New Roman" w:hAnsi="Times New Roman"/>
          <w:sz w:val="18"/>
          <w:szCs w:val="18"/>
          <w:b w:val="1"/>
          <w:bCs w:val="1"/>
          <w:color w:val="auto"/>
        </w:rPr>
        <w:t>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(unless a shorter notice period shall be satisfactory to the Trustee), the aggregate principal amount of the Notes to be redeemed and the Section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Indenture pursuant to which such Notes are being redeemed.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659" w:name="page660"/>
    <w:bookmarkEnd w:id="659"/>
    <w:p>
      <w:pPr>
        <w:ind w:right="1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i w:val="1"/>
          <w:iCs w:val="1"/>
          <w:color w:val="auto"/>
        </w:rPr>
        <w:t>Selection of Notes to Be Redeemed</w:t>
      </w:r>
      <w:r>
        <w:rPr>
          <w:rFonts w:ascii="Times New Roman" w:cs="Times New Roman" w:eastAsia="Times New Roman" w:hAnsi="Times New Roman"/>
          <w:sz w:val="18"/>
          <w:szCs w:val="18"/>
          <w:color w:val="auto"/>
        </w:rPr>
        <w:t>. The Issuer will give not less than 10 days’ nor more than 60 days’ notice of any redemption. If the Issuer elects to redeem less than all of the outstanding Notes, the Notes will be selected for redemption as follows:</w:t>
      </w:r>
    </w:p>
    <w:p>
      <w:pPr>
        <w:spacing w:after="0" w:line="52" w:lineRule="exact"/>
        <w:rPr>
          <w:sz w:val="20"/>
          <w:szCs w:val="20"/>
          <w:color w:val="auto"/>
        </w:rPr>
      </w:pPr>
    </w:p>
    <w:p>
      <w:pPr>
        <w:ind w:left="440" w:right="220" w:firstLine="419"/>
        <w:spacing w:after="0" w:line="282" w:lineRule="auto"/>
        <w:tabs>
          <w:tab w:leader="none" w:pos="1078" w:val="left"/>
        </w:tabs>
        <w:numPr>
          <w:ilvl w:val="0"/>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procedures of DTC and in compliance with the requirements of the applicable stock exchange to the extent the Notes are held in the form of Global Notes; or</w:t>
      </w:r>
    </w:p>
    <w:p>
      <w:pPr>
        <w:spacing w:after="0" w:line="51" w:lineRule="exact"/>
        <w:rPr>
          <w:rFonts w:ascii="Times New Roman" w:cs="Times New Roman" w:eastAsia="Times New Roman" w:hAnsi="Times New Roman"/>
          <w:sz w:val="18"/>
          <w:szCs w:val="18"/>
          <w:color w:val="auto"/>
        </w:rPr>
      </w:pPr>
    </w:p>
    <w:p>
      <w:pPr>
        <w:ind w:left="440" w:right="240" w:firstLine="419"/>
        <w:spacing w:after="0" w:line="284" w:lineRule="auto"/>
        <w:tabs>
          <w:tab w:leader="none" w:pos="1128" w:val="left"/>
        </w:tabs>
        <w:numPr>
          <w:ilvl w:val="0"/>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by lot or by such method as the Trustee deems fair and appropriate to the extent the Notes are held in the form of Definitive Notes.</w:t>
      </w:r>
    </w:p>
    <w:p>
      <w:pPr>
        <w:spacing w:after="0" w:line="16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the event of a partial redemption by lot, the particular Notes to be redeemed will be selected, unless otherwise provided herein, not less than 10 nor more than 60 days prior to the Redemption Date from the outstanding Notes not previously called for redemption.</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The Notes and portions of the Notes selected for redemption will be in amounts of $2,000 or whole multiples of $1,000 except that if all of the Notes of a Holder are to be redeemed, the entire outstanding amount of Notes held by such Holder, even if not a multiple of $1,000, shall be redeemed. Except as provided in the preceding sentence, provisions of this Indenture that apply to Notes called for redemption also apply to portions of Notes called for redemption.</w:t>
      </w:r>
    </w:p>
    <w:p>
      <w:pPr>
        <w:spacing w:after="0" w:line="178" w:lineRule="exact"/>
        <w:rPr>
          <w:sz w:val="20"/>
          <w:szCs w:val="20"/>
          <w:color w:val="auto"/>
        </w:rPr>
      </w:pPr>
    </w:p>
    <w:p>
      <w:pPr>
        <w:ind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i w:val="1"/>
          <w:iCs w:val="1"/>
          <w:color w:val="auto"/>
        </w:rPr>
        <w:t>Notice of Redemption</w:t>
      </w:r>
      <w:r>
        <w:rPr>
          <w:rFonts w:ascii="Times New Roman" w:cs="Times New Roman" w:eastAsia="Times New Roman" w:hAnsi="Times New Roman"/>
          <w:sz w:val="18"/>
          <w:szCs w:val="18"/>
          <w:color w:val="auto"/>
        </w:rPr>
        <w:t>. At least 10 days but not more than 60 days before a Redemption Date, the Issuer shall send, or shall cause to be sent, a notice of redemption by first-class mail (postage prepaid) or otherwise transmit in accordance with applicable procedures of DTC to the Trustee and to each Holder of Notes to be redeemed.</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shall identify the Notes to be redeemed and shall state:</w:t>
      </w:r>
    </w:p>
    <w:p>
      <w:pPr>
        <w:spacing w:after="0" w:line="131" w:lineRule="exact"/>
        <w:rPr>
          <w:sz w:val="20"/>
          <w:szCs w:val="20"/>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to be redeemed;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 (which shall be a Business Day);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30" w:lineRule="exact"/>
        <w:rPr>
          <w:rFonts w:ascii="Times New Roman" w:cs="Times New Roman" w:eastAsia="Times New Roman" w:hAnsi="Times New Roman"/>
          <w:sz w:val="18"/>
          <w:szCs w:val="18"/>
          <w:color w:val="auto"/>
        </w:rPr>
      </w:pPr>
    </w:p>
    <w:p>
      <w:pPr>
        <w:ind w:left="960" w:right="20" w:hanging="424"/>
        <w:spacing w:after="0" w:line="282" w:lineRule="auto"/>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fewer than all the outstanding Notes are to be redeemed, the certificate numbers, if any, and principal amounts of the particular Notes to be redeemed;</w:t>
      </w:r>
    </w:p>
    <w:p>
      <w:pPr>
        <w:spacing w:after="0" w:line="67" w:lineRule="exact"/>
        <w:rPr>
          <w:rFonts w:ascii="Times New Roman" w:cs="Times New Roman" w:eastAsia="Times New Roman" w:hAnsi="Times New Roman"/>
          <w:sz w:val="18"/>
          <w:szCs w:val="18"/>
          <w:color w:val="auto"/>
        </w:rPr>
      </w:pPr>
    </w:p>
    <w:p>
      <w:pPr>
        <w:ind w:left="960" w:right="160" w:hanging="424"/>
        <w:spacing w:after="0" w:line="282" w:lineRule="auto"/>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the deposit of the redemption price, interest on Notes called for redemption will cease to accrue on and after the Redemption Date;</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of this Indenture pursuant to which the Notes are being redeemed;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CUSIP numbers or ISIN numbers, as applicable, of the Notes; and</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conditions precedent to such redemption.</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20"/>
          </w:cols>
          <w:pgMar w:left="440" w:top="268" w:right="539" w:bottom="1440" w:gutter="0" w:footer="0" w:header="0"/>
        </w:sectPr>
      </w:pPr>
    </w:p>
    <w:bookmarkStart w:id="660" w:name="page661"/>
    <w:bookmarkEnd w:id="660"/>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At the Issuer’s request, the Trustee shall give the notice of redemption in the Issuer’s name and at the Issuer’s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makes such request at least three Business Days prior to the date by which such notice of redemption must be given to Holders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Redemption notices may be given more than 60 days prior to a Redemption Date if the notice is issued in connection with a defeasance of the Notes pursuant to Sections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8.04</w:t>
      </w:r>
      <w:r>
        <w:rPr>
          <w:rFonts w:ascii="Times New Roman" w:cs="Times New Roman" w:eastAsia="Times New Roman" w:hAnsi="Times New Roman"/>
          <w:sz w:val="18"/>
          <w:szCs w:val="18"/>
          <w:color w:val="auto"/>
        </w:rPr>
        <w:t xml:space="preserve"> or a satisfaction and discharge of this Indenture with respect to the Notes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If a redemption is subject to satisfaction of one or more conditions precedent, the applicable redemption notice shall describe such condition, and if applicable, shall state that, in the Issuer’s discretion, the Redemption Date may be delayed until such time as any or all such conditions shall be satisfied, without the requirement of an additional notice period to the Holders, or such redemption may not occur and such notice may be rescinded in the event that any or all such conditions shall not have been satisfied by the Redemption Date, or by the Redemption Date as so delayed. Neither the Trustee nor any Agent shall have any responsibility for calculating or verifying the redemption price.</w:t>
      </w:r>
    </w:p>
    <w:p>
      <w:pPr>
        <w:spacing w:after="0" w:line="188" w:lineRule="exact"/>
        <w:rPr>
          <w:sz w:val="20"/>
          <w:szCs w:val="20"/>
          <w:color w:val="auto"/>
        </w:rPr>
      </w:pPr>
    </w:p>
    <w:p>
      <w:pPr>
        <w:jc w:val="both"/>
        <w:ind w:right="2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i w:val="1"/>
          <w:iCs w:val="1"/>
          <w:color w:val="auto"/>
        </w:rPr>
        <w:t>Effect of Notice of Redemption</w:t>
      </w:r>
      <w:r>
        <w:rPr>
          <w:rFonts w:ascii="Times New Roman" w:cs="Times New Roman" w:eastAsia="Times New Roman" w:hAnsi="Times New Roman"/>
          <w:sz w:val="18"/>
          <w:szCs w:val="18"/>
          <w:color w:val="auto"/>
        </w:rPr>
        <w:t>. Once notice of redemption is given and any conditions set forth therein have been satisfied, Notes called for redemption become due and payable on the Redemption Date and at the redemption price stated in the notice. Upon surrender to the Paying Agent, such Notes shall be paid at the redemption price stated in the notice.</w:t>
      </w:r>
    </w:p>
    <w:p>
      <w:pPr>
        <w:spacing w:after="0" w:line="175" w:lineRule="exact"/>
        <w:rPr>
          <w:sz w:val="20"/>
          <w:szCs w:val="20"/>
          <w:color w:val="auto"/>
        </w:rPr>
      </w:pPr>
    </w:p>
    <w:p>
      <w:pPr>
        <w:jc w:val="both"/>
        <w:ind w:right="200" w:firstLine="440"/>
        <w:spacing w:after="0" w:line="266" w:lineRule="auto"/>
        <w:rPr>
          <w:sz w:val="20"/>
          <w:szCs w:val="20"/>
          <w:color w:val="auto"/>
        </w:rPr>
      </w:pPr>
      <w:r>
        <w:rPr>
          <w:rFonts w:ascii="Times New Roman" w:cs="Times New Roman" w:eastAsia="Times New Roman" w:hAnsi="Times New Roman"/>
          <w:sz w:val="18"/>
          <w:szCs w:val="18"/>
          <w:color w:val="auto"/>
        </w:rPr>
        <w:t>On and after the Redemption Date, unless the Issuer defaults in the deposit of the redemption price and subject to satisfaction of any conditions precedent, interest will cease to accrue on the Notes or any portion of the Notes called for redemption, and all other rights of the Holder will terminate other than the right to receive the redemption price, without interest from the Redemption Date, on surrender of the Notes.</w:t>
      </w:r>
    </w:p>
    <w:p>
      <w:pPr>
        <w:spacing w:after="0" w:line="174"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i w:val="1"/>
          <w:iCs w:val="1"/>
          <w:color w:val="auto"/>
        </w:rPr>
        <w:t>Deposit of Redemption Price</w:t>
      </w:r>
      <w:r>
        <w:rPr>
          <w:rFonts w:ascii="Times New Roman" w:cs="Times New Roman" w:eastAsia="Times New Roman" w:hAnsi="Times New Roman"/>
          <w:sz w:val="18"/>
          <w:szCs w:val="18"/>
          <w:color w:val="auto"/>
        </w:rPr>
        <w:t>. Prior to 11:00 a.m. (New York City time) on the Business Day prior to the Redemption Date, the Issuer shall deposit with the Paying Agent (or the Trustee) money sufficient to pay the redemption price (as calculated by the Issuer) on all Notes to be redeemed on that date.</w:t>
      </w:r>
    </w:p>
    <w:p>
      <w:pPr>
        <w:spacing w:after="0" w:line="173" w:lineRule="exact"/>
        <w:rPr>
          <w:sz w:val="20"/>
          <w:szCs w:val="20"/>
          <w:color w:val="auto"/>
        </w:rPr>
      </w:pPr>
    </w:p>
    <w:p>
      <w:pPr>
        <w:ind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i w:val="1"/>
          <w:iCs w:val="1"/>
          <w:color w:val="auto"/>
        </w:rPr>
        <w:t>Notes Redeemed in Part</w:t>
      </w:r>
      <w:r>
        <w:rPr>
          <w:rFonts w:ascii="Times New Roman" w:cs="Times New Roman" w:eastAsia="Times New Roman" w:hAnsi="Times New Roman"/>
          <w:sz w:val="18"/>
          <w:szCs w:val="18"/>
          <w:color w:val="auto"/>
        </w:rPr>
        <w:t>. Upon surrender of a Note that is redeemed in part, the Issuer shall execute and, upon receipt of an Issuer Order, the Trustee shall authenticate and deliver to the Holder, without service charge, a new Note in an authorized denomination equal in principal amount to, and in exchange for, the unredeemed portion of the Note surrendered.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i w:val="1"/>
          <w:iCs w:val="1"/>
          <w:color w:val="auto"/>
        </w:rPr>
        <w:t>Optional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36"/>
        <w:spacing w:after="0" w:line="258" w:lineRule="auto"/>
        <w:tabs>
          <w:tab w:leader="none" w:pos="685"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and from time to time after the Escrow Release Date and prior to January 30, 2028, the Issuer may on any one or more occasions redeem up to 40% of the aggregate principal amount of the Notes (including Notes issued after the Issue Date, if any) issued under this Indenture at a redemption price of 107.250% of the principal amount thereof, plus accrued and unpaid interest, if any, to, but excluding, the Redemption Date, subject to the right of Holders of Notes of record on the relevant record date to receive interest due on the relevant interest payment date, with the net cash proceeds of one or more Equity Offerings;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5" w:lineRule="exact"/>
        <w:rPr>
          <w:rFonts w:ascii="Times New Roman" w:cs="Times New Roman" w:eastAsia="Times New Roman" w:hAnsi="Times New Roman"/>
          <w:sz w:val="18"/>
          <w:szCs w:val="18"/>
          <w:color w:val="auto"/>
        </w:rPr>
      </w:pPr>
    </w:p>
    <w:p>
      <w:pPr>
        <w:ind w:left="440" w:right="360" w:firstLine="419"/>
        <w:spacing w:after="0" w:line="266" w:lineRule="auto"/>
        <w:tabs>
          <w:tab w:leader="none" w:pos="1118"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60% of the aggregate principal amount of the Notes (including Notes issued after the Issue Date, if any) issued under this Indenture remains outstanding immediately after the occurrence of such redemption (excluding the Notes held by the Issuer and its Restricted Subsidiaries);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occurs within 180 days of the date of the closing of such Equity Offering.</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00"/>
          </w:cols>
          <w:pgMar w:left="440" w:top="268" w:right="459" w:bottom="1440" w:gutter="0" w:footer="0" w:header="0"/>
        </w:sectPr>
      </w:pPr>
    </w:p>
    <w:bookmarkStart w:id="661" w:name="page662"/>
    <w:bookmarkEnd w:id="661"/>
    <w:p>
      <w:pPr>
        <w:ind w:firstLine="436"/>
        <w:spacing w:after="0" w:line="258" w:lineRule="auto"/>
        <w:tabs>
          <w:tab w:leader="none" w:pos="695" w:val="left"/>
        </w:tabs>
        <w:numPr>
          <w:ilvl w:val="0"/>
          <w:numId w:val="8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any time and from time to time after the Escrow Release Date and prior to January 30, 2028, the Issuer may at its option and on one or more occasions redeem up to 10% of the original aggregate principal amount of the Notes issued under this Indenture during any twelve-month period at a redemption price equal to 103.000% of the principal amount of the Notes being redeemed, plus accrued and unpaid interest to, but excluding, the applicable Redemption Date, subject to the right of Holders of Notes of record on the relevant record date to receive interest due on the relevant interest payment date.</w:t>
      </w:r>
    </w:p>
    <w:p>
      <w:pPr>
        <w:spacing w:after="0" w:line="183"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8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January 30, 2028, the Issuer may redeem all or a part of the Notes at the redemption prices (expressed as percentages of principal amount) set forth below plus accrued and unpaid interest on the Notes redeemed, to, but excluding, the applicable Redemption Date, subject to the right of Holders of Notes of record on the relevant record date to receive interest due on the relevant interest payment date, if redeemed during the twelve-month period beginning on January 30 of the years indicated below:</w:t>
      </w:r>
    </w:p>
    <w:p>
      <w:pPr>
        <w:spacing w:after="0" w:line="200" w:lineRule="exact"/>
        <w:rPr>
          <w:sz w:val="20"/>
          <w:szCs w:val="20"/>
          <w:color w:val="auto"/>
        </w:rPr>
      </w:pPr>
    </w:p>
    <w:tbl>
      <w:tblPr>
        <w:tblLayout w:type="fixed"/>
        <w:tblInd w:w="1760"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103.625%</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101.813%</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436"/>
        <w:spacing w:after="0" w:line="258" w:lineRule="auto"/>
        <w:tabs>
          <w:tab w:leader="none" w:pos="695"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the Escrow Release Date and prior to January 30, 2028, the Issuer may redeem the Notes, in whole or in part, at a redemption price equal to the principal amount of the Notes redeemed plus the Applicable Premium plus accrued and unpaid interest to, but excluding, the applicable Redemption Date, subject to the right of Holders of Notes of record on the relevant record date to receive interest due on the relevant interest payment date. The Issuer shall calculate the redemption price, including any Applicable Premium, and neither the Trustee nor the Paying Agent shall have any obligation or duty to calculate or verify the redemption price.</w:t>
      </w:r>
    </w:p>
    <w:p>
      <w:pPr>
        <w:spacing w:after="0" w:line="183" w:lineRule="exact"/>
        <w:rPr>
          <w:rFonts w:ascii="Times New Roman" w:cs="Times New Roman" w:eastAsia="Times New Roman" w:hAnsi="Times New Roman"/>
          <w:sz w:val="18"/>
          <w:szCs w:val="18"/>
          <w:color w:val="auto"/>
        </w:rPr>
      </w:pPr>
    </w:p>
    <w:p>
      <w:pPr>
        <w:ind w:firstLine="436"/>
        <w:spacing w:after="0" w:line="255" w:lineRule="auto"/>
        <w:tabs>
          <w:tab w:leader="none" w:pos="685"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may redeem all or a portion of the Notes pursuant to the terms under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in each case upon not less than 10 nor more than 60 days’ notice to Holders. In connection with any optional redemption of the Notes, any such redemption may, at the Issuer’s discretion, be subject to one or more conditions precedent. If a redemption is subject to satisfaction of one or more conditions precedent, the applicable redemption notice shall describe such condition, and if applicable, shall state that, in the Issuer’s discretion, the Redemption Date may be delayed until such time as any or all such conditions shall be satisfied, without the requirement of an additional notice period to the Holders, or such redemption may not occur and such notice may be rescinded in the event that any or all such conditions shall not have been satisfied by the Redemption Date, or by the Redemption Date as so delayed.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00"/>
          </w:cols>
          <w:pgMar w:left="440" w:top="270" w:right="459" w:bottom="1440" w:gutter="0" w:footer="0" w:header="0"/>
        </w:sectPr>
      </w:pPr>
    </w:p>
    <w:bookmarkStart w:id="662" w:name="page663"/>
    <w:bookmarkEnd w:id="662"/>
    <w:p>
      <w:pPr>
        <w:ind w:left="640" w:hanging="224"/>
        <w:spacing w:after="0"/>
        <w:tabs>
          <w:tab w:leader="none" w:pos="640" w:val="left"/>
        </w:tabs>
        <w:numPr>
          <w:ilvl w:val="0"/>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redemption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be made pursuant to the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20" w:right="480" w:firstLine="436"/>
        <w:spacing w:after="0" w:line="282" w:lineRule="auto"/>
        <w:tabs>
          <w:tab w:leader="none" w:pos="675" w:val="left"/>
        </w:tabs>
        <w:numPr>
          <w:ilvl w:val="0"/>
          <w:numId w:val="8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redemption under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the Issuer shall deliver to the Trustee an Officers’ Certificate and Opinion of Counsel to the effect that all conditions precedent in this Indenture to the redemption have been complied with.</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i w:val="1"/>
          <w:iCs w:val="1"/>
          <w:color w:val="auto"/>
        </w:rPr>
        <w:t>Purchase of Notes at Option of the Holder Upon Change of Control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left="-20" w:right="140" w:firstLine="436"/>
        <w:spacing w:after="0" w:line="281" w:lineRule="auto"/>
        <w:tabs>
          <w:tab w:leader="none" w:pos="665" w:val="left"/>
        </w:tabs>
        <w:numPr>
          <w:ilvl w:val="0"/>
          <w:numId w:val="8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any time that Notes remain outstanding there shall occur a Change of Control, the Notes shall be purchased by the Issuer at the option of the Holders, as of the Change of Control Purchase Date, at a purchase price equal to 101% of the principal amount of the Notes, together with accrued and unpaid interest, including interest on any unpaid overdue interest, if any, to, but excluding, the Change of Control Purchase Date (the “</w:t>
      </w:r>
      <w:r>
        <w:rPr>
          <w:rFonts w:ascii="Times New Roman" w:cs="Times New Roman" w:eastAsia="Times New Roman" w:hAnsi="Times New Roman"/>
          <w:sz w:val="17"/>
          <w:szCs w:val="17"/>
          <w:b w:val="1"/>
          <w:bCs w:val="1"/>
          <w:color w:val="auto"/>
        </w:rPr>
        <w:t>Change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Control Purchase Price</w:t>
      </w:r>
      <w:r>
        <w:rPr>
          <w:rFonts w:ascii="Times New Roman" w:cs="Times New Roman" w:eastAsia="Times New Roman" w:hAnsi="Times New Roman"/>
          <w:sz w:val="17"/>
          <w:szCs w:val="17"/>
          <w:color w:val="auto"/>
        </w:rPr>
        <w:t>”), subject to satisfaction by or on behalf of any Holder of the requirements set forth in subsection (c) of this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w:t>
      </w:r>
    </w:p>
    <w:p>
      <w:pPr>
        <w:spacing w:after="0" w:line="160" w:lineRule="exact"/>
        <w:rPr>
          <w:rFonts w:ascii="Times New Roman" w:cs="Times New Roman" w:eastAsia="Times New Roman" w:hAnsi="Times New Roman"/>
          <w:sz w:val="17"/>
          <w:szCs w:val="17"/>
          <w:color w:val="auto"/>
        </w:rPr>
      </w:pPr>
    </w:p>
    <w:p>
      <w:pPr>
        <w:ind w:left="-20" w:firstLine="436"/>
        <w:spacing w:after="0" w:line="278" w:lineRule="auto"/>
        <w:tabs>
          <w:tab w:leader="none" w:pos="675" w:val="left"/>
        </w:tabs>
        <w:numPr>
          <w:ilvl w:val="0"/>
          <w:numId w:val="8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Within 30 days after the occurrence of a Change of Control with respect to the Notes, the Issuer shall transmit a written notice (an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Notice</w:t>
      </w:r>
      <w:r>
        <w:rPr>
          <w:rFonts w:ascii="Times New Roman" w:cs="Times New Roman" w:eastAsia="Times New Roman" w:hAnsi="Times New Roman"/>
          <w:sz w:val="17"/>
          <w:szCs w:val="17"/>
          <w:color w:val="auto"/>
        </w:rPr>
        <w:t>”) of the Change of Control to the Trustee and to each Holder of Notes (and to beneficial owners as required by applicable law) pursuant to which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Issuer shall make an offer (a “</w:t>
      </w:r>
      <w:r>
        <w:rPr>
          <w:rFonts w:ascii="Times New Roman" w:cs="Times New Roman" w:eastAsia="Times New Roman" w:hAnsi="Times New Roman"/>
          <w:sz w:val="17"/>
          <w:szCs w:val="17"/>
          <w:b w:val="1"/>
          <w:bCs w:val="1"/>
          <w:color w:val="auto"/>
        </w:rPr>
        <w:t>Change of Control Offer</w:t>
      </w:r>
      <w:r>
        <w:rPr>
          <w:rFonts w:ascii="Times New Roman" w:cs="Times New Roman" w:eastAsia="Times New Roman" w:hAnsi="Times New Roman"/>
          <w:sz w:val="17"/>
          <w:szCs w:val="17"/>
          <w:color w:val="auto"/>
        </w:rPr>
        <w:t>”) to each Holder to repurchase all or any part (equal to $2,000 or an integral multiple of $1,000 in excess thereof) of each Holder’s Notes at the Change of Control Purchase Price. The notice shall include the form of a Change of Control Purchase Notice to be completed by the Holder, shall describe the transaction or transactions that constitute the Change of Control and shall state:</w:t>
      </w:r>
    </w:p>
    <w:p>
      <w:pPr>
        <w:spacing w:after="0" w:line="59" w:lineRule="exact"/>
        <w:rPr>
          <w:rFonts w:ascii="Times New Roman" w:cs="Times New Roman" w:eastAsia="Times New Roman" w:hAnsi="Times New Roman"/>
          <w:sz w:val="17"/>
          <w:szCs w:val="17"/>
          <w:color w:val="auto"/>
        </w:rPr>
      </w:pPr>
    </w:p>
    <w:p>
      <w:pPr>
        <w:ind w:left="1060" w:hanging="221"/>
        <w:spacing w:after="0"/>
        <w:tabs>
          <w:tab w:leader="none" w:pos="106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Change of Control Offer is being made pursuant to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and that all Notes tendered will be accepted for payment;</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by which the Change of Control Purchase Notice pursuant to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must be given;</w:t>
      </w:r>
    </w:p>
    <w:p>
      <w:pPr>
        <w:spacing w:after="0" w:line="117" w:lineRule="exact"/>
        <w:rPr>
          <w:rFonts w:ascii="Times New Roman" w:cs="Times New Roman" w:eastAsia="Times New Roman" w:hAnsi="Times New Roman"/>
          <w:sz w:val="18"/>
          <w:szCs w:val="18"/>
          <w:color w:val="auto"/>
        </w:rPr>
      </w:pPr>
    </w:p>
    <w:p>
      <w:pPr>
        <w:ind w:left="420" w:right="100" w:firstLine="419"/>
        <w:spacing w:after="0" w:line="282" w:lineRule="auto"/>
        <w:tabs>
          <w:tab w:leader="none" w:pos="1158"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date, which date shall be no earlier than 30 days and no later than 60 days after the date the Issuer Notice is delivered (the “</w:t>
      </w:r>
      <w:r>
        <w:rPr>
          <w:rFonts w:ascii="Times New Roman" w:cs="Times New Roman" w:eastAsia="Times New Roman" w:hAnsi="Times New Roman"/>
          <w:sz w:val="18"/>
          <w:szCs w:val="18"/>
          <w:b w:val="1"/>
          <w:bCs w:val="1"/>
          <w:color w:val="auto"/>
        </w:rPr>
        <w:t>Change of Control Purchase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Purchase Price;</w:t>
      </w:r>
    </w:p>
    <w:p>
      <w:pPr>
        <w:spacing w:after="0" w:line="117" w:lineRule="exact"/>
        <w:rPr>
          <w:rFonts w:ascii="Times New Roman" w:cs="Times New Roman" w:eastAsia="Times New Roman" w:hAnsi="Times New Roman"/>
          <w:sz w:val="18"/>
          <w:szCs w:val="18"/>
          <w:color w:val="auto"/>
        </w:rPr>
      </w:pPr>
    </w:p>
    <w:p>
      <w:pPr>
        <w:ind w:left="1100" w:hanging="261"/>
        <w:spacing w:after="0"/>
        <w:tabs>
          <w:tab w:leader="none" w:pos="110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right to require the Issuer to purchase the Notes;</w:t>
      </w:r>
    </w:p>
    <w:p>
      <w:pPr>
        <w:spacing w:after="0" w:line="117" w:lineRule="exact"/>
        <w:rPr>
          <w:rFonts w:ascii="Times New Roman" w:cs="Times New Roman" w:eastAsia="Times New Roman" w:hAnsi="Times New Roman"/>
          <w:sz w:val="18"/>
          <w:szCs w:val="18"/>
          <w:color w:val="auto"/>
        </w:rPr>
      </w:pPr>
    </w:p>
    <w:p>
      <w:pPr>
        <w:ind w:left="1140" w:hanging="301"/>
        <w:spacing w:after="0"/>
        <w:tabs>
          <w:tab w:leader="none" w:pos="114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60"/>
          </w:cols>
          <w:pgMar w:left="460" w:top="270" w:right="479" w:bottom="1440" w:gutter="0" w:footer="0" w:header="0"/>
        </w:sectPr>
      </w:pPr>
    </w:p>
    <w:bookmarkStart w:id="663" w:name="page664"/>
    <w:bookmarkEnd w:id="663"/>
    <w:p>
      <w:pPr>
        <w:ind w:left="440" w:right="220" w:firstLine="419"/>
        <w:spacing w:after="0" w:line="282" w:lineRule="auto"/>
        <w:tabs>
          <w:tab w:leader="none" w:pos="1218" w:val="left"/>
        </w:tabs>
        <w:numPr>
          <w:ilvl w:val="0"/>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unless the Issuer defaults in making such payment, any Note accepted for payment pursuant to the Change of Control Offer will cease to accrue interest after the Change of Control Purchase Date;</w:t>
      </w:r>
    </w:p>
    <w:p>
      <w:pPr>
        <w:spacing w:after="0" w:line="53"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0"/>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procedures that the Holder must follow to exercise rights under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procedures for withdrawing a Change of Control Purchase Notice, including a form of notice of withdrawal.</w:t>
      </w:r>
    </w:p>
    <w:p>
      <w:pPr>
        <w:spacing w:after="0" w:line="225"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any of the Notes is in the form of a Global Note, then the Issuer shall modify such notice to the extent necessary to accord with the procedures of the Depositary applicable to the repurchase of Global Notes.</w:t>
      </w:r>
    </w:p>
    <w:p>
      <w:pPr>
        <w:spacing w:after="0" w:line="162" w:lineRule="exact"/>
        <w:rPr>
          <w:sz w:val="20"/>
          <w:szCs w:val="20"/>
          <w:color w:val="auto"/>
        </w:rPr>
      </w:pPr>
    </w:p>
    <w:p>
      <w:pPr>
        <w:ind w:right="180" w:firstLine="436"/>
        <w:spacing w:after="0" w:line="258" w:lineRule="auto"/>
        <w:tabs>
          <w:tab w:leader="none" w:pos="685" w:val="left"/>
        </w:tabs>
        <w:numPr>
          <w:ilvl w:val="0"/>
          <w:numId w:val="8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Holder may exercise its rights specified in subsection (a) of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upon delivery of a written notice (which shall be in substantially the form included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as applicable, and which may be delivered by letter, overnight courier, hand delivery, electronic transmission or in any other written form and, in the case of Global Notes, may be delivered electronically or by other means in accordance with the Depositary’s customary procedures) of the exercise of such rights (a “</w:t>
      </w:r>
      <w:r>
        <w:rPr>
          <w:rFonts w:ascii="Times New Roman" w:cs="Times New Roman" w:eastAsia="Times New Roman" w:hAnsi="Times New Roman"/>
          <w:sz w:val="18"/>
          <w:szCs w:val="18"/>
          <w:b w:val="1"/>
          <w:bCs w:val="1"/>
          <w:color w:val="auto"/>
        </w:rPr>
        <w:t>Change of Control Purchase Notice</w:t>
      </w:r>
      <w:r>
        <w:rPr>
          <w:rFonts w:ascii="Times New Roman" w:cs="Times New Roman" w:eastAsia="Times New Roman" w:hAnsi="Times New Roman"/>
          <w:sz w:val="18"/>
          <w:szCs w:val="18"/>
          <w:color w:val="auto"/>
        </w:rPr>
        <w:t>”) to any Paying Agent at any time prior to the close of business on the Business Day next preceding the Change of Control Purchase Date.</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delivery of such Note to any Paying Agent (together with all necessary endorsements) at the office of such Paying Agent shall be a condition to the receipt by the Holder of the Change of Control Purchase Price therefor.</w:t>
      </w:r>
    </w:p>
    <w:p>
      <w:pPr>
        <w:spacing w:after="0" w:line="162"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Issuer shall purchase from the Holder thereof, pursuant to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a portion of a Note if the principal amount of such portion is $2,000 or an integral multiple of $1,000 in excess thereof. Provisions of this Indenture that apply to the purchase of all of a Note pursuant to Sections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3.13</w:t>
      </w:r>
      <w:r>
        <w:rPr>
          <w:rFonts w:ascii="Times New Roman" w:cs="Times New Roman" w:eastAsia="Times New Roman" w:hAnsi="Times New Roman"/>
          <w:sz w:val="18"/>
          <w:szCs w:val="18"/>
          <w:color w:val="auto"/>
        </w:rPr>
        <w:t xml:space="preserve"> also apply to the purchase of such portion of such Note.</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any Holder delivering to a Paying Agent the Change of Control Purchase Notice contemplated by this subsection (c) shall have the right to withdraw such Change of Control Purchase Notice in whole or in a portion thereof that is a principal amount of $2,000 or an integral multiple of $1,000 in excess thereof at any time prior to the close of business on the Business Day next preceding the Change of Control Purchase Date by delivery of a written notice of withdrawal to the Paying Agent in accordance with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Paying Agent shall promptly notify the Issuer of the receipt by it of any Change of Control Purchase Notice or written withdrawal thereof.</w:t>
      </w:r>
    </w:p>
    <w:p>
      <w:pPr>
        <w:spacing w:after="0" w:line="225" w:lineRule="exact"/>
        <w:rPr>
          <w:sz w:val="20"/>
          <w:szCs w:val="20"/>
          <w:color w:val="auto"/>
        </w:rPr>
      </w:pPr>
    </w:p>
    <w:p>
      <w:pPr>
        <w:ind w:right="240" w:firstLine="440"/>
        <w:spacing w:after="0" w:line="312" w:lineRule="auto"/>
        <w:rPr>
          <w:sz w:val="20"/>
          <w:szCs w:val="20"/>
          <w:color w:val="auto"/>
        </w:rPr>
      </w:pPr>
      <w:r>
        <w:rPr>
          <w:rFonts w:ascii="Times New Roman" w:cs="Times New Roman" w:eastAsia="Times New Roman" w:hAnsi="Times New Roman"/>
          <w:sz w:val="17"/>
          <w:szCs w:val="17"/>
          <w:color w:val="auto"/>
        </w:rPr>
        <w:t>Anything herein to the contrary notwithstanding, in the case of Global Notes, any Change of Control Purchase Notice may be delivered or withdrawn and such Notes may be surrendered or delivered for purchase in accordance with the Applicable Procedures as in effect from time to time.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664" w:name="page665"/>
    <w:bookmarkEnd w:id="664"/>
    <w:p>
      <w:pPr>
        <w:ind w:firstLine="436"/>
        <w:spacing w:after="0" w:line="254" w:lineRule="auto"/>
        <w:tabs>
          <w:tab w:leader="none" w:pos="695" w:val="left"/>
        </w:tabs>
        <w:numPr>
          <w:ilvl w:val="0"/>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will not be required to make a Change of Control Offer with respect to the Notes upon a Change of Control if (1) a third party makes the Change of Control Offer with respect to the Notes in the manner, at the times and otherwise in compliance with the requirements applicable to a Change of Control Offer made by the Issuer set forth in subsection (b) of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and purchases all Notes properly tendered and not withdrawn under the Change of Control Offer, (2) notice of redemption with respect to the Notes has been given pursuant to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hereof, unless and until there is a default in payment of the applicable redemption price, or (3) after giving effect to such Change of Control, (i) no Default or Event of Default has occurred and is continuing, (ii) the Change of Control transaction has been approved by the Board of Directors of the Issuer, and (iii) in connection with the Change of Control transaction or otherwise, the Notes have received an Investment Grade Rating Status. In addition, a Change of Control Offer may be made in advance of a Change of Control, conditional upon such Change of Control, if a definitive agreement is in place for the Change of Control at the time of launching the Change of Control Offer.</w:t>
      </w:r>
    </w:p>
    <w:p>
      <w:pPr>
        <w:spacing w:after="0" w:line="188" w:lineRule="exact"/>
        <w:rPr>
          <w:rFonts w:ascii="Times New Roman" w:cs="Times New Roman" w:eastAsia="Times New Roman" w:hAnsi="Times New Roman"/>
          <w:sz w:val="18"/>
          <w:szCs w:val="18"/>
          <w:color w:val="auto"/>
        </w:rPr>
      </w:pPr>
    </w:p>
    <w:p>
      <w:pPr>
        <w:ind w:right="540" w:firstLine="436"/>
        <w:spacing w:after="0" w:line="282" w:lineRule="auto"/>
        <w:tabs>
          <w:tab w:leader="none" w:pos="685" w:val="left"/>
        </w:tabs>
        <w:numPr>
          <w:ilvl w:val="0"/>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publicly announce the results of the Change of Control Offer on or as soon as reasonably practicable after the Change of Control Purchase Date.</w:t>
      </w:r>
    </w:p>
    <w:p>
      <w:pPr>
        <w:spacing w:after="0" w:line="161" w:lineRule="exact"/>
        <w:rPr>
          <w:rFonts w:ascii="Times New Roman" w:cs="Times New Roman" w:eastAsia="Times New Roman" w:hAnsi="Times New Roman"/>
          <w:sz w:val="18"/>
          <w:szCs w:val="18"/>
          <w:color w:val="auto"/>
        </w:rPr>
      </w:pPr>
    </w:p>
    <w:p>
      <w:pPr>
        <w:ind w:right="180" w:firstLine="436"/>
        <w:spacing w:after="0" w:line="266" w:lineRule="auto"/>
        <w:tabs>
          <w:tab w:leader="none" w:pos="665" w:val="left"/>
        </w:tabs>
        <w:numPr>
          <w:ilvl w:val="0"/>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under this Indenture relative to the Issuer’s obligation to make an offer to repurchase the Notes as a result of a Change of Control (including any required notice period) may be waived or modified with the written consent of the Holders of a majority in principal amount of the Notes, including after the entry into of an agreement that would result in the need to make a Change of Control Offer.</w:t>
      </w:r>
    </w:p>
    <w:p>
      <w:pPr>
        <w:spacing w:after="0" w:line="175" w:lineRule="exact"/>
        <w:rPr>
          <w:rFonts w:ascii="Times New Roman" w:cs="Times New Roman" w:eastAsia="Times New Roman" w:hAnsi="Times New Roman"/>
          <w:sz w:val="18"/>
          <w:szCs w:val="18"/>
          <w:color w:val="auto"/>
        </w:rPr>
      </w:pPr>
    </w:p>
    <w:p>
      <w:pPr>
        <w:ind w:right="20" w:firstLine="436"/>
        <w:spacing w:after="0" w:line="256" w:lineRule="auto"/>
        <w:tabs>
          <w:tab w:leader="none" w:pos="695" w:val="left"/>
        </w:tabs>
        <w:numPr>
          <w:ilvl w:val="0"/>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Holders of not less than 90% in aggregate principal amount of the outstanding Notes validly tender and do not withdraw such Notes in a Change of Control Offer and the Issuer purchases all of the Notes validly tendered and not withdrawn by such Holders, within 60 days of such purchase, the Issuer will have the right, upon not less than 10 days’ nor more than 60 days’ prior notice, to redeem all of the Notes that remain outstanding following such purchase at a redemption price in cash equal to 101% of the principal amount thereof plus accrued and unpaid interest on the Notes to, but excluding, the date of redemption. Any redemption pursuant to this </w:t>
      </w:r>
      <w:r>
        <w:rPr>
          <w:rFonts w:ascii="Times New Roman" w:cs="Times New Roman" w:eastAsia="Times New Roman" w:hAnsi="Times New Roman"/>
          <w:sz w:val="18"/>
          <w:szCs w:val="18"/>
          <w:u w:val="single" w:color="auto"/>
          <w:color w:val="auto"/>
        </w:rPr>
        <w:t>Section 3.08(g)</w:t>
      </w:r>
      <w:r>
        <w:rPr>
          <w:rFonts w:ascii="Times New Roman" w:cs="Times New Roman" w:eastAsia="Times New Roman" w:hAnsi="Times New Roman"/>
          <w:sz w:val="18"/>
          <w:szCs w:val="18"/>
          <w:color w:val="auto"/>
        </w:rPr>
        <w:t xml:space="preserve"> shall be made pursuant to the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hereof.</w:t>
      </w:r>
    </w:p>
    <w:p>
      <w:pPr>
        <w:spacing w:after="0" w:line="18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i w:val="1"/>
          <w:iCs w:val="1"/>
          <w:color w:val="auto"/>
        </w:rPr>
        <w:t>Effect of Change of Control Purchase Notice</w:t>
      </w:r>
      <w:r>
        <w:rPr>
          <w:rFonts w:ascii="Times New Roman" w:cs="Times New Roman" w:eastAsia="Times New Roman" w:hAnsi="Times New Roman"/>
          <w:sz w:val="18"/>
          <w:szCs w:val="18"/>
          <w:color w:val="auto"/>
        </w:rPr>
        <w:t xml:space="preserve">. Upon receipt by any Paying Agent of the Change of Control Purchase Notice specified in </w:t>
      </w:r>
      <w:r>
        <w:rPr>
          <w:rFonts w:ascii="Times New Roman" w:cs="Times New Roman" w:eastAsia="Times New Roman" w:hAnsi="Times New Roman"/>
          <w:sz w:val="18"/>
          <w:szCs w:val="18"/>
          <w:u w:val="single" w:color="auto"/>
          <w:color w:val="auto"/>
        </w:rPr>
        <w:t>Section 3.08(c)</w:t>
      </w:r>
      <w:r>
        <w:rPr>
          <w:rFonts w:ascii="Times New Roman" w:cs="Times New Roman" w:eastAsia="Times New Roman" w:hAnsi="Times New Roman"/>
          <w:sz w:val="18"/>
          <w:szCs w:val="18"/>
          <w:color w:val="auto"/>
        </w:rPr>
        <w:t xml:space="preserve"> hereof, the Holder of the Note in respect of which such change of Control Purchase Notice was given shall (unless such Change of Control Purchase Notice is withdrawn as specified below) thereafter be entitled to receive the Change of Control Purchase Price with respect to such Note. Such Change of Control Purchase Price shall be paid to such Holder promptly following the later of (a) the Change of Control Purchase Date with respect to such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conditions in </w:t>
      </w:r>
      <w:r>
        <w:rPr>
          <w:rFonts w:ascii="Times New Roman" w:cs="Times New Roman" w:eastAsia="Times New Roman" w:hAnsi="Times New Roman"/>
          <w:sz w:val="18"/>
          <w:szCs w:val="18"/>
          <w:u w:val="single" w:color="auto"/>
          <w:color w:val="auto"/>
        </w:rPr>
        <w:t>Section 3.08(c)</w:t>
      </w:r>
      <w:r>
        <w:rPr>
          <w:rFonts w:ascii="Times New Roman" w:cs="Times New Roman" w:eastAsia="Times New Roman" w:hAnsi="Times New Roman"/>
          <w:sz w:val="18"/>
          <w:szCs w:val="18"/>
          <w:color w:val="auto"/>
        </w:rPr>
        <w:t xml:space="preserve"> hereof have been satisfied) and (b) the time of delivery of such Note to a Paying Agent by the Holder thereof in the manner required by </w:t>
      </w:r>
      <w:r>
        <w:rPr>
          <w:rFonts w:ascii="Times New Roman" w:cs="Times New Roman" w:eastAsia="Times New Roman" w:hAnsi="Times New Roman"/>
          <w:sz w:val="18"/>
          <w:szCs w:val="18"/>
          <w:u w:val="single" w:color="auto"/>
          <w:color w:val="auto"/>
        </w:rPr>
        <w:t>Section 3.08(c)</w:t>
      </w:r>
      <w:r>
        <w:rPr>
          <w:rFonts w:ascii="Times New Roman" w:cs="Times New Roman" w:eastAsia="Times New Roman" w:hAnsi="Times New Roman"/>
          <w:sz w:val="18"/>
          <w:szCs w:val="18"/>
          <w:color w:val="auto"/>
        </w:rPr>
        <w:t xml:space="preserve"> hereof.</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665" w:name="page666"/>
    <w:bookmarkEnd w:id="665"/>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Change of Control Purchase Notice may be withdrawn by means of a written notice (which may be delivered by mail, overnight courier, hand delivery, electronic transmission or in any other written form and, in the case of Global Notes, may be delivered electronically or by other means in accordance with the Depositary’s customary procedures) of withdrawal delivered by the Holder to a Paying Agent at any time prior to the close of business on the Business Day immediately preceding the Change of Control Purchase Date, specifying the principal amount of the Note or portion thereof (which must be a principal amount of $2,000 or an integral multiple of $1,000 in excess thereof) with respect to which such notice of withdrawal is being submitted.</w:t>
      </w:r>
    </w:p>
    <w:p>
      <w:pPr>
        <w:spacing w:after="0" w:line="18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Deposit of Change of Control Purchase Price</w:t>
      </w:r>
      <w:r>
        <w:rPr>
          <w:rFonts w:ascii="Times New Roman" w:cs="Times New Roman" w:eastAsia="Times New Roman" w:hAnsi="Times New Roman"/>
          <w:sz w:val="18"/>
          <w:szCs w:val="18"/>
          <w:color w:val="auto"/>
        </w:rPr>
        <w:t xml:space="preserve">. Prior to 11:00 a.m., New York City time on the Business Day prior to the Change of Control Purchase Date, the Issuer shall deposit with the Trustee or with a Paying Agent (other than the Issuer or an Affiliate of the Issuer) an amount of money (in immediately available funds if deposited on such Change of Control Purchase Date) sufficient to pay the aggregate Change of Control Purchase Price of all the Notes or portions thereof that are to be purchased as of such Change of Control Purchase Date. The manner in which the deposit required by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is made by the Issuer shall be at the option of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deposit shall be made in a manner such that the Trustee or a Paying Agent shall have immediately available funds on the Change of Control Purchase Date. On the Change of Control Purchase Date, the Issuer shall deliver or cause to be delivered to the Paying Agent the Notes properly accepted together with an Officers’ Certificate stating the aggregate principal amount of Notes or portions of Notes being purchased by the Issuer.</w:t>
      </w:r>
    </w:p>
    <w:p>
      <w:pPr>
        <w:spacing w:after="0" w:line="187"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Paying Agent shall transmit by wire transfer to each Holder of Notes properly tendered the Change of Control payment for such Notes, and upon receipt of written instruction from the Issuer, the Trustee shall promptly authenticate and mail (or cause to be transferred by book entry), at the expense of the Issuer,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new Note shall be in a principal amount of $2,000 or an integral multiple of $1,000 in excess thereof. If a Paying Agent holds, in accordance with the terms hereof, money sufficient to pay the Change of Control Purchase Price of any Note for which a Change of Control Purchase Notice has been tendered and not withdrawn in accordance with this Indenture then, on the Change of Control Purchase Date, interest will cease to accrue on such Notes or any portion of such Notes as to which a Change of Control Purchase Notice has been tendered and not withdrawn in accordance with this Indenture and all other rights of the Holder of such Notes will terminate other than the right to receive the Change of Control Purchase Price, without interest from the Change of Control Purchase Date, on surrender of such Notes.</w:t>
      </w:r>
    </w:p>
    <w:p>
      <w:pPr>
        <w:spacing w:after="0" w:line="186"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Notes Purchased in Part</w:t>
      </w:r>
      <w:r>
        <w:rPr>
          <w:rFonts w:ascii="Times New Roman" w:cs="Times New Roman" w:eastAsia="Times New Roman" w:hAnsi="Times New Roman"/>
          <w:sz w:val="18"/>
          <w:szCs w:val="18"/>
          <w:color w:val="auto"/>
        </w:rPr>
        <w:t>. Any Note that is to be purchased only in part shall be surrendered at the office of a Paying Agent, and promptly after the Change of Control Purchase Date the Issuer shall execute and, upon receipt of an Issuer Order, the Trustee shall authenticate and deliver to the Holder of such Note, without service charge, a new Note or Notes, of such authorized denomination or denominations as may be requested by such Holder, in aggregate principal amount equal to, and in exchange for, the portion of the principal amount of the Note so surrendered that is not purchased.</w:t>
      </w:r>
    </w:p>
    <w:p>
      <w:pPr>
        <w:spacing w:after="0" w:line="183" w:lineRule="exact"/>
        <w:rPr>
          <w:sz w:val="20"/>
          <w:szCs w:val="20"/>
          <w:color w:val="auto"/>
        </w:rPr>
      </w:pPr>
    </w:p>
    <w:p>
      <w:pPr>
        <w:ind w:left="4" w:right="46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Compliance with Securities Laws upon Purchase of Notes</w:t>
      </w:r>
      <w:r>
        <w:rPr>
          <w:rFonts w:ascii="Times New Roman" w:cs="Times New Roman" w:eastAsia="Times New Roman" w:hAnsi="Times New Roman"/>
          <w:sz w:val="18"/>
          <w:szCs w:val="18"/>
          <w:color w:val="auto"/>
        </w:rPr>
        <w:t xml:space="preserve">. In connection with any offer to purchase or purchase of Notes under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hereof, the Issuer shall (a) comply with Rule 14e-1 (or any successor to such Rule), if applicable, under the Exchange Act, and</w:t>
      </w:r>
    </w:p>
    <w:p>
      <w:pPr>
        <w:ind w:left="4" w:right="120" w:hanging="4"/>
        <w:spacing w:after="0" w:line="260" w:lineRule="auto"/>
        <w:tabs>
          <w:tab w:leader="none" w:pos="259" w:val="left"/>
        </w:tabs>
        <w:numPr>
          <w:ilvl w:val="0"/>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comply with all United States federal and state securities laws in connection with such offer to purchase or purchase of Notes, all so as to permit the rights of the Holders and</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004"/>
          </w:cols>
          <w:pgMar w:left="436" w:top="270" w:right="459" w:bottom="1440" w:gutter="0" w:footer="0" w:header="0"/>
        </w:sectPr>
      </w:pPr>
    </w:p>
    <w:bookmarkStart w:id="666" w:name="page667"/>
    <w:bookmarkEnd w:id="666"/>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of the Issuer under Sections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3.11</w:t>
      </w:r>
      <w:r>
        <w:rPr>
          <w:rFonts w:ascii="Times New Roman" w:cs="Times New Roman" w:eastAsia="Times New Roman" w:hAnsi="Times New Roman"/>
          <w:sz w:val="18"/>
          <w:szCs w:val="18"/>
          <w:color w:val="auto"/>
        </w:rPr>
        <w:t xml:space="preserve"> hereof to be exercised in the time and in the manner specified therein. To the extent that the provisions of any securities laws or regulations conflict with the Change of Control provisions of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the Issuer will comply with the applicable securities laws and regulations and will not be deemed to have breached its obligations under this </w:t>
      </w:r>
      <w:r>
        <w:rPr>
          <w:rFonts w:ascii="Times New Roman" w:cs="Times New Roman" w:eastAsia="Times New Roman" w:hAnsi="Times New Roman"/>
          <w:sz w:val="18"/>
          <w:szCs w:val="18"/>
          <w:u w:val="single" w:color="auto"/>
          <w:color w:val="auto"/>
        </w:rPr>
        <w:t>Article 3</w:t>
      </w:r>
      <w:r>
        <w:rPr>
          <w:rFonts w:ascii="Times New Roman" w:cs="Times New Roman" w:eastAsia="Times New Roman" w:hAnsi="Times New Roman"/>
          <w:sz w:val="18"/>
          <w:szCs w:val="18"/>
          <w:color w:val="auto"/>
        </w:rPr>
        <w:t xml:space="preserve"> by virtue of such conflict.</w:t>
      </w:r>
    </w:p>
    <w:p>
      <w:pPr>
        <w:spacing w:after="0" w:line="17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i w:val="1"/>
          <w:iCs w:val="1"/>
          <w:color w:val="auto"/>
        </w:rPr>
        <w:t>Repayment to the Issuer</w:t>
      </w:r>
      <w:r>
        <w:rPr>
          <w:rFonts w:ascii="Times New Roman" w:cs="Times New Roman" w:eastAsia="Times New Roman" w:hAnsi="Times New Roman"/>
          <w:sz w:val="18"/>
          <w:szCs w:val="18"/>
          <w:color w:val="auto"/>
        </w:rPr>
        <w:t xml:space="preserve">. To the extent that the aggregate amount of cash deposited by the Issuer pursuant to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with respect to any Notes hereof exceeds the aggregate Change of Control Purchase Price (including interest thereon) of the Notes or portions thereof that the Issuer is obligated to purchase, then promptly after the Change of Control Purchase Date, and upon written request, the Trustee or a Paying Agent, as the case may be, shall return any such excess cash to the Issuer.</w:t>
      </w:r>
    </w:p>
    <w:p>
      <w:pPr>
        <w:spacing w:after="0" w:line="180"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i w:val="1"/>
          <w:iCs w:val="1"/>
          <w:color w:val="auto"/>
        </w:rPr>
        <w:t>Offer to Purchase by Application of Excess Proceeds</w:t>
      </w:r>
      <w:r>
        <w:rPr>
          <w:rFonts w:ascii="Times New Roman" w:cs="Times New Roman" w:eastAsia="Times New Roman" w:hAnsi="Times New Roman"/>
          <w:sz w:val="18"/>
          <w:szCs w:val="18"/>
          <w:color w:val="auto"/>
        </w:rPr>
        <w:t xml:space="preserve">. In the event that,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 the Issuer is required to commence an offer to all Holders to purchase Notes (“</w:t>
      </w:r>
      <w:r>
        <w:rPr>
          <w:rFonts w:ascii="Times New Roman" w:cs="Times New Roman" w:eastAsia="Times New Roman" w:hAnsi="Times New Roman"/>
          <w:sz w:val="18"/>
          <w:szCs w:val="18"/>
          <w:b w:val="1"/>
          <w:bCs w:val="1"/>
          <w:color w:val="auto"/>
        </w:rPr>
        <w:t>Asset Sale Offer</w:t>
      </w:r>
      <w:r>
        <w:rPr>
          <w:rFonts w:ascii="Times New Roman" w:cs="Times New Roman" w:eastAsia="Times New Roman" w:hAnsi="Times New Roman"/>
          <w:sz w:val="18"/>
          <w:szCs w:val="18"/>
          <w:color w:val="auto"/>
        </w:rPr>
        <w:t>”), it shall follow the procedures specified below.</w:t>
      </w:r>
    </w:p>
    <w:p>
      <w:pPr>
        <w:spacing w:after="0" w:line="16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The Asset Sale Offer shall be made to all Holders of Notes and all holders of other Pari Passu Indebtedness containing provisions similar to those set forth in this Indenture with respect to offers to purchase or redeem with the proceeds of sales of assets. The Asset Sale Offer shall remain open for a period of at least 20 Business Days following its commencement and not more than 30 Business Days, except to the extent that a longer period is required by applicable law (the “</w:t>
      </w:r>
      <w:r>
        <w:rPr>
          <w:rFonts w:ascii="Times New Roman" w:cs="Times New Roman" w:eastAsia="Times New Roman" w:hAnsi="Times New Roman"/>
          <w:sz w:val="18"/>
          <w:szCs w:val="18"/>
          <w:b w:val="1"/>
          <w:bCs w:val="1"/>
          <w:color w:val="auto"/>
        </w:rPr>
        <w:t>Offer Period</w:t>
      </w:r>
      <w:r>
        <w:rPr>
          <w:rFonts w:ascii="Times New Roman" w:cs="Times New Roman" w:eastAsia="Times New Roman" w:hAnsi="Times New Roman"/>
          <w:sz w:val="18"/>
          <w:szCs w:val="18"/>
          <w:color w:val="auto"/>
        </w:rPr>
        <w:t>”). No later than three Business Days after the termination of the Offer Period (the “</w:t>
      </w:r>
      <w:r>
        <w:rPr>
          <w:rFonts w:ascii="Times New Roman" w:cs="Times New Roman" w:eastAsia="Times New Roman" w:hAnsi="Times New Roman"/>
          <w:sz w:val="18"/>
          <w:szCs w:val="18"/>
          <w:b w:val="1"/>
          <w:bCs w:val="1"/>
          <w:color w:val="auto"/>
        </w:rPr>
        <w:t>Purchase Date</w:t>
      </w:r>
      <w:r>
        <w:rPr>
          <w:rFonts w:ascii="Times New Roman" w:cs="Times New Roman" w:eastAsia="Times New Roman" w:hAnsi="Times New Roman"/>
          <w:sz w:val="18"/>
          <w:szCs w:val="18"/>
          <w:color w:val="auto"/>
        </w:rPr>
        <w:t xml:space="preserve">”), the Issuer shall apply a portion of the Excess Proceeds as calculated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 (the “</w:t>
      </w:r>
      <w:r>
        <w:rPr>
          <w:rFonts w:ascii="Times New Roman" w:cs="Times New Roman" w:eastAsia="Times New Roman" w:hAnsi="Times New Roman"/>
          <w:sz w:val="18"/>
          <w:szCs w:val="18"/>
          <w:b w:val="1"/>
          <w:bCs w:val="1"/>
          <w:color w:val="auto"/>
        </w:rPr>
        <w:t>Offer Amount</w:t>
      </w:r>
      <w:r>
        <w:rPr>
          <w:rFonts w:ascii="Times New Roman" w:cs="Times New Roman" w:eastAsia="Times New Roman" w:hAnsi="Times New Roman"/>
          <w:sz w:val="18"/>
          <w:szCs w:val="18"/>
          <w:color w:val="auto"/>
        </w:rPr>
        <w:t>”) to the purchase of Notes and such other Pari Passu Indebtedness (on a pro rata basis, if applicable) or, if less than the Offer Amount has been tendered, all of such Notes and other Pari Passu Indebtedness tendered in response to the Asset Sale Offer. Payment for any Notes so purchased shall be made in the same manner as interest payments are made.</w:t>
      </w:r>
    </w:p>
    <w:p>
      <w:pPr>
        <w:spacing w:after="0" w:line="19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Upon the commencement of an Asset Sale Offer, the Issuer shall send, by first-class mail, a notice to the Trustee and each of the applicable Holders. The notice will contain all instructions and materials necessary to enable such Holders to tender Notes pursuant to the Asset Sale Offer. The notice, which will govern the terms of the Asset Sale Offer, will state:</w:t>
      </w:r>
    </w:p>
    <w:p>
      <w:pPr>
        <w:spacing w:after="0" w:line="68" w:lineRule="exact"/>
        <w:rPr>
          <w:sz w:val="20"/>
          <w:szCs w:val="20"/>
          <w:color w:val="auto"/>
        </w:rPr>
      </w:pPr>
    </w:p>
    <w:p>
      <w:pPr>
        <w:ind w:left="440" w:right="100" w:firstLine="419"/>
        <w:spacing w:after="0" w:line="282" w:lineRule="auto"/>
        <w:tabs>
          <w:tab w:leader="none" w:pos="1118"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the Asset Sale Offer is being made pursuant to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 and the length of time the Asset Sale Offer will remain open;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Amount, the purchase price and the Purchase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with respect to any Notes, any Note not tendered or accepted for payment will continue to accrue interest;</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payment, any Note accepted for payment pursuant to the Asset Sale Offer shall cease to accrue interest after the Purchase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00"/>
          </w:cols>
          <w:pgMar w:left="440" w:top="270" w:right="459" w:bottom="1440" w:gutter="0" w:footer="0" w:header="0"/>
        </w:sectPr>
      </w:pPr>
    </w:p>
    <w:bookmarkStart w:id="667" w:name="page668"/>
    <w:bookmarkEnd w:id="667"/>
    <w:p>
      <w:pPr>
        <w:ind w:left="440" w:right="100" w:firstLine="419"/>
        <w:spacing w:after="0" w:line="282" w:lineRule="auto"/>
        <w:tabs>
          <w:tab w:leader="none" w:pos="111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with respect to any Notes, Holders electing to have a Note purchased pursuant to an Asset Sale Offer may elect to have such Notes purchased in a principal amount of $2,000 (or in integral multiples of $1,000 in excess thereof) only;</w:t>
      </w:r>
    </w:p>
    <w:p>
      <w:pPr>
        <w:spacing w:after="0" w:line="53"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11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any Asset Sale Offer shall be required to surrender the Note, with the form entitled “Option of Holder to Elect Purchase” on the reverse of the Note completed, or transfer by book-entry transfer, to the Issuer, the Depositary, if appointed by the Issuer, or a Paying Agent at the address specified in the notice at least three days before the Purchase Date;</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1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shall be entitled to withdraw their election if the Issuer or the Paying Agent, as the case may be, receives, not later than the expiration of the Offer Period, a electronic transmission or letter setting forth the name of the Holder, the principal amount of the Note the Holder delivered for purchase and a statement that such Holder is withdrawing his election to have such Note purchased;</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if the aggregate principal amount of any Notes and other Pari Passu Indebtedness surrendered in connection with the Asset Sale Offer exceeds the Offer Amount, the Issuer shall select Notes and other Pari Passu Indebtedness to be purchased on a pro rata basis based on the principal amount of Notes and such other Pari Passu Indebtedness surrendered (with such adjustments as may be deemed appropriate by the Issuer so that only such Notes in denominations of $2,000 (or integral multiples of $1,000 in excess thereof), will be purchased); and</w:t>
      </w:r>
    </w:p>
    <w:p>
      <w:pPr>
        <w:spacing w:after="0" w:line="71" w:lineRule="exact"/>
        <w:rPr>
          <w:rFonts w:ascii="Times New Roman" w:cs="Times New Roman" w:eastAsia="Times New Roman" w:hAnsi="Times New Roman"/>
          <w:sz w:val="18"/>
          <w:szCs w:val="18"/>
          <w:color w:val="auto"/>
        </w:rPr>
      </w:pPr>
    </w:p>
    <w:p>
      <w:pPr>
        <w:ind w:left="440" w:right="820" w:firstLine="419"/>
        <w:spacing w:after="0" w:line="282" w:lineRule="auto"/>
        <w:tabs>
          <w:tab w:leader="none" w:pos="111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of any Notes whose Notes were purchased only in part will be issued new Notes equal in principal amount to the unpurchased portion of such Notes surrendered (or transferred by book-entry transfer).</w:t>
      </w:r>
    </w:p>
    <w:p>
      <w:pPr>
        <w:spacing w:after="0" w:line="16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On or before the Purchase Date, the Issuer shall, to the extent lawful, accept for payment, on a pro rata basis to the extent necessary, the Offer Amount of the applicable Notes or portions thereof tendered pursuant to the Asset Sale Offer, or if less than the Offer Amount has been tendered, all such Notes tendered, and shall deliver to the Trustee an Officers’ Certificate stating that such Notes or portions thereof were accepted for payment by the Issuer in accordance with the terms of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The Issuer, the Depositary or the Paying Agent, as the case may be, shall promptly (but in any case not later than five days after the Purchase Date) mail or deliver to each tendering Holder an amount equal to the purchase price of Notes tendered by such Holder and accepted by the Issuer for purchase, and the Issuer shall promptly issue a new Note, and the Trustee, upon written request from the Issuer, shall authenticate and mail or deliver such new Note to such Holder, in a principal amount equal to any unpurchased portion of the Note surrendered. Any Note not so accepted shall be promptly mailed or delivered by the Issuer to the Holder thereof. The Issuer shall publicly announce the results of the Asset Sale Offer on or as soon as practicable after the Purchase Date.</w:t>
      </w:r>
    </w:p>
    <w:p>
      <w:pPr>
        <w:spacing w:after="0" w:line="18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Other than as specifically provided in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any purchase pursuant to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shall be made pursuant to the provisions of Sections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3.06</w:t>
      </w:r>
      <w:r>
        <w:rPr>
          <w:rFonts w:ascii="Times New Roman" w:cs="Times New Roman" w:eastAsia="Times New Roman" w:hAnsi="Times New Roman"/>
          <w:sz w:val="18"/>
          <w:szCs w:val="18"/>
          <w:color w:val="auto"/>
        </w:rPr>
        <w:t xml:space="preserve">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0980"/>
          </w:cols>
          <w:pgMar w:left="440" w:top="270" w:right="479" w:bottom="1440" w:gutter="0" w:footer="0" w:header="0"/>
        </w:sectPr>
      </w:pPr>
    </w:p>
    <w:bookmarkStart w:id="668" w:name="page669"/>
    <w:bookmarkEnd w:id="668"/>
    <w:p>
      <w:pPr>
        <w:ind w:left="4" w:right="3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3.15 </w:t>
      </w:r>
      <w:r>
        <w:rPr>
          <w:rFonts w:ascii="Times New Roman" w:cs="Times New Roman" w:eastAsia="Times New Roman" w:hAnsi="Times New Roman"/>
          <w:sz w:val="18"/>
          <w:szCs w:val="18"/>
          <w:i w:val="1"/>
          <w:iCs w:val="1"/>
          <w:color w:val="auto"/>
        </w:rPr>
        <w:t>Mandatory Redemption</w:t>
      </w:r>
      <w:r>
        <w:rPr>
          <w:rFonts w:ascii="Times New Roman" w:cs="Times New Roman" w:eastAsia="Times New Roman" w:hAnsi="Times New Roman"/>
          <w:sz w:val="18"/>
          <w:szCs w:val="18"/>
          <w:color w:val="auto"/>
        </w:rPr>
        <w:t xml:space="preserve">. Except as described in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the Issuer shall not be required to make mandatory redemption or sinking fund payment with respect to the Notes.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i w:val="1"/>
          <w:iCs w:val="1"/>
          <w:color w:val="auto"/>
        </w:rPr>
        <w:t>Special Mandatory Redemption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4" w:hanging="244"/>
        <w:spacing w:after="0"/>
        <w:tabs>
          <w:tab w:leader="none" w:pos="684" w:val="left"/>
        </w:tabs>
        <w:numPr>
          <w:ilvl w:val="1"/>
          <w:numId w:val="8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Issuer has not delivered the Escrow Release Officer’s Certificate to the Escrow Agent and the Trustee on or prior to the earlier of</w:t>
      </w:r>
    </w:p>
    <w:p>
      <w:pPr>
        <w:spacing w:after="0" w:line="27" w:lineRule="exact"/>
        <w:rPr>
          <w:rFonts w:ascii="Times New Roman" w:cs="Times New Roman" w:eastAsia="Times New Roman" w:hAnsi="Times New Roman"/>
          <w:sz w:val="18"/>
          <w:szCs w:val="18"/>
          <w:color w:val="auto"/>
        </w:rPr>
      </w:pPr>
    </w:p>
    <w:p>
      <w:pPr>
        <w:ind w:left="4" w:right="80" w:hanging="4"/>
        <w:spacing w:after="0" w:line="252" w:lineRule="auto"/>
        <w:tabs>
          <w:tab w:leader="none" w:pos="299" w:val="left"/>
        </w:tabs>
        <w:numPr>
          <w:ilvl w:val="0"/>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Escrow End Date, and (B) the date on which the Issuer notifies the Escrow Agent and the Trustee in writing that Comcast will not pursue the consummation of the Separation by the Escrow End Date or (ii) the Escrow Release Conditions have been satisfied, but the Separation has not been consummated on or prior to the Escrow End Date (the earliest such event, a “</w:t>
      </w:r>
      <w:r>
        <w:rPr>
          <w:rFonts w:ascii="Times New Roman" w:cs="Times New Roman" w:eastAsia="Times New Roman" w:hAnsi="Times New Roman"/>
          <w:sz w:val="18"/>
          <w:szCs w:val="18"/>
          <w:b w:val="1"/>
          <w:bCs w:val="1"/>
          <w:color w:val="auto"/>
        </w:rPr>
        <w:t>Special Mandatory Redemption Event</w:t>
      </w:r>
      <w:r>
        <w:rPr>
          <w:rFonts w:ascii="Times New Roman" w:cs="Times New Roman" w:eastAsia="Times New Roman" w:hAnsi="Times New Roman"/>
          <w:sz w:val="18"/>
          <w:szCs w:val="18"/>
          <w:color w:val="auto"/>
        </w:rPr>
        <w:t>”), the Issuer shall redeem all of the Notes (such redemption, the “</w:t>
      </w:r>
      <w:r>
        <w:rPr>
          <w:rFonts w:ascii="Times New Roman" w:cs="Times New Roman" w:eastAsia="Times New Roman" w:hAnsi="Times New Roman"/>
          <w:sz w:val="18"/>
          <w:szCs w:val="18"/>
          <w:b w:val="1"/>
          <w:bCs w:val="1"/>
          <w:color w:val="auto"/>
        </w:rPr>
        <w:t>Special Mandatory Redemption</w:t>
      </w:r>
      <w:r>
        <w:rPr>
          <w:rFonts w:ascii="Times New Roman" w:cs="Times New Roman" w:eastAsia="Times New Roman" w:hAnsi="Times New Roman"/>
          <w:sz w:val="18"/>
          <w:szCs w:val="18"/>
          <w:color w:val="auto"/>
        </w:rPr>
        <w:t>”) then outstanding at a redemption price equal to 100% of the aggregate principal amount of the Notes, plus accrued and unpaid interest thereon to, but excluding, the Special Mandatory Redemption Date (the “</w:t>
      </w:r>
      <w:r>
        <w:rPr>
          <w:rFonts w:ascii="Times New Roman" w:cs="Times New Roman" w:eastAsia="Times New Roman" w:hAnsi="Times New Roman"/>
          <w:sz w:val="18"/>
          <w:szCs w:val="18"/>
          <w:b w:val="1"/>
          <w:bCs w:val="1"/>
          <w:color w:val="auto"/>
        </w:rPr>
        <w:t>Special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Issuer becomes obligated to redeem the Notes pursuant to the Special Mandatory Redemption, the Issuer shall promptly, and in any event not more than 10 Business Days after the Special Mandatory Redemption Event, deliver to the Escrow Agent and the Trustee, written notice (the date on which such notice is delivered, the “</w:t>
      </w:r>
      <w:r>
        <w:rPr>
          <w:rFonts w:ascii="Times New Roman" w:cs="Times New Roman" w:eastAsia="Times New Roman" w:hAnsi="Times New Roman"/>
          <w:sz w:val="18"/>
          <w:szCs w:val="18"/>
          <w:b w:val="1"/>
          <w:bCs w:val="1"/>
          <w:color w:val="auto"/>
        </w:rPr>
        <w:t>Special Mandatory Redemption Notice Date</w:t>
      </w:r>
      <w:r>
        <w:rPr>
          <w:rFonts w:ascii="Times New Roman" w:cs="Times New Roman" w:eastAsia="Times New Roman" w:hAnsi="Times New Roman"/>
          <w:sz w:val="18"/>
          <w:szCs w:val="18"/>
          <w:color w:val="auto"/>
        </w:rPr>
        <w:t>”) of the Special Mandatory Redemption and the date upon which such Notes shall be redeemed (the “</w:t>
      </w:r>
      <w:r>
        <w:rPr>
          <w:rFonts w:ascii="Times New Roman" w:cs="Times New Roman" w:eastAsia="Times New Roman" w:hAnsi="Times New Roman"/>
          <w:sz w:val="18"/>
          <w:szCs w:val="18"/>
          <w:b w:val="1"/>
          <w:bCs w:val="1"/>
          <w:color w:val="auto"/>
        </w:rPr>
        <w:t>Special Mandatory Redemption Date</w:t>
      </w:r>
      <w:r>
        <w:rPr>
          <w:rFonts w:ascii="Times New Roman" w:cs="Times New Roman" w:eastAsia="Times New Roman" w:hAnsi="Times New Roman"/>
          <w:sz w:val="18"/>
          <w:szCs w:val="18"/>
          <w:color w:val="auto"/>
        </w:rPr>
        <w:t>,” which date shall be no later than the third Business Day following the Special Mandatory Redemption Notice Date) and to the Trustee a written notice of Special Mandatory Redemption for the Trustee to deliver to each registered Holder of Notes to be redeemed. Upon delivery by the Issuer to the Trustee of the notice of Special Mandatory Redemption, the Trustee shall promptly mail, or deliver electronically if such Notes are held by any depositary (including, without limitation, DTC) in accordance with such depositary’s customary procedures, such notice of Special Mandatory Redemption to each registered Holder of Notes to be redeemed at its registered address.</w:t>
      </w:r>
    </w:p>
    <w:p>
      <w:pPr>
        <w:spacing w:after="0" w:line="188" w:lineRule="exact"/>
        <w:rPr>
          <w:rFonts w:ascii="Times New Roman" w:cs="Times New Roman" w:eastAsia="Times New Roman" w:hAnsi="Times New Roman"/>
          <w:sz w:val="18"/>
          <w:szCs w:val="18"/>
          <w:color w:val="auto"/>
        </w:rPr>
      </w:pPr>
    </w:p>
    <w:p>
      <w:pPr>
        <w:ind w:left="4" w:right="40" w:firstLine="436"/>
        <w:spacing w:after="0" w:line="253" w:lineRule="auto"/>
        <w:tabs>
          <w:tab w:leader="none" w:pos="689" w:val="left"/>
        </w:tabs>
        <w:numPr>
          <w:ilvl w:val="1"/>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Business Day immediately following the Special Mandatory Redemption Notice Date (and no later than the Business Day prior to the Special Mandatory Redemption Date), the Escrow Agent, without the requirement of further notice to or action by the Issuer or any other person, shall liquidate all Escrowed Funds, if any, and release the Escrowed Funds to the Trustee. On or prior to the Special Mandatory Redemption Date, if necessary, the Issuer shall deposit or cause to be deposited with the Trustee immediately available funds in U.S. dollars in an amount sufficient, when taken together with such liquidated Escrowed Funds, to pay the Special Mandatory Redemption Price (as calculated by the Issuer) on all Notes to be redeemed on such date. The Trustee shall apply such liquidated Escrowed Funds, if any, and such deposited funds on the Special Mandatory Redemption Date to redeem the Notes in connection with the Special Mandatory Redemption. Unless the Issuer defaults in payment of the Special Mandatory Redemption Price, on and after such Special Mandatory Redemption Date, interest shall cease to accrue on the Notes to be redeemed. The Trustee shall release to the Issuer any liquidated Escrowed Funds or other deposited funds remaining after the Notes are redeemed in accordance with the terms of this Indenture.</w:t>
      </w:r>
    </w:p>
    <w:p>
      <w:pPr>
        <w:spacing w:after="0" w:line="127" w:lineRule="exact"/>
        <w:rPr>
          <w:sz w:val="20"/>
          <w:szCs w:val="20"/>
          <w:color w:val="auto"/>
        </w:rPr>
      </w:pPr>
    </w:p>
    <w:p>
      <w:pPr>
        <w:jc w:val="center"/>
        <w:ind w:right="-12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0884"/>
          </w:cols>
          <w:pgMar w:left="436" w:top="268" w:right="579" w:bottom="1440" w:gutter="0" w:footer="0" w:header="0"/>
        </w:sectPr>
      </w:pPr>
    </w:p>
    <w:bookmarkStart w:id="669" w:name="page670"/>
    <w:bookmarkEnd w:id="669"/>
    <w:p>
      <w:pPr>
        <w:ind w:right="600" w:firstLine="436"/>
        <w:spacing w:after="0" w:line="282" w:lineRule="auto"/>
        <w:tabs>
          <w:tab w:leader="none" w:pos="695" w:val="left"/>
        </w:tabs>
        <w:numPr>
          <w:ilvl w:val="0"/>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redemption made pursuant to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shall be made pursuant to the procedures set forth in this Indenture and the Escrow Agreement, except to the extent inconsistent with this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4</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COVENANTS</w:t>
      </w:r>
    </w:p>
    <w:p>
      <w:pPr>
        <w:spacing w:after="0" w:line="223"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i w:val="1"/>
          <w:iCs w:val="1"/>
          <w:color w:val="auto"/>
        </w:rPr>
        <w:t>Payment of Notes</w:t>
      </w:r>
      <w:r>
        <w:rPr>
          <w:rFonts w:ascii="Times New Roman" w:cs="Times New Roman" w:eastAsia="Times New Roman" w:hAnsi="Times New Roman"/>
          <w:sz w:val="18"/>
          <w:szCs w:val="18"/>
          <w:color w:val="auto"/>
        </w:rPr>
        <w:t>. The Issuer shall promptly make all payments in respect of the Notes on the dates and in the manner provided in the Notes and this Indenture. An installment of principal or interest shall be considered paid on the date it is due if the Paying Agent (other than the Issuer) holds by 10:00 a.m., New York City time, on that date money, deposited by the Issuer or an Affiliate thereof, sufficient to pay the installment. Except in the case of a redemption, a Change of Control Offer or an Asset Sale Offer, accrued and unpaid interest on any Note that is payable, and is punctually paid or duly provided for, on any interest payment date shall be paid to the Person in whose name that Note is registered at the close of business on the record date for such interest at the office or agency of the Issuer maintained for such purpose. The Issuer shall (in immediately available funds), to the fullest extent permitted by law, pay interest on overdue principal (including premium, if any) and overdue installments of interest from the original due date to the date paid, at the rate applicable to the Note, which interest shall be payable on demand.</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Issuer will make payments in respect of the Notes represented by the Global Notes (including principal, premium, if any, and interest) by wire transfer of immediately available funds to the accounts specified by the Holder of the Global Note. The Issuer will make all payments of principal, interest and premium, if any, with respect to Definitive Notes by wire transfer of immediately available funds to the accounts specified by the Holders of the Definitive Notes, in the case of a Holder holding an aggregate principal amount of Notes of $1,000,000 or more, or, if no such account is specified or in the case of a Holder holding an aggregate principal amount of Notes of less than $1,000,000, by wire transfer to each such Holder’s bank account as provided for in the register maintained by the Registrar for the Definitive Notes. All payments shall be made in immediately available funds in U.S. dollars. Payments to any Holder holding an aggregate principal amount of Notes in excess of $1,000,000 shall be made by wire transfer in immediately available funds to an account maintained by such Holder in the United States, if such Holder has provided wire transfer instructions to the Issuer at least 10 Business Days prior to the payment date. Any wire transfer instructions received by the Trustee will remain in effect until revoked by the Holder. The Paying Agent shall not be bound to make payment until such time as it has received sufficient funds in order to make such payment.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i w:val="1"/>
          <w:iCs w:val="1"/>
          <w:color w:val="auto"/>
        </w:rPr>
        <w:t>Maintenance of Office or Agency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maintain in the United States of America, an office or agency (which may be an the Corporate Trust Office of the Trustee or an Agent or an affiliate of the Trustee, Registrar or co registrar) where Notes may be surrendered for payment,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670" w:name="page671"/>
    <w:bookmarkEnd w:id="670"/>
    <w:p>
      <w:pPr>
        <w:ind w:right="200" w:firstLine="436"/>
        <w:spacing w:after="0" w:line="261" w:lineRule="auto"/>
        <w:tabs>
          <w:tab w:leader="none" w:pos="695" w:val="left"/>
        </w:tabs>
        <w:numPr>
          <w:ilvl w:val="0"/>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designation or rescission shall in any manner relieve the Issuer of its obligation to maintain an office or agency in the United States of America, for such purposes. The Issuer shall give prompt written notice to the Trustee of any such designation or rescission and of any change in the location of any such other office or agency.</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hereby designates the Corporate Trust Office of the Trustee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hereof as one such office or agency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Issuer.</w:t>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i w:val="1"/>
          <w:iCs w:val="1"/>
          <w:color w:val="auto"/>
        </w:rPr>
        <w:t>Reports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320" w:firstLine="436"/>
        <w:spacing w:after="0" w:line="261" w:lineRule="auto"/>
        <w:tabs>
          <w:tab w:leader="none" w:pos="685" w:val="left"/>
        </w:tabs>
        <w:numPr>
          <w:ilvl w:val="0"/>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SEC’s rules and regulations, from and after the Escrow Release Date and for so long as any Notes are outstanding, the Issuer shall furnish (to the extent not publicly available on the SEC’s EDGAR system (or any successor system)) to the Holders of Notes by posting on the Issuer’s website (in a format that is accessible to Holders of Notes as well as prospective Holders of Notes), within the time periods specified below:</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078" w:val="left"/>
        </w:tabs>
        <w:numPr>
          <w:ilvl w:val="1"/>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the Issuer ending thereafter, a consolidated balance sheet of the Issuer and its Subsidiaries as at the end of such fiscal year, and the related consolidated statements of income (or loss) or operations and cash flows for such fiscal year, together with related notes thereto, in comparative form the figures for the previous fiscal year, in reasonable detail and all prepared in accordance with GAAP in all material respects, audited and accompanied by a report and opinion of an independent certified public accounting firm of nationally recognized standing;</w:t>
      </w:r>
    </w:p>
    <w:p>
      <w:pPr>
        <w:spacing w:after="0" w:line="75"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end of each of the first three fiscal quarters of each fiscal year of the Issuer, a consolidated balance sheet of the Issuer and its Subsidiaries as at the end of such fiscal quarter, and the related (a) consolidated statement of income for such fiscal quarter and for the portion of the fiscal year then ended and (b) consolidated statement of cash flows for the portion of the fiscal year then ended, and setting forth, commencing with such financial statements delivered for the first fiscal quarter following the first full fiscal year of the Issuer following the Escrow Release Date, in each case of the preceding clauses (a) and (b), in comparative form the figures for the corresponding fiscal quarter of the previous fiscal year and the corresponding portion of the previous fiscal year;</w:t>
      </w:r>
    </w:p>
    <w:p>
      <w:pPr>
        <w:spacing w:after="0" w:line="79"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78" w:val="left"/>
        </w:tabs>
        <w:numPr>
          <w:ilvl w:val="1"/>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concurrently with the delivery of the financial statements set forth in clauses (i) and (ii) above, a narrative report prepared by management of the Issuer describing the results of operations in a form customarily prepared by management of the Issuer (provided that such narrative report need not comply with disclosure requirements under Regulation S-K);</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60"/>
          </w:cols>
          <w:pgMar w:left="440" w:top="270" w:right="499" w:bottom="1440" w:gutter="0" w:footer="0" w:header="0"/>
        </w:sectPr>
      </w:pPr>
    </w:p>
    <w:bookmarkStart w:id="671" w:name="page672"/>
    <w:bookmarkEnd w:id="671"/>
    <w:p>
      <w:pPr>
        <w:ind w:right="20" w:firstLine="419"/>
        <w:spacing w:after="0" w:line="254" w:lineRule="auto"/>
        <w:tabs>
          <w:tab w:leader="none" w:pos="728" w:val="left"/>
        </w:tabs>
        <w:numPr>
          <w:ilvl w:val="0"/>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promptly after the occurrence of any of the following events, all current reports that would be required to be filed with the SEC on Form 8-K if the Issuer were required to file such reports for any of the following events (provided, however, that no such current report will be required to be furnished if the Issuer determines in its good faith judgment that such event is not material to the Holders of the Notes or the business, assets, operations, financial position or prospects of the Issuer and its Restricted Subsidiaries, taken as a whole; provided, further, that the foregoing shall not obligate the Issuer to make available copies of any agreements, financial statements or other items that would be required to be filed as exhibits to a current report on Form 8-K, or to include a summary of the terms of any employment or compensatory arrangement, agreement, plan or understanding between the Issuer (or any of its Subsidiaries) and any director, manager or executive officer of the Issuer (or any of its Subsidiaries)):</w:t>
      </w:r>
    </w:p>
    <w:p>
      <w:pPr>
        <w:spacing w:after="0" w:line="8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1.03 (Bankruptcy or Receivership);</w:t>
      </w:r>
    </w:p>
    <w:p>
      <w:pPr>
        <w:spacing w:after="0" w:line="117" w:lineRule="exact"/>
        <w:rPr>
          <w:rFonts w:ascii="Times New Roman" w:cs="Times New Roman" w:eastAsia="Times New Roman" w:hAnsi="Times New Roman"/>
          <w:sz w:val="18"/>
          <w:szCs w:val="18"/>
          <w:color w:val="auto"/>
        </w:rPr>
      </w:pPr>
    </w:p>
    <w:p>
      <w:pPr>
        <w:ind w:left="540" w:firstLine="408"/>
        <w:spacing w:after="0" w:line="253" w:lineRule="auto"/>
        <w:tabs>
          <w:tab w:leader="none" w:pos="1226" w:val="left"/>
        </w:tabs>
        <w:numPr>
          <w:ilvl w:val="2"/>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2.01 (Completion of Acquisition or Disposition of Assets) (only with respect to acquisitions that are “significant” at the 20% or greater level pursuant to clauses (1) and (2) of the definition of “Significant Subsidiary” under Rule 1-02 of Regulation S-X only); provided that (w) such Item 2.01 shall not trigger the provision of financial information contemplated by Item 9.01 of Form 8-K referred to in Item 2.01 of Form 8-K, (x) such information will not be required to include as an exhibit copies of any financial statements that would be required to be filed as exhibits to a current report on Form 8-K except for historical financial statements to the extent reasonably available, (y) to the extent provided, such historical financial statements will not be required to comply with Regulation S-X and</w:t>
      </w:r>
    </w:p>
    <w:p>
      <w:pPr>
        <w:spacing w:after="0" w:line="5" w:lineRule="exact"/>
        <w:rPr>
          <w:rFonts w:ascii="Times New Roman" w:cs="Times New Roman" w:eastAsia="Times New Roman" w:hAnsi="Times New Roman"/>
          <w:sz w:val="18"/>
          <w:szCs w:val="18"/>
          <w:color w:val="auto"/>
        </w:rPr>
      </w:pPr>
    </w:p>
    <w:p>
      <w:pPr>
        <w:ind w:left="540" w:right="340" w:firstLine="7"/>
        <w:spacing w:after="0" w:line="260" w:lineRule="auto"/>
        <w:tabs>
          <w:tab w:leader="none" w:pos="785"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subclause (B) shall require any financial information as a result of the aggregate impact of individually insignificant businesses;</w:t>
      </w:r>
    </w:p>
    <w:p>
      <w:pPr>
        <w:spacing w:after="0" w:line="73" w:lineRule="exact"/>
        <w:rPr>
          <w:rFonts w:ascii="Times New Roman" w:cs="Times New Roman" w:eastAsia="Times New Roman" w:hAnsi="Times New Roman"/>
          <w:sz w:val="18"/>
          <w:szCs w:val="18"/>
          <w:color w:val="auto"/>
        </w:rPr>
      </w:pPr>
    </w:p>
    <w:p>
      <w:pPr>
        <w:ind w:left="540" w:right="320" w:firstLine="408"/>
        <w:spacing w:after="0" w:line="282" w:lineRule="auto"/>
        <w:tabs>
          <w:tab w:leader="none" w:pos="1226" w:val="left"/>
        </w:tabs>
        <w:numPr>
          <w:ilvl w:val="2"/>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2.04 (Triggering Events that Accelerate or Increase a Direct Financial Obligation or an Obligation under an Off-Balance Sheet Arrangement);</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4.01 (Change in Registrant’s Certifying Accountant);</w:t>
      </w:r>
    </w:p>
    <w:p>
      <w:pPr>
        <w:spacing w:after="0" w:line="117"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4.02(a) and (b) (Non-Reliance on Previously Issued Financial Statements or a Related Audit Report or Completed Interim</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w:t>
      </w:r>
    </w:p>
    <w:p>
      <w:pPr>
        <w:spacing w:after="0" w:line="98"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2"/>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5.01 (Changes in Control of Registrant);</w:t>
      </w:r>
    </w:p>
    <w:p>
      <w:pPr>
        <w:spacing w:after="0" w:line="117" w:lineRule="exact"/>
        <w:rPr>
          <w:rFonts w:ascii="Times New Roman" w:cs="Times New Roman" w:eastAsia="Times New Roman" w:hAnsi="Times New Roman"/>
          <w:sz w:val="18"/>
          <w:szCs w:val="18"/>
          <w:color w:val="auto"/>
        </w:rPr>
      </w:pPr>
    </w:p>
    <w:p>
      <w:pPr>
        <w:ind w:left="540" w:right="160" w:firstLine="408"/>
        <w:spacing w:after="0" w:line="261" w:lineRule="auto"/>
        <w:tabs>
          <w:tab w:leader="none" w:pos="1236" w:val="left"/>
        </w:tabs>
        <w:numPr>
          <w:ilvl w:val="2"/>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Items 5.02 (b) (Departure of Directors or Certain Officers) (with respect to the principal executive officer, president, principal financial officer, principal accounting officer and principal operating officer only) and (c) (Election of Directors; Appointment of Certain Officers) (other than with respect to information required or contemplated by sub-clause (3) of such Item), but excluding, in each case under this subclause (G), any information otherwise required or contemplated by Item 402 of Regulation S-K; and</w:t>
      </w:r>
    </w:p>
    <w:p>
      <w:pPr>
        <w:spacing w:after="0" w:line="71"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2"/>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5.03(b) (Changes in Fiscal Year);</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580"/>
          </w:cols>
          <w:pgMar w:left="880" w:top="270" w:right="439" w:bottom="1440" w:gutter="0" w:footer="0" w:header="0"/>
        </w:sectPr>
      </w:pPr>
    </w:p>
    <w:bookmarkStart w:id="672" w:name="page673"/>
    <w:bookmarkEnd w:id="672"/>
    <w:p>
      <w:pPr>
        <w:ind w:left="4" w:right="26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each case, in a manner that complies in all material respects with the requirements specified in such form (except as described above or below and subject, in the case of required financial information, to exceptions consistent with the presentation of financial information in the Offering Memorandum, to the extent filed within the times specified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reports required pursuant to clauses (i), (ii) and</w:t>
      </w:r>
    </w:p>
    <w:p>
      <w:pPr>
        <w:spacing w:after="0" w:line="1" w:lineRule="exact"/>
        <w:rPr>
          <w:sz w:val="20"/>
          <w:szCs w:val="20"/>
          <w:color w:val="auto"/>
        </w:rPr>
      </w:pPr>
    </w:p>
    <w:p>
      <w:pPr>
        <w:ind w:left="4" w:hanging="4"/>
        <w:spacing w:after="0" w:line="251" w:lineRule="auto"/>
        <w:tabs>
          <w:tab w:leader="none" w:pos="319" w:val="left"/>
        </w:tabs>
        <w:numPr>
          <w:ilvl w:val="0"/>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(a) shall not be required to comply with Section 302, Section 404 or Section 906 of the Sarbanes-Oxley Act of 2002, as amended, or related Items 307 and 308 of Regulation S-K, or Item 10(e) of Regulation S-K (with respect to any non-GAAP financial measures contained therein), (b) shall not be required to comply with Items 402, 403, 406 and 407 of Regulation S-K, (c) shall not be required to comply with Rule 3-10, Rule 13-01 or Rule 13-02 of Regulation S-X, except that summary guarantor/non-guarantor information consistent with the disclosure in the Offering Memorandum will be provided, (d) shall not be required to include any segment or business unit level financial information except to the extent included in the Offering Memorandum, (e) shall not be required to include any exhibits that would have been required to be filed pursuant to Item 601 of Regulation S-K, except for agreements evidencing material Indebtedness (excluding any schedules thereto), (f) with respect to any historical financial statements of an acquired business and related pro forma information relating to transactions required to be reported pursuant to Item 2.01 of Form 8-K, such historical financial statements and pro forma information shall only be required to the extent and in the form available to the Issuer (as determined by the Issuer in good faith), (g) shall not be required to include any trade secrets or other confidential information that is competitively sensitive in the good faith and reasonable determination of the Issuer and (h) solely if and to the extent that the applicable deadline required by the SEC for delivery of the Issuer’s Form 10-Q and/or 10-K (as applicable) for any period are later than the applicable deadlines for delivery set forth in clauses (i) and (ii) (as in effect immediately prior such time) for such period, such deadlines set forth in clauses (i) and (ii) shall automatically be deemed to be replaced with such later deadlines as required by the SEC (without any further action or consent of any party hereto).</w:t>
      </w:r>
    </w:p>
    <w:p>
      <w:pPr>
        <w:spacing w:after="0" w:line="191"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furnish any of the reports required pursuant to clauses (i), (ii) and (iii) may be satisfied by the posting of such reports within the time periods specified above on a password protected online data system requiring user identification and a confidentiality acknowledgement (the “</w:t>
      </w:r>
      <w:r>
        <w:rPr>
          <w:rFonts w:ascii="Times New Roman" w:cs="Times New Roman" w:eastAsia="Times New Roman" w:hAnsi="Times New Roman"/>
          <w:sz w:val="18"/>
          <w:szCs w:val="18"/>
          <w:b w:val="1"/>
          <w:bCs w:val="1"/>
          <w:color w:val="auto"/>
        </w:rPr>
        <w:t>Secured System</w:t>
      </w:r>
      <w:r>
        <w:rPr>
          <w:rFonts w:ascii="Times New Roman" w:cs="Times New Roman" w:eastAsia="Times New Roman" w:hAnsi="Times New Roman"/>
          <w:sz w:val="18"/>
          <w:szCs w:val="18"/>
          <w:color w:val="auto"/>
        </w:rPr>
        <w:t>”). If the Issuer uses the Secured System to satisfy such requirements, it shall make readily and promptly available any password or other login information relating to the Secured System to Holders, prospective investors, security analysts who have certified to the Issuer that they are reputable security analysts employed by a reputable financial institution who regularly cover or intend to cover the Issuer and the Notes (each, a “</w:t>
      </w:r>
      <w:r>
        <w:rPr>
          <w:rFonts w:ascii="Times New Roman" w:cs="Times New Roman" w:eastAsia="Times New Roman" w:hAnsi="Times New Roman"/>
          <w:sz w:val="18"/>
          <w:szCs w:val="18"/>
          <w:b w:val="1"/>
          <w:bCs w:val="1"/>
          <w:color w:val="auto"/>
        </w:rPr>
        <w:t>Security Analyst</w:t>
      </w:r>
      <w:r>
        <w:rPr>
          <w:rFonts w:ascii="Times New Roman" w:cs="Times New Roman" w:eastAsia="Times New Roman" w:hAnsi="Times New Roman"/>
          <w:sz w:val="18"/>
          <w:szCs w:val="18"/>
          <w:color w:val="auto"/>
        </w:rPr>
        <w:t>”) and market makers who have certified to the Issuer that they are reputable market makers who regularly make or intend to make a market in the Notes (each, a “</w:t>
      </w:r>
      <w:r>
        <w:rPr>
          <w:rFonts w:ascii="Times New Roman" w:cs="Times New Roman" w:eastAsia="Times New Roman" w:hAnsi="Times New Roman"/>
          <w:sz w:val="18"/>
          <w:szCs w:val="18"/>
          <w:b w:val="1"/>
          <w:bCs w:val="1"/>
          <w:color w:val="auto"/>
        </w:rPr>
        <w:t>Market Maker</w:t>
      </w:r>
      <w:r>
        <w:rPr>
          <w:rFonts w:ascii="Times New Roman" w:cs="Times New Roman" w:eastAsia="Times New Roman" w:hAnsi="Times New Roman"/>
          <w:sz w:val="18"/>
          <w:szCs w:val="18"/>
          <w:color w:val="auto"/>
        </w:rPr>
        <w:t>”), and shall make readily and promptly available on an “Investor Relations” page on its external website contact information for being provided access to the Secured System to any Holders, prospective investors, Security Analysts or Market Makers and promptly comply with any such requests for access to the Secured System to the extent provided for herein.</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964"/>
          </w:cols>
          <w:pgMar w:left="436" w:top="270" w:right="499" w:bottom="1440" w:gutter="0" w:footer="0" w:header="0"/>
        </w:sectPr>
      </w:pPr>
    </w:p>
    <w:bookmarkStart w:id="673" w:name="page674"/>
    <w:bookmarkEnd w:id="673"/>
    <w:p>
      <w:pPr>
        <w:ind w:right="320" w:firstLine="436"/>
        <w:spacing w:after="0" w:line="282" w:lineRule="auto"/>
        <w:tabs>
          <w:tab w:leader="none" w:pos="685"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furnish to Holders and prospective investors, upon their request, any information required to be delivered pursuant to Rule 144A(d)(4) under the Securities Act.</w:t>
      </w:r>
    </w:p>
    <w:p>
      <w:pPr>
        <w:spacing w:after="0" w:line="16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the Issuer will be deemed to have satisfied the requirements of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if it or any parent entity files with the SEC the reports, documents and information pursuant to the reporting requirements of Section 13(a) or 15(d) of the Exchange Act, in each case within the applicable time periods specified by the applicable rules and regulations of the SEC (including any applicable grace periods);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case of any such Parent Entity, the same is accompanied by disclosure regarding the total assets, liabilities, revenues and income from operations of subsidiaries of such parent entity that do not guarantee the Notes.</w:t>
      </w:r>
    </w:p>
    <w:p>
      <w:pPr>
        <w:spacing w:after="0" w:line="183" w:lineRule="exact"/>
        <w:rPr>
          <w:rFonts w:ascii="Times New Roman" w:cs="Times New Roman" w:eastAsia="Times New Roman" w:hAnsi="Times New Roman"/>
          <w:sz w:val="18"/>
          <w:szCs w:val="18"/>
          <w:color w:val="auto"/>
        </w:rPr>
      </w:pPr>
    </w:p>
    <w:p>
      <w:pPr>
        <w:ind w:right="220" w:firstLine="436"/>
        <w:spacing w:after="0" w:line="266" w:lineRule="auto"/>
        <w:tabs>
          <w:tab w:leader="none" w:pos="685"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65" w:val="left"/>
        </w:tabs>
        <w:numPr>
          <w:ilvl w:val="0"/>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failure by the Issuer to comply with any of its obligations under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will not constitute an Event of Default thereunder until 120 days after the receipt of the written notice delivered thereunder. To the extent any information is not provided within the time periods specified in this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such information is subsequently provided, the Issuer will be deemed to have satisfied its obligations with respect thereto at such time and any Default with respect thereto shall be deemed to have been cured.</w:t>
      </w:r>
    </w:p>
    <w:p>
      <w:pPr>
        <w:spacing w:after="0" w:line="181"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i w:val="1"/>
          <w:iCs w:val="1"/>
          <w:color w:val="auto"/>
        </w:rPr>
        <w:t>Compliance Certificates</w:t>
      </w:r>
      <w:r>
        <w:rPr>
          <w:rFonts w:ascii="Times New Roman" w:cs="Times New Roman" w:eastAsia="Times New Roman" w:hAnsi="Times New Roman"/>
          <w:sz w:val="18"/>
          <w:szCs w:val="18"/>
          <w:color w:val="auto"/>
        </w:rPr>
        <w:t xml:space="preserve">. The Issuer shall deliver to the Trustee, within 90 days after the end of each fiscal year of the Issuer (beginning with the first fiscal year ending after the Escrow Release Date), an Officers’ Certificate as to the signer’s knowledge of the Issuer’s compliance with all conditions and covenants on their part contained in this Indenture and stating whether or not the signer knows of any Default or Event of Default. If such signer knows of such a Default or Event of Default, the Officers’ Certificate shall describe the Default or Event of Default and the efforts to remedy the same. For the purposes of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compliance shall be determined without regard to any grace period or requirement of notice provided pursuant to the terms of this Indenture.</w:t>
      </w:r>
    </w:p>
    <w:p>
      <w:pPr>
        <w:spacing w:after="0" w:line="182" w:lineRule="exact"/>
        <w:rPr>
          <w:sz w:val="20"/>
          <w:szCs w:val="20"/>
          <w:color w:val="auto"/>
        </w:rPr>
      </w:pPr>
    </w:p>
    <w:p>
      <w:pPr>
        <w:ind w:right="1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i w:val="1"/>
          <w:iCs w:val="1"/>
          <w:color w:val="auto"/>
        </w:rPr>
        <w:t>Further Instruments and Acts</w:t>
      </w:r>
      <w:r>
        <w:rPr>
          <w:rFonts w:ascii="Times New Roman" w:cs="Times New Roman" w:eastAsia="Times New Roman" w:hAnsi="Times New Roman"/>
          <w:sz w:val="18"/>
          <w:szCs w:val="18"/>
          <w:color w:val="auto"/>
        </w:rPr>
        <w:t>. Upon request of the Trustee, the Issuer will execute and deliver such further instruments and do such further acts as may be reasonably necessary or proper to carry out more effectively the purposes of this Indenture.</w:t>
      </w:r>
    </w:p>
    <w:p>
      <w:pPr>
        <w:spacing w:after="0" w:line="158"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4.06 </w:t>
      </w:r>
      <w:r>
        <w:rPr>
          <w:rFonts w:ascii="Times New Roman" w:cs="Times New Roman" w:eastAsia="Times New Roman" w:hAnsi="Times New Roman"/>
          <w:sz w:val="18"/>
          <w:szCs w:val="18"/>
          <w:i w:val="1"/>
          <w:iCs w:val="1"/>
          <w:color w:val="auto"/>
        </w:rPr>
        <w:t>Maintenance of Corporate Existence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5</w:t>
      </w:r>
      <w:r>
        <w:rPr>
          <w:rFonts w:ascii="Times New Roman" w:cs="Times New Roman" w:eastAsia="Times New Roman" w:hAnsi="Times New Roman"/>
          <w:sz w:val="18"/>
          <w:szCs w:val="18"/>
          <w:color w:val="auto"/>
        </w:rPr>
        <w:t xml:space="preserve"> hereof, the Issuer will do or cause to be done all things necessary to preserve and keep in full force and effect its corporate existence and the corporate existence of each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shall not be required to preserve the corporate existence of any Restricted Subsidiary if (a) the Board of Directors or management of the Issuer shall determine that the preservation thereof is no longer desirable in the conduct of the business of the Issuer and the Restricted Subsidiaries, taken as a whole, and that the loss thereof is not adverse in any material respect to the Holders of the Notes, (b) if a Subsidiary is to be dissolved or merged or consolidated in compliance with this Indenture or (c) such Subsidiary has no assets.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70" w:right="459" w:bottom="1440" w:gutter="0" w:footer="0" w:header="0"/>
        </w:sectPr>
      </w:pPr>
    </w:p>
    <w:bookmarkStart w:id="674" w:name="page675"/>
    <w:bookmarkEnd w:id="674"/>
    <w:p>
      <w:pPr>
        <w:ind w:left="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4.07 </w:t>
      </w:r>
      <w:r>
        <w:rPr>
          <w:rFonts w:ascii="Times New Roman" w:cs="Times New Roman" w:eastAsia="Times New Roman" w:hAnsi="Times New Roman"/>
          <w:sz w:val="18"/>
          <w:szCs w:val="18"/>
          <w:i w:val="1"/>
          <w:iCs w:val="1"/>
          <w:color w:val="auto"/>
        </w:rPr>
        <w:t>Changes in Covenants When Notes Achieve Investment Grade Rating Status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80" w:firstLine="436"/>
        <w:spacing w:after="0" w:line="266" w:lineRule="auto"/>
        <w:tabs>
          <w:tab w:leader="none" w:pos="605"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the occurrence of a Suspension Event, the provisions of Sections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4.14</w:t>
      </w:r>
      <w:r>
        <w:rPr>
          <w:rFonts w:ascii="Times New Roman" w:cs="Times New Roman" w:eastAsia="Times New Roman" w:hAnsi="Times New Roman"/>
          <w:sz w:val="18"/>
          <w:szCs w:val="18"/>
          <w:color w:val="auto"/>
        </w:rPr>
        <w:t xml:space="preserve"> (but only with respect to any Person that is required to become a Guarantor after the applicable Suspension Period) and clause (iv)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hereof (collectively, the “</w:t>
      </w:r>
      <w:r>
        <w:rPr>
          <w:rFonts w:ascii="Times New Roman" w:cs="Times New Roman" w:eastAsia="Times New Roman" w:hAnsi="Times New Roman"/>
          <w:sz w:val="18"/>
          <w:szCs w:val="18"/>
          <w:b w:val="1"/>
          <w:bCs w:val="1"/>
          <w:color w:val="auto"/>
        </w:rPr>
        <w:t>Suspended Covenants</w:t>
      </w:r>
      <w:r>
        <w:rPr>
          <w:rFonts w:ascii="Times New Roman" w:cs="Times New Roman" w:eastAsia="Times New Roman" w:hAnsi="Times New Roman"/>
          <w:sz w:val="18"/>
          <w:szCs w:val="18"/>
          <w:color w:val="auto"/>
        </w:rPr>
        <w:t>”) shall each be suspended.</w:t>
      </w:r>
    </w:p>
    <w:p>
      <w:pPr>
        <w:spacing w:after="0" w:line="171" w:lineRule="exact"/>
        <w:rPr>
          <w:rFonts w:ascii="Times New Roman" w:cs="Times New Roman" w:eastAsia="Times New Roman" w:hAnsi="Times New Roman"/>
          <w:sz w:val="18"/>
          <w:szCs w:val="18"/>
          <w:color w:val="auto"/>
        </w:rPr>
      </w:pPr>
    </w:p>
    <w:p>
      <w:pPr>
        <w:jc w:val="both"/>
        <w:ind w:left="-80" w:right="80" w:firstLine="436"/>
        <w:spacing w:after="0" w:line="268" w:lineRule="auto"/>
        <w:tabs>
          <w:tab w:leader="none" w:pos="615"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that the Suspended Covenants have been suspended (the “</w:t>
      </w:r>
      <w:r>
        <w:rPr>
          <w:rFonts w:ascii="Times New Roman" w:cs="Times New Roman" w:eastAsia="Times New Roman" w:hAnsi="Times New Roman"/>
          <w:sz w:val="18"/>
          <w:szCs w:val="18"/>
          <w:b w:val="1"/>
          <w:bCs w:val="1"/>
          <w:color w:val="auto"/>
        </w:rPr>
        <w:t>Suspension Period</w:t>
      </w:r>
      <w:r>
        <w:rPr>
          <w:rFonts w:ascii="Times New Roman" w:cs="Times New Roman" w:eastAsia="Times New Roman" w:hAnsi="Times New Roman"/>
          <w:sz w:val="18"/>
          <w:szCs w:val="18"/>
          <w:color w:val="auto"/>
        </w:rPr>
        <w:t xml:space="preserve">”), the Board of Directors of the Issuer shall not designate any of the Subsidiaries as Unrestricted Subsidiaries under this Indenture unless such designation would have complied with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hereof as if such provisions were in effect during the Suspension Period.</w:t>
      </w:r>
    </w:p>
    <w:p>
      <w:pPr>
        <w:spacing w:after="0" w:line="170" w:lineRule="exact"/>
        <w:rPr>
          <w:rFonts w:ascii="Times New Roman" w:cs="Times New Roman" w:eastAsia="Times New Roman" w:hAnsi="Times New Roman"/>
          <w:sz w:val="18"/>
          <w:szCs w:val="18"/>
          <w:color w:val="auto"/>
        </w:rPr>
      </w:pPr>
    </w:p>
    <w:p>
      <w:pPr>
        <w:ind w:left="-80" w:firstLine="436"/>
        <w:spacing w:after="0" w:line="254" w:lineRule="auto"/>
        <w:tabs>
          <w:tab w:leader="none" w:pos="605"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on the date that the Notes cease to have Investment Grade Rating Status (such date, a “</w:t>
      </w:r>
      <w:r>
        <w:rPr>
          <w:rFonts w:ascii="Times New Roman" w:cs="Times New Roman" w:eastAsia="Times New Roman" w:hAnsi="Times New Roman"/>
          <w:sz w:val="18"/>
          <w:szCs w:val="18"/>
          <w:b w:val="1"/>
          <w:bCs w:val="1"/>
          <w:color w:val="auto"/>
        </w:rPr>
        <w:t>Reinstatement Date</w:t>
      </w:r>
      <w:r>
        <w:rPr>
          <w:rFonts w:ascii="Times New Roman" w:cs="Times New Roman" w:eastAsia="Times New Roman" w:hAnsi="Times New Roman"/>
          <w:sz w:val="18"/>
          <w:szCs w:val="18"/>
          <w:color w:val="auto"/>
        </w:rPr>
        <w:t xml:space="preserve">”), the Suspended Covenants shall be reinstated as of the Reinstatement Date. Any Indebtedness incurred during the Suspension Period shall be deemed to have been outstanding on the Escrow Release Date, so that it is classified as permitted under </w:t>
      </w:r>
      <w:r>
        <w:rPr>
          <w:rFonts w:ascii="Times New Roman" w:cs="Times New Roman" w:eastAsia="Times New Roman" w:hAnsi="Times New Roman"/>
          <w:sz w:val="18"/>
          <w:szCs w:val="18"/>
          <w:u w:val="single" w:color="auto"/>
          <w:color w:val="auto"/>
        </w:rPr>
        <w:t>Section 4.09(b)(ii)</w:t>
      </w:r>
      <w:r>
        <w:rPr>
          <w:rFonts w:ascii="Times New Roman" w:cs="Times New Roman" w:eastAsia="Times New Roman" w:hAnsi="Times New Roman"/>
          <w:sz w:val="18"/>
          <w:szCs w:val="18"/>
          <w:color w:val="auto"/>
        </w:rPr>
        <w:t xml:space="preserve">. Calculations under the reinstated provisions of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shall be made as if such provisions had been in effect since the Escrow Release Date (but not during the Suspension Period). In addition, for purposes of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hereof, all agreements and arrangements entered into by the Issuer and any Restricted Subsidiary with an Affiliate of the Issuer during the Suspension Period shall be deemed to have been entered into on or prior to the Escrow Release Date, so that each is classified as permitted under </w:t>
      </w:r>
      <w:r>
        <w:rPr>
          <w:rFonts w:ascii="Times New Roman" w:cs="Times New Roman" w:eastAsia="Times New Roman" w:hAnsi="Times New Roman"/>
          <w:sz w:val="18"/>
          <w:szCs w:val="18"/>
          <w:u w:val="single" w:color="auto"/>
          <w:color w:val="auto"/>
        </w:rPr>
        <w:t>Section 4.12(b)(v)</w:t>
      </w:r>
      <w:r>
        <w:rPr>
          <w:rFonts w:ascii="Times New Roman" w:cs="Times New Roman" w:eastAsia="Times New Roman" w:hAnsi="Times New Roman"/>
          <w:sz w:val="18"/>
          <w:szCs w:val="18"/>
          <w:color w:val="auto"/>
        </w:rPr>
        <w:t xml:space="preserve"> hereof, and for purposes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hereof, all contracts entered into during the Suspension Period that contain any of the restrictions contemplated by such section shall be deemed to have been existing on the Escrow Release Date, so that it is classified as permitted under the applicable clause of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 xml:space="preserve"> hereof.</w:t>
      </w:r>
    </w:p>
    <w:p>
      <w:pPr>
        <w:spacing w:after="0" w:line="192" w:lineRule="exact"/>
        <w:rPr>
          <w:rFonts w:ascii="Times New Roman" w:cs="Times New Roman" w:eastAsia="Times New Roman" w:hAnsi="Times New Roman"/>
          <w:sz w:val="18"/>
          <w:szCs w:val="18"/>
          <w:color w:val="auto"/>
        </w:rPr>
      </w:pPr>
    </w:p>
    <w:p>
      <w:pPr>
        <w:ind w:left="-80" w:firstLine="436"/>
        <w:spacing w:after="0" w:line="255" w:lineRule="auto"/>
        <w:tabs>
          <w:tab w:leader="none" w:pos="615"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during the Suspension Period, (i) no Subsidiary of the Issuer shall be required to comply with the requirements described under </w:t>
      </w:r>
      <w:r>
        <w:rPr>
          <w:rFonts w:ascii="Times New Roman" w:cs="Times New Roman" w:eastAsia="Times New Roman" w:hAnsi="Times New Roman"/>
          <w:sz w:val="18"/>
          <w:szCs w:val="18"/>
          <w:u w:val="single" w:color="auto"/>
          <w:color w:val="auto"/>
        </w:rPr>
        <w:t>Section 4.14</w:t>
      </w:r>
      <w:r>
        <w:rPr>
          <w:rFonts w:ascii="Times New Roman" w:cs="Times New Roman" w:eastAsia="Times New Roman" w:hAnsi="Times New Roman"/>
          <w:sz w:val="18"/>
          <w:szCs w:val="18"/>
          <w:color w:val="auto"/>
        </w:rPr>
        <w:t xml:space="preserve"> hereof after the Reinstatement Date with respect to any Guarantee entered into by such Subsidiary during any Suspension Period, (ii) all Liens permitted to be created, incurred or assumed during the Suspension Period will be deemed to have been outstanding on the Escrow Release Date, so that they are classified as permitted under clause (12) of the definition of “Permitted Liens”, and (iii) all Investments made during the Suspension Period shall be deemed to have been outstanding on the Escrow Release Date, so that they are classified as Permitted Investments permitted under clause (2) of the definition of “Permitted Investments.” Upon the occurrence of a Suspension Period, the amount of Excess Proceeds from Net Proceeds shall be reset at zero.</w:t>
      </w:r>
    </w:p>
    <w:p>
      <w:pPr>
        <w:spacing w:after="0" w:line="188" w:lineRule="exact"/>
        <w:rPr>
          <w:rFonts w:ascii="Times New Roman" w:cs="Times New Roman" w:eastAsia="Times New Roman" w:hAnsi="Times New Roman"/>
          <w:sz w:val="18"/>
          <w:szCs w:val="18"/>
          <w:color w:val="auto"/>
        </w:rPr>
      </w:pPr>
    </w:p>
    <w:p>
      <w:pPr>
        <w:ind w:left="-80" w:right="120" w:firstLine="436"/>
        <w:spacing w:after="0" w:line="266" w:lineRule="auto"/>
        <w:tabs>
          <w:tab w:leader="none" w:pos="605"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that the Suspended Covenants may be reinstated, no Default or Event of Default shall be deemed to have occurred with respect to the Suspended Covenants as a result of any actions taken by the Issuer or its Restricted Subsidiaries or other events that occurred during the Suspension Period (or upon termination of the Suspension Period or after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0840"/>
          </w:cols>
          <w:pgMar w:left="520" w:top="268" w:right="539" w:bottom="1440" w:gutter="0" w:footer="0" w:header="0"/>
        </w:sectPr>
      </w:pPr>
    </w:p>
    <w:bookmarkStart w:id="675" w:name="page676"/>
    <w:bookmarkEnd w:id="675"/>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time arising out of events that occurred or actions taken during the Suspension Period), and the Issuer and any Restricted Subsidiary shall be permitted, without causing a Default or Event of Default or breach of any kind under this Indenture, to honor, comply with or otherwise perform any contractual commitments or obligations entered into during a Suspension Period following a reinstatement of the Suspended Covenants.</w:t>
      </w:r>
    </w:p>
    <w:p>
      <w:pPr>
        <w:spacing w:after="0" w:line="176" w:lineRule="exact"/>
        <w:rPr>
          <w:sz w:val="20"/>
          <w:szCs w:val="20"/>
          <w:color w:val="auto"/>
        </w:rPr>
      </w:pPr>
    </w:p>
    <w:p>
      <w:pPr>
        <w:ind w:firstLine="436"/>
        <w:spacing w:after="0" w:line="274" w:lineRule="auto"/>
        <w:tabs>
          <w:tab w:leader="none" w:pos="665" w:val="left"/>
        </w:tabs>
        <w:numPr>
          <w:ilvl w:val="0"/>
          <w:numId w:val="8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During the Suspension Period, the Note Guarantees and the Collateral shall be automatically and unconditionally released and discharged and the obligation to grant further Guarantees and pledge Collateral shall be suspended. Upon any Reinstatement Date, (x) the obligation to grant Guarantees and security under this Indenture shall be reinstated (and such Reinstatement Date shall be deemed to be the date on which any Guaranteed Indebtedness was incurred for purposes of the requirements described under </w:t>
      </w:r>
      <w:r>
        <w:rPr>
          <w:rFonts w:ascii="Times New Roman" w:cs="Times New Roman" w:eastAsia="Times New Roman" w:hAnsi="Times New Roman"/>
          <w:sz w:val="17"/>
          <w:szCs w:val="17"/>
          <w:u w:val="single" w:color="auto"/>
          <w:color w:val="auto"/>
        </w:rPr>
        <w:t>Section 4.14</w:t>
      </w:r>
      <w:r>
        <w:rPr>
          <w:rFonts w:ascii="Times New Roman" w:cs="Times New Roman" w:eastAsia="Times New Roman" w:hAnsi="Times New Roman"/>
          <w:sz w:val="17"/>
          <w:szCs w:val="17"/>
          <w:color w:val="auto"/>
        </w:rPr>
        <w:t xml:space="preserve"> hereof and (y) the Issuer and the Guarantors shall take all actions reasonably necessary to provide to the Notes Collateral Agent for its benefit and the benefit of the Holders of the Notes valid, perfected, first-priority security interests (subject to Permitted Liens) in the Collateral within the time periods set forth under </w:t>
      </w:r>
      <w:r>
        <w:rPr>
          <w:rFonts w:ascii="Times New Roman" w:cs="Times New Roman" w:eastAsia="Times New Roman" w:hAnsi="Times New Roman"/>
          <w:sz w:val="17"/>
          <w:szCs w:val="17"/>
          <w:u w:val="single" w:color="auto"/>
          <w:color w:val="auto"/>
        </w:rPr>
        <w:t>Section 12.01</w:t>
      </w:r>
      <w:r>
        <w:rPr>
          <w:rFonts w:ascii="Times New Roman" w:cs="Times New Roman" w:eastAsia="Times New Roman" w:hAnsi="Times New Roman"/>
          <w:sz w:val="17"/>
          <w:szCs w:val="17"/>
          <w:color w:val="auto"/>
        </w:rPr>
        <w:t xml:space="preserve"> hereof after such Reinstatement Date.</w:t>
      </w:r>
    </w:p>
    <w:p>
      <w:pPr>
        <w:spacing w:after="0" w:line="172" w:lineRule="exact"/>
        <w:rPr>
          <w:rFonts w:ascii="Times New Roman" w:cs="Times New Roman" w:eastAsia="Times New Roman" w:hAnsi="Times New Roman"/>
          <w:sz w:val="17"/>
          <w:szCs w:val="17"/>
          <w:color w:val="auto"/>
        </w:rPr>
      </w:pPr>
    </w:p>
    <w:p>
      <w:pPr>
        <w:jc w:val="both"/>
        <w:ind w:right="40" w:firstLine="436"/>
        <w:spacing w:after="0" w:line="258" w:lineRule="auto"/>
        <w:tabs>
          <w:tab w:leader="none" w:pos="695" w:val="left"/>
        </w:tabs>
        <w:numPr>
          <w:ilvl w:val="0"/>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the occurrence of any suspension or reinstatement of the Suspended Covenants, the Issuer will provide an Officers’ Certificate to the Trustee regarding such occurrence. The Trustee shall have no obligation to independently determine or verify if a suspension or reinstatement has occurred or notify the Holders of the Notes of any suspension or reinstatement or monitor any suspension or reinstatement. Failure by the Issuer to deliver such Officers’ Certificate shall not prevent the suspension or reinstatement of the Suspended Covenants. The Trustee may provide a copy of such Officers’ Certificate to any Holder of the Notes upon its written request.</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4.08 </w:t>
      </w:r>
      <w:r>
        <w:rPr>
          <w:rFonts w:ascii="Times New Roman" w:cs="Times New Roman" w:eastAsia="Times New Roman" w:hAnsi="Times New Roman"/>
          <w:sz w:val="18"/>
          <w:szCs w:val="18"/>
          <w:i w:val="1"/>
          <w:iCs w:val="1"/>
          <w:color w:val="auto"/>
        </w:rPr>
        <w:t>Restricted Payments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680" w:hanging="244"/>
        <w:spacing w:after="0"/>
        <w:tabs>
          <w:tab w:leader="none" w:pos="680"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and shall not permit any of its Restricted Subsidiaries to, directly or indirectly:</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078" w:val="left"/>
        </w:tabs>
        <w:numPr>
          <w:ilvl w:val="1"/>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other payment or distribution on account of the Issuer’s or any of its Restricted Subsidiaries’ Equity Interests (including, without limitation, any payment in connection with any merger or consolidation involving the Issuer or any of its Restricted Subsidiaries) or to the direct or indirect holders of the Issuer’s or any of its Restricted Subsidiaries’ Equity Interests in their capacity as such (other than (a) dividends or distributions payable in Equity Interests (other than Disqualified Stock) of the Issuer or (b) to the Issuer or a Restricted Subsidiary of the Issuer or (c) dividends or other payments or distributions by a Restricted Subsidiary on a pro rata basis to the holders of such class of Equity Interests (or more favorable to the Issuer or applicable Restricted Subsidiary that is the parent thereof));</w:t>
      </w:r>
    </w:p>
    <w:p>
      <w:pPr>
        <w:spacing w:after="0" w:line="79"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28" w:val="left"/>
        </w:tabs>
        <w:numPr>
          <w:ilvl w:val="1"/>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redeem or otherwise acquire or retire for value (including, without limitation, in connection with any merger or consolidation involving the Issuer) any Equity Interests of the Issuer or any direct or indirect parent of the Issuer;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00"/>
          </w:cols>
          <w:pgMar w:left="440" w:top="270" w:right="459" w:bottom="1440" w:gutter="0" w:footer="0" w:header="0"/>
        </w:sectPr>
      </w:pPr>
    </w:p>
    <w:bookmarkStart w:id="676" w:name="page677"/>
    <w:bookmarkEnd w:id="676"/>
    <w:p>
      <w:pPr>
        <w:ind w:right="340" w:firstLine="419"/>
        <w:spacing w:after="0" w:line="258" w:lineRule="auto"/>
        <w:tabs>
          <w:tab w:leader="none" w:pos="738"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purchase, redeem, defease or otherwise acquire or retire for value, prior to scheduled maturity, scheduled repayment or scheduled sinking fund payment, any Indebtedness of the Issuer or any Guarantor that is contractually subordinated in right of payment to the Notes or a Note Guarantee, except (A) from the Issuer or a Restricted Subsidiary of the Issuer or (B) the purchase, redemption, defeasance or other acquisition or retirement of any such Indebtedness made in anticipation of satisfying a sinking fund obligation, principal installment or final maturity, in each case due within one year of the date of such purchase, redemption, defeasance or other acquisition or retirement; or</w:t>
      </w:r>
    </w:p>
    <w:p>
      <w:pPr>
        <w:spacing w:after="0" w:line="75"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11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(all such payments and other actions set forth in clauses (i) through (iv) above being collectively referred to as “</w:t>
      </w:r>
      <w:r>
        <w:rPr>
          <w:rFonts w:ascii="Times New Roman" w:cs="Times New Roman" w:eastAsia="Times New Roman" w:hAnsi="Times New Roman"/>
          <w:sz w:val="18"/>
          <w:szCs w:val="18"/>
          <w:b w:val="1"/>
          <w:bCs w:val="1"/>
          <w:color w:val="auto"/>
        </w:rPr>
        <w:t>Restricted Payments</w:t>
      </w:r>
      <w:r>
        <w:rPr>
          <w:rFonts w:ascii="Times New Roman" w:cs="Times New Roman" w:eastAsia="Times New Roman" w:hAnsi="Times New Roman"/>
          <w:sz w:val="18"/>
          <w:szCs w:val="18"/>
          <w:color w:val="auto"/>
        </w:rPr>
        <w:t>”), unless, at the time of and after giving effect to such Restricted Payment:</w:t>
      </w:r>
    </w:p>
    <w:p>
      <w:pPr>
        <w:spacing w:after="0" w:line="51" w:lineRule="exact"/>
        <w:rPr>
          <w:sz w:val="20"/>
          <w:szCs w:val="20"/>
          <w:color w:val="auto"/>
        </w:rPr>
      </w:pPr>
    </w:p>
    <w:p>
      <w:pPr>
        <w:ind w:left="680" w:hanging="261"/>
        <w:spacing w:after="0"/>
        <w:tabs>
          <w:tab w:leader="none" w:pos="6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Restricted Payment, together with the aggregate amount of all other Restricted Payments made by the Issuer and its Restricted Subsidiaries after the Escrow Release Date (including Restricted Payments permitted by </w:t>
      </w:r>
      <w:r>
        <w:rPr>
          <w:rFonts w:ascii="Times New Roman" w:cs="Times New Roman" w:eastAsia="Times New Roman" w:hAnsi="Times New Roman"/>
          <w:sz w:val="18"/>
          <w:szCs w:val="18"/>
          <w:u w:val="single" w:color="auto"/>
          <w:color w:val="auto"/>
        </w:rPr>
        <w:t>Section 4.08(b)(xxii)</w:t>
      </w:r>
      <w:r>
        <w:rPr>
          <w:rFonts w:ascii="Times New Roman" w:cs="Times New Roman" w:eastAsia="Times New Roman" w:hAnsi="Times New Roman"/>
          <w:sz w:val="18"/>
          <w:szCs w:val="18"/>
          <w:color w:val="auto"/>
        </w:rPr>
        <w:t xml:space="preserve"> (without duplication), but excluding all other Restricted Payments permitted by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is less than the sum, without duplication, of:</w:t>
      </w:r>
    </w:p>
    <w:p>
      <w:pPr>
        <w:spacing w:after="0" w:line="67"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(a) $562.5 million and (b) 25.0% of LTM Consolidated Adjusted EBITDA; plus</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56" w:lineRule="auto"/>
        <w:tabs>
          <w:tab w:leader="none" w:pos="1226"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(which amount shall not be less than zero) equal to 50.0% of Consolidated Net Income of the Issuer for the cumulative period from the first day of the fiscal quarter of the Issuer during which the Issue Date occurs to and including the last day of the most recently ended fiscal quarter of the Issuer prior to such date for which consolidated financial statements required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have been delivered or, at the Issuer’s election, are internally available (treated as one accounting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shall not be available for any such Restricted Payment if any Event of Default has occurred and is continuing or would occur as a consequence of such Restricted Payment;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540" w:right="80" w:firstLine="408"/>
        <w:spacing w:after="0" w:line="258" w:lineRule="auto"/>
        <w:tabs>
          <w:tab w:leader="none" w:pos="1226" w:val="left"/>
        </w:tabs>
        <w:numPr>
          <w:ilvl w:val="1"/>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of any capital contributions or other proceeds of any issuance of Capital Stock (other than any amounts (x) constituting an Available Excluded Contribution Amount or proceeds of an issuance of Disqualified Stock, (y) received from the Issuer or any Restricted Subsidiary or (z) consisting of the proceeds of any loan or advance made pursuant to clause (7)(ii) of the definition of “Permitted Investments”) received as Cash by the Issuer or any of its Restricted Subsidiaries, plus the fair market value, as determined by the Issuer in good faith, of Cash Equivalents, marketable securities</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540"/>
          </w:cols>
          <w:pgMar w:left="880" w:top="270" w:right="479" w:bottom="1440" w:gutter="0" w:footer="0" w:header="0"/>
        </w:sectPr>
      </w:pPr>
    </w:p>
    <w:bookmarkStart w:id="677" w:name="page678"/>
    <w:bookmarkEnd w:id="677"/>
    <w:p>
      <w:pPr>
        <w:ind w:right="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other property received by the Issuer or any Restricted Subsidiary as a capital contribution or in return for any issuance of Capital Stock (other than any amounts (x) constituting an Available Excluded Contribution Amount or proceeds of any issuance of Disqualified Stock or</w:t>
      </w:r>
    </w:p>
    <w:p>
      <w:pPr>
        <w:spacing w:after="0" w:line="1" w:lineRule="exact"/>
        <w:rPr>
          <w:sz w:val="20"/>
          <w:szCs w:val="20"/>
          <w:color w:val="auto"/>
        </w:rPr>
      </w:pPr>
    </w:p>
    <w:p>
      <w:pPr>
        <w:ind w:right="640" w:firstLine="7"/>
        <w:spacing w:after="0" w:line="260" w:lineRule="auto"/>
        <w:tabs>
          <w:tab w:leader="none" w:pos="255"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received from the Issuer or any Restricted Subsidiary), in each case, during the period from and including the day immediately following the Escrow Release Date through and including such time; </w:t>
      </w:r>
      <w:r>
        <w:rPr>
          <w:rFonts w:ascii="Times New Roman" w:cs="Times New Roman" w:eastAsia="Times New Roman" w:hAnsi="Times New Roman"/>
          <w:sz w:val="18"/>
          <w:szCs w:val="18"/>
          <w:i w:val="1"/>
          <w:iCs w:val="1"/>
          <w:color w:val="auto"/>
        </w:rPr>
        <w:t>plus</w:t>
      </w:r>
    </w:p>
    <w:p>
      <w:pPr>
        <w:spacing w:after="0" w:line="73" w:lineRule="exact"/>
        <w:rPr>
          <w:rFonts w:ascii="Times New Roman" w:cs="Times New Roman" w:eastAsia="Times New Roman" w:hAnsi="Times New Roman"/>
          <w:sz w:val="18"/>
          <w:szCs w:val="18"/>
          <w:color w:val="auto"/>
        </w:rPr>
      </w:pPr>
    </w:p>
    <w:p>
      <w:pPr>
        <w:ind w:right="60" w:firstLine="408"/>
        <w:spacing w:after="0" w:line="255" w:lineRule="auto"/>
        <w:tabs>
          <w:tab w:leader="none" w:pos="696" w:val="left"/>
        </w:tabs>
        <w:numPr>
          <w:ilvl w:val="1"/>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principal amount of any Indebtedness or Disqualified Stock, in each case, of the Issuer or any Restricted Subsidiary issued after the Escrow Release Date (other than Indebtedness or such Disqualified Stock issued to the Issuer or any Restricted Subsidiary), which has been converted into or exchanged for Capital Stock of the Issuer or any Restricted Subsidiary that does not constitute Disqualified Stock, together with the fair market value of any Cash or Cash Equivalents (as determined by the Issuer in good faith) and the fair market value (as determined by the Issuer in good faith) of any property or assets received by the Issuer or such Restricted Subsidiary upon such exchange or conversion, in each case, during the period from and including the day immediately following the Escrow Release Date through and including such time;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right="80" w:firstLine="408"/>
        <w:spacing w:after="0" w:line="266" w:lineRule="auto"/>
        <w:tabs>
          <w:tab w:leader="none" w:pos="676" w:val="left"/>
        </w:tabs>
        <w:numPr>
          <w:ilvl w:val="1"/>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net proceeds received by the Issuer or any Restricted Subsidiary during the period from and including the day immediately following the Escrow Release Date through and including such time in connection with the disposition to any Person (other than the Issuer or any Restricted Subsidiary) of any Investment made pursuant to this paragraph;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firstLine="408"/>
        <w:spacing w:after="0" w:line="254" w:lineRule="auto"/>
        <w:tabs>
          <w:tab w:leader="none" w:pos="666" w:val="left"/>
        </w:tabs>
        <w:numPr>
          <w:ilvl w:val="1"/>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already reflected as a return of capital with respect to such Investment for purposes of determining the amount of such Investment, the proceeds received by the Issuer or any Restricted Subsidiary during the period from and including the day immediately following the Escrow Release Date through and including such time in connection with cash returns, cash profits, cash distributions and similar cash amounts, including cash principal repayments of loans and interest payments on loans, in each case received in respect of any Investment made after the Escrow Release Date pursuant to this paragraph or, without duplication, otherwise received by the Issuer or any Restricted Subsidiary from an Unrestricted Subsidiary (including any proceeds received on account of any issuance of Capital Stock by any Unrestricted Subsidiary (other than solely on account of the issuance of Capital Stock to the Issuer or any Restricted Subsidiary)); </w:t>
      </w:r>
      <w:r>
        <w:rPr>
          <w:rFonts w:ascii="Times New Roman" w:cs="Times New Roman" w:eastAsia="Times New Roman" w:hAnsi="Times New Roman"/>
          <w:sz w:val="18"/>
          <w:szCs w:val="18"/>
          <w:i w:val="1"/>
          <w:iCs w:val="1"/>
          <w:color w:val="auto"/>
        </w:rPr>
        <w:t>plus</w:t>
      </w:r>
    </w:p>
    <w:p>
      <w:pPr>
        <w:spacing w:after="0" w:line="83" w:lineRule="exact"/>
        <w:rPr>
          <w:rFonts w:ascii="Times New Roman" w:cs="Times New Roman" w:eastAsia="Times New Roman" w:hAnsi="Times New Roman"/>
          <w:sz w:val="18"/>
          <w:szCs w:val="18"/>
          <w:color w:val="auto"/>
        </w:rPr>
      </w:pPr>
    </w:p>
    <w:p>
      <w:pPr>
        <w:ind w:right="140" w:firstLine="408"/>
        <w:spacing w:after="0" w:line="261" w:lineRule="auto"/>
        <w:tabs>
          <w:tab w:leader="none" w:pos="696" w:val="left"/>
        </w:tabs>
        <w:numPr>
          <w:ilvl w:val="1"/>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sum of (1) the amount of any Investments by the Issuer or any Restricted Subsidiary in any Unrestricted Subsidiary that has been re-designated as a Restricted Subsidiary, (2) the amount of any Investments by the Issuer or any Restricted Subsidiary pursuant to this paragraph in any Unrestricted Subsidiary or any Joint Venture that is not a Restricted Subsidiary that has been merged, consolidated or amalgamated with or into, or is liquidated,</w:t>
      </w:r>
    </w:p>
    <w:p>
      <w:pPr>
        <w:spacing w:after="0" w:line="112"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020"/>
          </w:cols>
          <w:pgMar w:left="1420" w:top="270" w:right="459" w:bottom="1440" w:gutter="0" w:footer="0" w:header="0"/>
        </w:sectPr>
      </w:pPr>
    </w:p>
    <w:bookmarkStart w:id="678" w:name="page679"/>
    <w:bookmarkEnd w:id="678"/>
    <w:p>
      <w:pPr>
        <w:ind w:left="544" w:right="3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wound up or dissolved into, the Issuer or any Restricted Subsidiary and (3) the fair market value (as determined by the Issuer in good faith) of the property or assets of any Unrestricted Subsidiary or any Joint Venture that is not a Restricted Subsidiary that have been transferred, conveyed or otherwise distributed to the Issuer or any Restricted Subsidiary, in each case, during the period from and including the day immediately following the Escrow Release Date through and including such time; </w:t>
      </w:r>
      <w:r>
        <w:rPr>
          <w:rFonts w:ascii="Times New Roman" w:cs="Times New Roman" w:eastAsia="Times New Roman" w:hAnsi="Times New Roman"/>
          <w:sz w:val="18"/>
          <w:szCs w:val="18"/>
          <w:i w:val="1"/>
          <w:iCs w:val="1"/>
          <w:color w:val="auto"/>
        </w:rPr>
        <w:t>plus</w:t>
      </w:r>
    </w:p>
    <w:p>
      <w:pPr>
        <w:spacing w:after="0" w:line="70" w:lineRule="exact"/>
        <w:rPr>
          <w:sz w:val="20"/>
          <w:szCs w:val="20"/>
          <w:color w:val="auto"/>
        </w:rPr>
      </w:pPr>
    </w:p>
    <w:p>
      <w:pPr>
        <w:ind w:left="1244" w:hanging="292"/>
        <w:spacing w:after="0"/>
        <w:tabs>
          <w:tab w:leader="none" w:pos="1244" w:val="left"/>
        </w:tabs>
        <w:numPr>
          <w:ilvl w:val="2"/>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Declined Asset Sale Proceeds;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1184" w:hanging="232"/>
        <w:spacing w:after="0"/>
        <w:tabs>
          <w:tab w:leader="none" w:pos="1184" w:val="left"/>
        </w:tabs>
        <w:numPr>
          <w:ilvl w:val="2"/>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Retained Asset Sale Proceeds;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544" w:right="40" w:firstLine="408"/>
        <w:spacing w:after="0" w:line="282" w:lineRule="auto"/>
        <w:tabs>
          <w:tab w:leader="none" w:pos="1179" w:val="left"/>
        </w:tabs>
        <w:numPr>
          <w:ilvl w:val="2"/>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the sale of any accounts receivable, royalty or other similar rights to payment and any other assets related thereto that are not reflected in the most recent consolidated balance sheet of the Issuer; plus</w:t>
      </w:r>
    </w:p>
    <w:p>
      <w:pPr>
        <w:spacing w:after="0" w:line="53"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the proceeds from any Sale Leaseback transaction not prohibited under this Indenture.</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preceding provisions shall not prohibit:</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retirement or other acquisition or retirement for value of Capital Stock held by any Permitted Payee:</w:t>
      </w:r>
    </w:p>
    <w:p>
      <w:pPr>
        <w:spacing w:after="0" w:line="117" w:lineRule="exact"/>
        <w:rPr>
          <w:rFonts w:ascii="Times New Roman" w:cs="Times New Roman" w:eastAsia="Times New Roman" w:hAnsi="Times New Roman"/>
          <w:sz w:val="18"/>
          <w:szCs w:val="18"/>
          <w:color w:val="auto"/>
        </w:rPr>
      </w:pPr>
    </w:p>
    <w:p>
      <w:pPr>
        <w:ind w:left="544" w:right="60" w:firstLine="408"/>
        <w:spacing w:after="0" w:line="266" w:lineRule="auto"/>
        <w:tabs>
          <w:tab w:leader="none" w:pos="1239" w:val="left"/>
        </w:tabs>
        <w:numPr>
          <w:ilvl w:val="2"/>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Cash and Cash Equivalents, in an aggregate amount not to exceed (x) the greater of (a) $450.0 million and (b) 20.0% of LTM Consolidated Adjusted EBITDA in any fiscal year, which, if not used in any fiscal year, may be carried forward to subsequent fiscal years (until so applied) minus (y) any outstanding utilization in reliance on unused capacity under </w:t>
      </w:r>
      <w:r>
        <w:rPr>
          <w:rFonts w:ascii="Times New Roman" w:cs="Times New Roman" w:eastAsia="Times New Roman" w:hAnsi="Times New Roman"/>
          <w:sz w:val="18"/>
          <w:szCs w:val="18"/>
          <w:u w:val="single" w:color="auto"/>
          <w:color w:val="auto"/>
        </w:rPr>
        <w:t>Section 4.08(b)(xxix)</w:t>
      </w:r>
      <w:r>
        <w:rPr>
          <w:rFonts w:ascii="Times New Roman" w:cs="Times New Roman" w:eastAsia="Times New Roman" w:hAnsi="Times New Roman"/>
          <w:sz w:val="18"/>
          <w:szCs w:val="18"/>
          <w:color w:val="auto"/>
        </w:rPr>
        <w:t xml:space="preserve"> hereof;;</w:t>
      </w:r>
    </w:p>
    <w:p>
      <w:pPr>
        <w:spacing w:after="0" w:line="67" w:lineRule="exact"/>
        <w:rPr>
          <w:rFonts w:ascii="Times New Roman" w:cs="Times New Roman" w:eastAsia="Times New Roman" w:hAnsi="Times New Roman"/>
          <w:sz w:val="18"/>
          <w:szCs w:val="18"/>
          <w:color w:val="auto"/>
        </w:rPr>
      </w:pPr>
    </w:p>
    <w:p>
      <w:pPr>
        <w:ind w:left="544" w:firstLine="408"/>
        <w:spacing w:after="0" w:line="266" w:lineRule="auto"/>
        <w:tabs>
          <w:tab w:leader="none" w:pos="1229" w:val="left"/>
        </w:tabs>
        <w:numPr>
          <w:ilvl w:val="2"/>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proceeds of any sale or issuance of, or of any capital contribution in respect of, the Capital Stock of the Issuer (to the extent such proceeds are contributed to the Issuer or any Restricted Subsidiary in respect of Qualified Capital Stock issued by the Issuer or such Restricted Subsidiary) (other than amounts constituting an Available Excluded Contribution Amount);</w:t>
      </w:r>
    </w:p>
    <w:p>
      <w:pPr>
        <w:spacing w:after="0" w:line="6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net proceeds of any key-man life insurance policies; or</w:t>
      </w:r>
    </w:p>
    <w:p>
      <w:pPr>
        <w:spacing w:after="0" w:line="117" w:lineRule="exact"/>
        <w:rPr>
          <w:rFonts w:ascii="Times New Roman" w:cs="Times New Roman" w:eastAsia="Times New Roman" w:hAnsi="Times New Roman"/>
          <w:sz w:val="18"/>
          <w:szCs w:val="18"/>
          <w:color w:val="auto"/>
        </w:rPr>
      </w:pPr>
    </w:p>
    <w:p>
      <w:pPr>
        <w:ind w:left="544" w:right="100" w:firstLine="408"/>
        <w:spacing w:after="0" w:line="282" w:lineRule="auto"/>
        <w:tabs>
          <w:tab w:leader="none" w:pos="1239" w:val="left"/>
        </w:tabs>
        <w:numPr>
          <w:ilvl w:val="2"/>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amount of any Cash bonuses otherwise payable to any Permitted Payee that are foregone in exchange for the receipt of Capital Stock of the Issuer pursuant to any compensation arrangement, including any deferred compensation plan;</w:t>
      </w:r>
    </w:p>
    <w:p>
      <w:pPr>
        <w:spacing w:after="0" w:line="94"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24"/>
          </w:cols>
          <w:pgMar w:left="876" w:top="270" w:right="499" w:bottom="1440" w:gutter="0" w:footer="0" w:header="0"/>
        </w:sectPr>
      </w:pPr>
    </w:p>
    <w:bookmarkStart w:id="679" w:name="page680"/>
    <w:bookmarkEnd w:id="679"/>
    <w:p>
      <w:pPr>
        <w:ind w:right="300" w:firstLine="419"/>
        <w:spacing w:after="0" w:line="253" w:lineRule="auto"/>
        <w:tabs>
          <w:tab w:leader="none" w:pos="688"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payments (x) in lieu of the issuance of fractional shares in connection with the exercise of warrants, options or other securities convertible into or exchangeable for Capital Stock of the Issuer, or in connection with dividends, share splits, reverse share splits (or any combination thereof) and mergers, consolidations, amalgamations or other business combinations, and acquisitions and other Investments not prohibited by this Indenture and/or (y) with respect to convertible Indebtedness, of interest and/or principal upon maturity thereof, upon any required repurchase thereof or upon any optional redemption thereof, (B) payments and/or deliveries (x) honoring any conversion request by a holder of convertible Indebtedness, (y) in lieu of fractional shares in connection with any conversion or (z) otherwise in respect of convertible Indebtedness and (C) Restricted Payments consisting of (x) payments made or expected to be made in respect of withholding or similar Taxes payable by any Permitted Payee and/or (y) repurchases of Capital Stock in consideration of the payments described in subclause (x) of this subclause (ii)(C), including demand repurchases in connection with the exercise of stock options and the issuance of restricted stock units or similar stock based awards;</w:t>
      </w:r>
    </w:p>
    <w:p>
      <w:pPr>
        <w:spacing w:after="0" w:line="86" w:lineRule="exact"/>
        <w:rPr>
          <w:rFonts w:ascii="Times New Roman" w:cs="Times New Roman" w:eastAsia="Times New Roman" w:hAnsi="Times New Roman"/>
          <w:sz w:val="18"/>
          <w:szCs w:val="18"/>
          <w:color w:val="auto"/>
        </w:rPr>
      </w:pPr>
    </w:p>
    <w:p>
      <w:pPr>
        <w:ind w:right="60" w:firstLine="419"/>
        <w:spacing w:after="0" w:line="261" w:lineRule="auto"/>
        <w:tabs>
          <w:tab w:leader="none" w:pos="738"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redemption, acquisition or retirement of Capital Stock upon (or making provisions for withholdings in connection with) the exercise or vesting of warrants, options or other securities convertible into or exchangeable for Capital Stock if such Capital Stock represents all or a portion of the exercise price of, or tax withholdings or similar taxes with respect to, such warrants, options or other securities convertible into or exchangeable for Capital Stock as part of a “cashless” exercise;</w:t>
      </w:r>
    </w:p>
    <w:p>
      <w:pPr>
        <w:spacing w:after="0" w:line="71" w:lineRule="exact"/>
        <w:rPr>
          <w:rFonts w:ascii="Times New Roman" w:cs="Times New Roman" w:eastAsia="Times New Roman" w:hAnsi="Times New Roman"/>
          <w:sz w:val="18"/>
          <w:szCs w:val="18"/>
          <w:color w:val="auto"/>
        </w:rPr>
      </w:pPr>
    </w:p>
    <w:p>
      <w:pPr>
        <w:ind w:right="20" w:firstLine="419"/>
        <w:spacing w:after="0" w:line="266" w:lineRule="auto"/>
        <w:tabs>
          <w:tab w:leader="none" w:pos="728"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an amount not to exceed an amount equal to the sum of (x) 7.00% per annum of the Net Proceeds received by or contributed to the Issuer from any public offering from and after the Issue Date and (y) an amount equal to 7.00% per annum of the Market Capitalization of the Issuer (or its direct or indirect parent company, as applicable) and its subsidiaries;</w:t>
      </w:r>
    </w:p>
    <w:p>
      <w:pPr>
        <w:spacing w:after="0" w:line="67" w:lineRule="exact"/>
        <w:rPr>
          <w:rFonts w:ascii="Times New Roman" w:cs="Times New Roman" w:eastAsia="Times New Roman" w:hAnsi="Times New Roman"/>
          <w:sz w:val="18"/>
          <w:szCs w:val="18"/>
          <w:color w:val="auto"/>
        </w:rPr>
      </w:pPr>
    </w:p>
    <w:p>
      <w:pPr>
        <w:ind w:firstLine="419"/>
        <w:spacing w:after="0" w:line="253" w:lineRule="auto"/>
        <w:tabs>
          <w:tab w:leader="none" w:pos="678"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to (A) redeem, repurchase, defease, discharge, retire or otherwise acquire any Capital Stock (“Treasury Capital Stock”) of the Issuer and/or any Restricted Subsidiary in exchange for, or out of the proceeds of the substantially concurrent sale (other than to the Issuer and/or any Restricted Subsidiary) of, Qualified Capital Stock of the Issuer to the extent any such proceeds are contributed to the capital of the Issuer and/or any Restricted Subsidiary in respect of Qualified Capital Stock (“Refunding Capital Stock”), (B) declare and pay dividends on any Treasury Capital Stock out of the proceeds of the substantially concurrent sale or issuance (other than to the Issuer or a Restricted Subsidiary) of any Refunding Capital Stock and (C) if, immediately prior to the retirement of Treasury Capital Stock, the declaration and payment of dividends thereon by the Issuer was permitted under the preceding subclause (A) or (B), the declaration and payment of dividends on the Refunding Capital Stock in an aggregate amount no greater than the aggregate amount of dividends on such Treasury Capital Stock that was permitted under the preceding clause (A) or (B) (other than in connection with the issuance of such Refunding Capital Stock) immediately prior to such redemption, repurchase, defeasance, discharge, retirement or other acquisition;</w:t>
      </w:r>
    </w:p>
    <w:p>
      <w:pPr>
        <w:spacing w:after="0" w:line="86" w:lineRule="exact"/>
        <w:rPr>
          <w:rFonts w:ascii="Times New Roman" w:cs="Times New Roman" w:eastAsia="Times New Roman" w:hAnsi="Times New Roman"/>
          <w:sz w:val="18"/>
          <w:szCs w:val="18"/>
          <w:color w:val="auto"/>
        </w:rPr>
      </w:pPr>
    </w:p>
    <w:p>
      <w:pPr>
        <w:ind w:right="120" w:firstLine="419"/>
        <w:spacing w:after="0" w:line="282" w:lineRule="auto"/>
        <w:tabs>
          <w:tab w:leader="none" w:pos="728"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a Restricted Payment, any transaction permitted by the definition of “Asset Sale” (other than clause (5) of the second paragraph of the definition of “Asset Sale”), under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4.12(b)(iv)</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540"/>
          </w:cols>
          <w:pgMar w:left="880" w:top="270" w:right="479" w:bottom="1440" w:gutter="0" w:footer="0" w:header="0"/>
        </w:sectPr>
      </w:pPr>
    </w:p>
    <w:bookmarkStart w:id="680" w:name="page681"/>
    <w:bookmarkEnd w:id="680"/>
    <w:p>
      <w:pPr>
        <w:ind w:right="780" w:firstLine="419"/>
        <w:spacing w:after="0" w:line="282" w:lineRule="auto"/>
        <w:tabs>
          <w:tab w:leader="none" w:pos="77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Restricted Payments in an aggregate amount not to exceed the greater of (a) $562.5 million and (b) 25.0% of LTM Consolidated Adjusted EBITDA, minus the amount of Indebtedness incurred pursuant to </w:t>
      </w:r>
      <w:r>
        <w:rPr>
          <w:rFonts w:ascii="Times New Roman" w:cs="Times New Roman" w:eastAsia="Times New Roman" w:hAnsi="Times New Roman"/>
          <w:sz w:val="18"/>
          <w:szCs w:val="18"/>
          <w:u w:val="single" w:color="auto"/>
          <w:color w:val="auto"/>
        </w:rPr>
        <w:t>Section 4.09(b)(xl)</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82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dividend or other distribution or consummate any redemption within 60 days after the date of the declaration thereof or the provision of a redemption notice with respect thereto, as the case may be, if at the date of such declaration or notice, the dividend, distribution or redemption contemplated by such declaration or redemption notice would have complied with this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(it being understood that the amount of any such dividend shall be included in the aggregate amount of Restricted Payments determined in Section 4.08(a)(3) only once and not as separate Restricted Payments made at both declaration and payment);</w:t>
      </w:r>
    </w:p>
    <w:p>
      <w:pPr>
        <w:spacing w:after="0" w:line="75"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Restricted Payments so long as the Total Net Leverage Ratio would not exceed 2.00 to 1.00, calculated on a Pro Forma Basis;</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Restricted Payments constituting any part of a Permitted Reorganization;</w:t>
      </w:r>
    </w:p>
    <w:p>
      <w:pPr>
        <w:spacing w:after="0" w:line="117" w:lineRule="exact"/>
        <w:rPr>
          <w:rFonts w:ascii="Times New Roman" w:cs="Times New Roman" w:eastAsia="Times New Roman" w:hAnsi="Times New Roman"/>
          <w:sz w:val="18"/>
          <w:szCs w:val="18"/>
          <w:color w:val="auto"/>
        </w:rPr>
      </w:pPr>
    </w:p>
    <w:p>
      <w:pPr>
        <w:jc w:val="both"/>
        <w:ind w:right="100" w:firstLine="419"/>
        <w:spacing w:after="0" w:line="261" w:lineRule="auto"/>
        <w:tabs>
          <w:tab w:leader="none" w:pos="72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distribution, by dividend or otherwise, of the Capital Stock of, or debt owed to any Guarantor or any Restricted Subsidiary by, any Unrestricted Subsidiary (or a Restricted Subsidiary that owns one or more Unrestricted Subsidiaries, provided that such Restricted Subsidiary owns no other material assets other than Capital Stock of one or more Unrestricted Subsidiaries and immaterial assets incidental to the ownership thereof);</w:t>
      </w:r>
    </w:p>
    <w:p>
      <w:pPr>
        <w:spacing w:after="0" w:line="71" w:lineRule="exact"/>
        <w:rPr>
          <w:rFonts w:ascii="Times New Roman" w:cs="Times New Roman" w:eastAsia="Times New Roman" w:hAnsi="Times New Roman"/>
          <w:sz w:val="18"/>
          <w:szCs w:val="18"/>
          <w:color w:val="auto"/>
        </w:rPr>
      </w:pPr>
    </w:p>
    <w:p>
      <w:pPr>
        <w:jc w:val="both"/>
        <w:ind w:right="220" w:firstLine="419"/>
        <w:spacing w:after="0" w:line="266" w:lineRule="auto"/>
        <w:tabs>
          <w:tab w:leader="none" w:pos="77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and distributions to satisfy dissenters’ rights (including in connection with, or as a result of, the exercise of appraisal rights and the settlement of any claims or actions (whether actual, contingent or potential)), pursuant to or in connection with any acquisition, merger, consolidation, amalgamation, disposition or other transaction not prohibited by this Indenture;</w:t>
      </w:r>
    </w:p>
    <w:p>
      <w:pPr>
        <w:spacing w:after="0" w:line="67" w:lineRule="exact"/>
        <w:rPr>
          <w:rFonts w:ascii="Times New Roman" w:cs="Times New Roman" w:eastAsia="Times New Roman" w:hAnsi="Times New Roman"/>
          <w:sz w:val="18"/>
          <w:szCs w:val="18"/>
          <w:color w:val="auto"/>
        </w:rPr>
      </w:pPr>
    </w:p>
    <w:p>
      <w:pPr>
        <w:ind w:right="200" w:firstLine="419"/>
        <w:spacing w:after="0" w:line="266" w:lineRule="auto"/>
        <w:tabs>
          <w:tab w:leader="none" w:pos="82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for the benefit of the Issuer or any Restricted Subsidiary to the extent such payments could have been made by the Issuer or any Restricted Subsidiary because such payments (A) would not otherwise be Restricted Payments and (B) would not be prohibited by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right="340" w:firstLine="419"/>
        <w:spacing w:after="0" w:line="258" w:lineRule="auto"/>
        <w:tabs>
          <w:tab w:leader="none" w:pos="81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or deliveries in connection with (A) a Permitted Bond Hedge Transaction or (B) Permitted Warrant Transaction or Packaged Rights (1) in cash, in the case of the payment of the premium in entering into any such Permitted Bond Hedge Transaction, and otherwise by delivery of shares of the Issuer’s Qualified Capital Stock or (2) otherwise, to the extent of a payment or delivery received from a Permitted Bond Hedge Transaction (whether such payment or delivery on the Permitted Warrant Transaction is effected by netting, set-off or otherwise);</w:t>
      </w:r>
    </w:p>
    <w:p>
      <w:pPr>
        <w:spacing w:after="0" w:line="75" w:lineRule="exact"/>
        <w:rPr>
          <w:rFonts w:ascii="Times New Roman" w:cs="Times New Roman" w:eastAsia="Times New Roman" w:hAnsi="Times New Roman"/>
          <w:sz w:val="18"/>
          <w:szCs w:val="18"/>
          <w:color w:val="auto"/>
        </w:rPr>
      </w:pPr>
    </w:p>
    <w:p>
      <w:pPr>
        <w:ind w:right="60" w:firstLine="419"/>
        <w:spacing w:after="0" w:line="266" w:lineRule="auto"/>
        <w:tabs>
          <w:tab w:leader="none" w:pos="768"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in respect of required withholding or similar non-U.S. Taxes with respect to any Permitted Payee and any repurchases of Capital Stock in consideration of such payments, including deemed repurchases in connection with the exercise of stock options or the issuance of restricted stock units or similar stock based awards;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0560"/>
          </w:cols>
          <w:pgMar w:left="880" w:top="270" w:right="459" w:bottom="1440" w:gutter="0" w:footer="0" w:header="0"/>
        </w:sectPr>
      </w:pPr>
    </w:p>
    <w:bookmarkStart w:id="681" w:name="page682"/>
    <w:bookmarkEnd w:id="681"/>
    <w:p>
      <w:pPr>
        <w:ind w:right="480" w:firstLine="419"/>
        <w:spacing w:after="0" w:line="282" w:lineRule="auto"/>
        <w:tabs>
          <w:tab w:leader="none" w:pos="818"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refinancing, purchase, defeasance, redemption, repurchase, repayment or other acquisition or retirement of any subordinated Indebtedness made by exchange for, or out of the proceeds of, Refinancing Indebtedness not prohibited by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860" w:hanging="441"/>
        <w:spacing w:after="0"/>
        <w:tabs>
          <w:tab w:leader="none" w:pos="860"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as part of, or to enable another Person to make, an “applicable high yield discount obligation” catch-up payment;</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918"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or Restricted Payments to purchase, redeem, defease or otherwise acquire or retire for value subordinated Indebtedness in an amount not to exceed the greater of (a) $562.5 million and (b) 25.0% of LTM Consolidated Adjusted EBITDA;</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818"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Restricted Payments in exchange for, or with proceeds of any issuance of, Qualified Capital Stock of the Issuer and/or any Restricted Subsidiary and/or any capital contribution in respect of Qualified Capital Stock of the Issuer or any Restricted Subsidiary, (y) Restricted Payments as a result of the conversion of all or any portion of any subordinated Indebtedness into Qualified Capital Stock of the Issuer and/or any Restricted Subsidiary and (z) to the extent constituting a Restricted Payment, payment-in-kind interest with respect to any subordinated Indebtedness that is not prohibited to be incurred by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firstLine="419"/>
        <w:spacing w:after="0" w:line="255" w:lineRule="auto"/>
        <w:tabs>
          <w:tab w:leader="none" w:pos="768"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taxable period for which the Issuer and/or any of its Subsidiaries are members of a consolidated, combined, affiliated, unitary or similar tax group for U.S. federal and/or applicable state, local or non-U.S. tax purposes of which a direct or indirect parent of the Issuer is the common parent, or for which the Issuer is a disregarded entity for U.S. federal income tax purposes that is wholly-owned (directly or indirectly) by a C corporation for U.S. federal and/or applicable state, local or foreign tax purposes, Restricted Payments to any direct or indirect parent of the Issuer in an amount not to exceed the amount of any U.S. federal, state, local and/or non-U.S. income taxes that the Issuer and/or its Subsidiaries, as applicable, would have paid for such taxable period had the Issuer and/or its Subsidiaries, as applicable, been a stand-alone corporate taxpayer or a stand-alone corporate group;</w:t>
      </w:r>
    </w:p>
    <w:p>
      <w:pPr>
        <w:spacing w:after="0" w:line="80" w:lineRule="exact"/>
        <w:rPr>
          <w:rFonts w:ascii="Times New Roman" w:cs="Times New Roman" w:eastAsia="Times New Roman" w:hAnsi="Times New Roman"/>
          <w:sz w:val="18"/>
          <w:szCs w:val="18"/>
          <w:color w:val="auto"/>
        </w:rPr>
      </w:pPr>
    </w:p>
    <w:p>
      <w:pPr>
        <w:ind w:right="200" w:firstLine="419"/>
        <w:spacing w:after="0" w:line="266" w:lineRule="auto"/>
        <w:tabs>
          <w:tab w:leader="none" w:pos="818"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any other payment or distribution by a Restricted Subsidiary of the Issuer to the holders of its Equity Interests of any class on a pro rata basis to holders of such class (or greater than a pro rata basis in the case of any such Restricted Payment in favor of the Issuer or any of its subsidiaries);</w:t>
      </w:r>
    </w:p>
    <w:p>
      <w:pPr>
        <w:spacing w:after="0" w:line="67" w:lineRule="exact"/>
        <w:rPr>
          <w:rFonts w:ascii="Times New Roman" w:cs="Times New Roman" w:eastAsia="Times New Roman" w:hAnsi="Times New Roman"/>
          <w:sz w:val="18"/>
          <w:szCs w:val="18"/>
          <w:color w:val="auto"/>
        </w:rPr>
      </w:pPr>
    </w:p>
    <w:p>
      <w:pPr>
        <w:ind w:right="40" w:firstLine="419"/>
        <w:spacing w:after="0" w:line="258" w:lineRule="auto"/>
        <w:tabs>
          <w:tab w:leader="none" w:pos="868"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making of additional Restricted Payments in an amount not to exceed the portion, if any, of the Available Excluded Contribution Amount on such date that the Issuer elects to apply to this clause (xxii) (plus, without duplication of amounts referred to in this clause (xxii), in an amount equal to the Net Proceeds from a disposition of property or assets acquired after the Escrow Release Date, if the acquisition of such property or assets was financed with the Available Excluded Contribution Amount up to the amount of such Available Excluded Contribution Amount);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560"/>
          </w:cols>
          <w:pgMar w:left="880" w:top="270" w:right="459" w:bottom="1440" w:gutter="0" w:footer="0" w:header="0"/>
        </w:sectPr>
      </w:pPr>
    </w:p>
    <w:bookmarkStart w:id="682" w:name="page683"/>
    <w:bookmarkEnd w:id="682"/>
    <w:p>
      <w:pPr>
        <w:ind w:left="440" w:right="120" w:firstLine="419"/>
        <w:spacing w:after="0" w:line="266" w:lineRule="auto"/>
        <w:tabs>
          <w:tab w:leader="none" w:pos="1358"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 long as no Default or Event of Default has occurred and is continuing, the declaration and payment of dividends to holders of any class or series of Disqualified Stock of the Issuer or its Restricted Subsidiaries or of Preferred Stock of any Non-Guarantor Subsidiary issued in accordance with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9" w:lineRule="auto"/>
        <w:tabs>
          <w:tab w:leader="none" w:pos="1348" w:val="left"/>
        </w:tabs>
        <w:numPr>
          <w:ilvl w:val="0"/>
          <w:numId w:val="9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repurchase, redemption or other acquisition or retirement for value of any subordinated Indebtedness or Disqualified Stock pursuant to provisions similar to those described under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4.13</w:t>
      </w:r>
      <w:r>
        <w:rPr>
          <w:rFonts w:ascii="Times New Roman" w:cs="Times New Roman" w:eastAsia="Times New Roman" w:hAnsi="Times New Roman"/>
          <w:sz w:val="17"/>
          <w:szCs w:val="17"/>
          <w:color w:val="auto"/>
        </w:rPr>
        <w:t>; provided that, prior thereto, all Notes tendered by Holders in connection with a Change of Control Offer or Asset Sale Offer, as applicable, have been repurchased, redeemed or acquired for value; and</w:t>
      </w:r>
    </w:p>
    <w:p>
      <w:pPr>
        <w:spacing w:after="0" w:line="49" w:lineRule="exact"/>
        <w:rPr>
          <w:rFonts w:ascii="Times New Roman" w:cs="Times New Roman" w:eastAsia="Times New Roman" w:hAnsi="Times New Roman"/>
          <w:sz w:val="17"/>
          <w:szCs w:val="17"/>
          <w:color w:val="auto"/>
        </w:rPr>
      </w:pPr>
    </w:p>
    <w:p>
      <w:pPr>
        <w:jc w:val="both"/>
        <w:ind w:left="440" w:right="180" w:firstLine="419"/>
        <w:spacing w:after="0" w:line="266" w:lineRule="auto"/>
        <w:tabs>
          <w:tab w:leader="none" w:pos="1298"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made as part of, or which are reasonably necessary or appropriate (as determined by the Issuer in good faith) to effect or facilitate (i) the Separation, including the Restructuring, the Issuer Distribution and the Distribution, or otherwise made pursuant to the Separation Agreements and (ii) the payment of the Special Cash Payment and any Transaction Costs.</w:t>
      </w:r>
    </w:p>
    <w:p>
      <w:pPr>
        <w:spacing w:after="0" w:line="67" w:lineRule="exact"/>
        <w:rPr>
          <w:rFonts w:ascii="Times New Roman" w:cs="Times New Roman" w:eastAsia="Times New Roman" w:hAnsi="Times New Roman"/>
          <w:sz w:val="18"/>
          <w:szCs w:val="18"/>
          <w:color w:val="auto"/>
        </w:rPr>
      </w:pPr>
    </w:p>
    <w:p>
      <w:pPr>
        <w:ind w:left="1340" w:hanging="481"/>
        <w:spacing w:after="0"/>
        <w:tabs>
          <w:tab w:leader="none" w:pos="134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constituting the distribution or payment of Receivables Fees;</w:t>
      </w:r>
    </w:p>
    <w:p>
      <w:pPr>
        <w:spacing w:after="0" w:line="117" w:lineRule="exact"/>
        <w:rPr>
          <w:rFonts w:ascii="Times New Roman" w:cs="Times New Roman" w:eastAsia="Times New Roman" w:hAnsi="Times New Roman"/>
          <w:sz w:val="18"/>
          <w:szCs w:val="18"/>
          <w:color w:val="auto"/>
        </w:rPr>
      </w:pPr>
    </w:p>
    <w:p>
      <w:pPr>
        <w:ind w:left="1400" w:hanging="541"/>
        <w:spacing w:after="0"/>
        <w:tabs>
          <w:tab w:leader="none" w:pos="1400"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class B common stock of the Issuer into class A common stock of the Issuer in accordance with its Organizational</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w:t>
      </w:r>
    </w:p>
    <w:p>
      <w:pPr>
        <w:spacing w:after="0" w:line="98"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448"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Restricted Payments to purchase, redeem, defease or otherwise acquire or retire for value subordinated Indebtedness so long as the Total Net Leverage Ratio would not exceed 2.00 to 1.00, calculated on a Pro Forma Basis; and</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348"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of the type described in clause (iii) or clause (iv) of the definition of “Restricted Payment” in an aggregate amount not to exceed (x) the greater of $450.0 million and 20.0% of LTM Consolidated Adjusted EBITDA in any fiscal year, which, if not used in any fiscal year, may be carried forward to subsequent fiscal years (until so applied)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any outstanding utilization in reliance on unused capacity under </w:t>
      </w:r>
      <w:r>
        <w:rPr>
          <w:rFonts w:ascii="Times New Roman" w:cs="Times New Roman" w:eastAsia="Times New Roman" w:hAnsi="Times New Roman"/>
          <w:sz w:val="18"/>
          <w:szCs w:val="18"/>
          <w:u w:val="single" w:color="auto"/>
          <w:color w:val="auto"/>
        </w:rPr>
        <w:t>Section 4.08(b)(i)(A)</w:t>
      </w:r>
      <w:r>
        <w:rPr>
          <w:rFonts w:ascii="Times New Roman" w:cs="Times New Roman" w:eastAsia="Times New Roman" w:hAnsi="Times New Roman"/>
          <w:sz w:val="18"/>
          <w:szCs w:val="18"/>
          <w:color w:val="auto"/>
        </w:rPr>
        <w:t xml:space="preserve"> hereof.</w:t>
      </w:r>
    </w:p>
    <w:p>
      <w:pPr>
        <w:spacing w:after="0" w:line="180" w:lineRule="exact"/>
        <w:rPr>
          <w:sz w:val="20"/>
          <w:szCs w:val="20"/>
          <w:color w:val="auto"/>
        </w:rPr>
      </w:pPr>
    </w:p>
    <w:p>
      <w:pPr>
        <w:jc w:val="both"/>
        <w:ind w:firstLine="440"/>
        <w:spacing w:after="0" w:line="272" w:lineRule="auto"/>
        <w:rPr>
          <w:sz w:val="20"/>
          <w:szCs w:val="20"/>
          <w:color w:val="auto"/>
        </w:rPr>
      </w:pPr>
      <w:r>
        <w:rPr>
          <w:rFonts w:ascii="Times New Roman" w:cs="Times New Roman" w:eastAsia="Times New Roman" w:hAnsi="Times New Roman"/>
          <w:sz w:val="17"/>
          <w:szCs w:val="17"/>
          <w:color w:val="auto"/>
        </w:rPr>
        <w:t>The amount of any Restricted Payment (other than Cash) shall be the Fair Market Value, as determined in good faith by the Issuer of the assets or securities proposed to be transferred or issued by the Issuer pursuant to such Restricted Payment. For the avoidance of doubt, any payment on account of any Indebtedness convertible into or exchangeable for Capital Stock or on account of Packaged Rights shall be deemed not to be a Restricted Payment.</w:t>
      </w:r>
    </w:p>
    <w:p>
      <w:pPr>
        <w:spacing w:after="0" w:line="2"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7"/>
          <w:szCs w:val="17"/>
          <w:color w:val="auto"/>
        </w:rPr>
        <w:t xml:space="preserve">For purposes of determining compliance with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in the event that a Restricted Payment meets the criteria of more than one of the categories described in clauses (i) through (xxix) of this </w:t>
      </w:r>
      <w:r>
        <w:rPr>
          <w:rFonts w:ascii="Times New Roman" w:cs="Times New Roman" w:eastAsia="Times New Roman" w:hAnsi="Times New Roman"/>
          <w:sz w:val="17"/>
          <w:szCs w:val="17"/>
          <w:u w:val="single" w:color="auto"/>
          <w:color w:val="auto"/>
        </w:rPr>
        <w:t>Section 4.08(b)</w:t>
      </w:r>
      <w:r>
        <w:rPr>
          <w:rFonts w:ascii="Times New Roman" w:cs="Times New Roman" w:eastAsia="Times New Roman" w:hAnsi="Times New Roman"/>
          <w:sz w:val="17"/>
          <w:szCs w:val="17"/>
          <w:color w:val="auto"/>
        </w:rPr>
        <w:t xml:space="preserve">, including </w:t>
      </w:r>
      <w:r>
        <w:rPr>
          <w:rFonts w:ascii="Times New Roman" w:cs="Times New Roman" w:eastAsia="Times New Roman" w:hAnsi="Times New Roman"/>
          <w:sz w:val="17"/>
          <w:szCs w:val="17"/>
          <w:u w:val="single" w:color="auto"/>
          <w:color w:val="auto"/>
        </w:rPr>
        <w:t>Section 4.08(a)</w:t>
      </w:r>
      <w:r>
        <w:rPr>
          <w:rFonts w:ascii="Times New Roman" w:cs="Times New Roman" w:eastAsia="Times New Roman" w:hAnsi="Times New Roman"/>
          <w:sz w:val="17"/>
          <w:szCs w:val="17"/>
          <w:color w:val="auto"/>
        </w:rPr>
        <w:t xml:space="preserve"> or the definition of “Permitted Investments,” the Issuer will be permitted to classify such Restricted Payment and later reclassify all or a portion of such Restricted Payment in any manner that complies with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In addition, a Restricted Payment need not be permitted solely by reference to one provision permitting such Restricted Payment but may be permitted in part by one such provision and in part by one or more other provisions of this </w:t>
      </w:r>
      <w:r>
        <w:rPr>
          <w:rFonts w:ascii="Times New Roman" w:cs="Times New Roman" w:eastAsia="Times New Roman" w:hAnsi="Times New Roman"/>
          <w:sz w:val="17"/>
          <w:szCs w:val="17"/>
          <w:u w:val="single" w:color="auto"/>
          <w:color w:val="auto"/>
        </w:rPr>
        <w:t>Section 4.08</w:t>
      </w:r>
      <w:r>
        <w:rPr>
          <w:rFonts w:ascii="Times New Roman" w:cs="Times New Roman" w:eastAsia="Times New Roman" w:hAnsi="Times New Roman"/>
          <w:sz w:val="17"/>
          <w:szCs w:val="17"/>
          <w:color w:val="auto"/>
        </w:rPr>
        <w:t xml:space="preserve"> permitting such Restricted Payment.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00"/>
          </w:cols>
          <w:pgMar w:left="440" w:top="270" w:right="459" w:bottom="1440" w:gutter="0" w:footer="0" w:header="0"/>
        </w:sectPr>
      </w:pPr>
    </w:p>
    <w:bookmarkStart w:id="683" w:name="page684"/>
    <w:bookmarkEnd w:id="683"/>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set forth under this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any Investment in the form of a transfer of actual legal title (or transfer of similar effect) or an exclusive license of Material Intellectual Property by the Issuer or any Restricted Subsidiary to Unrestricted Subsidiaries shall not be permitted;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for the avoidance of doubt, the above references to a transfer of actual legal title (or transfer of similar effect) or an exclusive license with respect to Material Intellectual Property shall not be deemed or interpreted to include a transfer or license in the form of a non-exclusive license of IP Rights or any exclusive license of IP Rights entered into for legitimate business purposes (as determined by the Issuer in good faith) that is only exclusive with respect to a particular type or field (or types or fields) of usage or a certain territory or group of territories.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i w:val="1"/>
          <w:iCs w:val="1"/>
          <w:color w:val="auto"/>
        </w:rPr>
        <w:t>Incurrence of Indebtedness and Issuance of Disqualified Stock or Preferred Stock</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60" w:firstLine="436"/>
        <w:spacing w:after="0" w:line="254" w:lineRule="auto"/>
        <w:tabs>
          <w:tab w:leader="none" w:pos="685"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not, and shall not permit any of its Restricted Subsidiaries to, directly or indirectly, create, incur, issue, assume, guarantee or otherwise become directly or indirectly liable, contingently or otherwise (collectively, “incur”), any Indebtedness or issue any Disqualified Stock, and the Issuer will not permit any of its Non-Guarantor Subsidiaries to issue any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Issuer or any Restricted Subsidiary may incur Indebtedness or issue Disqualified Stock and any Non-Guarantor Subsidiary may issue Preferred Stock if the Total Net Leverage Ratio does not exceed the greater of (1) 3.00 to 1.00 or (2) the Total Net Leverage Ratio immediately prior to such incurrence, in each case on a Pro Forma Basis (including a pro forma application of the net proceeds therefrom), as if the additional Indebtedness had been incurred or the Disqualified Stock or Preferred Stock had been issued, as the case may be, at the beginning of such four-quarter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incurred by Non-Guarantor Subsidiaries pursuant to this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4.09(b)(xxxiv)</w:t>
      </w:r>
      <w:r>
        <w:rPr>
          <w:rFonts w:ascii="Times New Roman" w:cs="Times New Roman" w:eastAsia="Times New Roman" w:hAnsi="Times New Roman"/>
          <w:sz w:val="18"/>
          <w:szCs w:val="18"/>
          <w:color w:val="auto"/>
        </w:rPr>
        <w:t xml:space="preserve"> at any time outstanding shall not exceed the greater of (a) $787.5 million and (b) 35.0% of LTM Consolidated Adjusted EBITDA.</w:t>
      </w:r>
    </w:p>
    <w:p>
      <w:pPr>
        <w:spacing w:after="0" w:line="188" w:lineRule="exact"/>
        <w:rPr>
          <w:rFonts w:ascii="Times New Roman" w:cs="Times New Roman" w:eastAsia="Times New Roman" w:hAnsi="Times New Roman"/>
          <w:sz w:val="18"/>
          <w:szCs w:val="18"/>
          <w:color w:val="auto"/>
        </w:rPr>
      </w:pPr>
    </w:p>
    <w:p>
      <w:pPr>
        <w:ind w:right="760" w:firstLine="436"/>
        <w:spacing w:after="0" w:line="282" w:lineRule="auto"/>
        <w:tabs>
          <w:tab w:leader="none" w:pos="695"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shall not prohibit the incurrence of any of the following items of Indebtedness and issuance of the following items of Disqualified Stock and Preferred Stock (collectively,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40" w:right="320" w:firstLine="419"/>
        <w:spacing w:after="0" w:line="266" w:lineRule="auto"/>
        <w:tabs>
          <w:tab w:leader="none" w:pos="1078" w:val="left"/>
        </w:tabs>
        <w:numPr>
          <w:ilvl w:val="1"/>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and its Restricted Subsidiaries incurred under Credit Facilities in an aggregate principal amount at any one time outstanding under this clause (i) not to exceed the sum of (a) $2,750.0 million, plus (b) the greater of (x) $787.5 million and (y) 35.0% of LTM Consolidated Adjusted EBITDA;</w:t>
      </w:r>
    </w:p>
    <w:p>
      <w:pPr>
        <w:spacing w:after="0" w:line="6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28" w:val="left"/>
        </w:tabs>
        <w:numPr>
          <w:ilvl w:val="1"/>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existing, or pursuant to commitments existing (or anticipated), on the Escrow Release Date (other than Indebtedness described in clause (i));</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000"/>
          </w:cols>
          <w:pgMar w:left="440" w:top="270" w:right="459" w:bottom="1440" w:gutter="0" w:footer="0" w:header="0"/>
        </w:sectPr>
      </w:pPr>
    </w:p>
    <w:bookmarkStart w:id="684" w:name="page685"/>
    <w:bookmarkEnd w:id="684"/>
    <w:p>
      <w:pPr>
        <w:ind w:right="700" w:firstLine="419"/>
        <w:spacing w:after="0" w:line="282" w:lineRule="auto"/>
        <w:tabs>
          <w:tab w:leader="none" w:pos="738"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the Issuer and the Guarantors represented by the Notes to be issued on the Issue Date and the Note Guarantees (including any future Note Guarantees);</w:t>
      </w:r>
    </w:p>
    <w:p>
      <w:pPr>
        <w:spacing w:after="0" w:line="53" w:lineRule="exact"/>
        <w:rPr>
          <w:rFonts w:ascii="Times New Roman" w:cs="Times New Roman" w:eastAsia="Times New Roman" w:hAnsi="Times New Roman"/>
          <w:sz w:val="18"/>
          <w:szCs w:val="18"/>
          <w:color w:val="auto"/>
        </w:rPr>
      </w:pPr>
    </w:p>
    <w:p>
      <w:pPr>
        <w:ind w:right="140" w:firstLine="419"/>
        <w:spacing w:after="0" w:line="257" w:lineRule="auto"/>
        <w:tabs>
          <w:tab w:leader="none" w:pos="728"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Joint Venture or Indebtedness of the Issuer or any Restricted Subsidiary incurred on behalf of any Joint Venture or any guarantees by the Issuer or any Restricted Subsidiary of Indebtedness of any Joint Venture in an aggregate outstanding principal amount (together with any Refinancing Indebtedness in respect thereof) for all such Indebtedness not to exceed at any time the greater of (a)</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$675.0 million and (b) 30.0% of LTM Consolidated Adjusted EBITDA;</w:t>
      </w:r>
    </w:p>
    <w:p>
      <w:pPr>
        <w:spacing w:after="0" w:line="98" w:lineRule="exact"/>
        <w:rPr>
          <w:rFonts w:ascii="Times New Roman" w:cs="Times New Roman" w:eastAsia="Times New Roman" w:hAnsi="Times New Roman"/>
          <w:sz w:val="18"/>
          <w:szCs w:val="18"/>
          <w:color w:val="auto"/>
        </w:rPr>
      </w:pPr>
    </w:p>
    <w:p>
      <w:pPr>
        <w:ind w:firstLine="419"/>
        <w:spacing w:after="0" w:line="256" w:lineRule="auto"/>
        <w:tabs>
          <w:tab w:leader="none" w:pos="678"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any agreement providing for indemnification, adjustment of purchase price or similar obligations (including contingent earn-out or similar obligations), or payment obligations in respect of any non-compete, consulting or similar arrangements, in each case incurred in connection with any disposition not prohibited by this Indenture, any acquisition or other Investment not prohibited by this Indenture or consummated prior to the Escrow Release Date or any other purchase of assets or Capital Stock, and Indebtedness arising from guaranties, letters of credit, bank guaranties, surety bonds, performance bonds or similar instruments securing the performance of the Issuer or any such Restricted Subsidiary pursuant to any such agreement;</w:t>
      </w:r>
    </w:p>
    <w:p>
      <w:pPr>
        <w:spacing w:after="0" w:line="79" w:lineRule="exact"/>
        <w:rPr>
          <w:rFonts w:ascii="Times New Roman" w:cs="Times New Roman" w:eastAsia="Times New Roman" w:hAnsi="Times New Roman"/>
          <w:sz w:val="18"/>
          <w:szCs w:val="18"/>
          <w:color w:val="auto"/>
        </w:rPr>
      </w:pPr>
    </w:p>
    <w:p>
      <w:pPr>
        <w:ind w:right="40" w:firstLine="419"/>
        <w:spacing w:after="0" w:line="256" w:lineRule="auto"/>
        <w:tabs>
          <w:tab w:leader="none" w:pos="728"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or any Restricted Subsidiary (A) pursuant to tenders, statutory obligations (including health, safety and environmental obligations), bids, leases, governmental contracts, trade contracts, surety, indemnity, stay, customs, judgment, appeal, performance, completion and/or return of money bonds or guaranties or other similar obligations incurred in the ordinary course of business (which shall be deemed to include any judgments, awards, attachments and/or decrees and notices of lis pendens and associated rights relating to litigation being contested in good faith and not constituting an Event of Default under </w:t>
      </w:r>
      <w:r>
        <w:rPr>
          <w:rFonts w:ascii="Times New Roman" w:cs="Times New Roman" w:eastAsia="Times New Roman" w:hAnsi="Times New Roman"/>
          <w:sz w:val="18"/>
          <w:szCs w:val="18"/>
          <w:u w:val="single" w:color="auto"/>
          <w:color w:val="auto"/>
        </w:rPr>
        <w:t>Section 6.01(f)</w:t>
      </w:r>
      <w:r>
        <w:rPr>
          <w:rFonts w:ascii="Times New Roman" w:cs="Times New Roman" w:eastAsia="Times New Roman" w:hAnsi="Times New Roman"/>
          <w:sz w:val="18"/>
          <w:szCs w:val="18"/>
          <w:color w:val="auto"/>
        </w:rPr>
        <w:t>) and (B) in respect of letters of credit, bank guaranties, surety bonds, performance bonds or similar instruments to support any of the foregoing items;</w:t>
      </w:r>
    </w:p>
    <w:p>
      <w:pPr>
        <w:spacing w:after="0" w:line="79" w:lineRule="exact"/>
        <w:rPr>
          <w:rFonts w:ascii="Times New Roman" w:cs="Times New Roman" w:eastAsia="Times New Roman" w:hAnsi="Times New Roman"/>
          <w:sz w:val="18"/>
          <w:szCs w:val="18"/>
          <w:color w:val="auto"/>
        </w:rPr>
      </w:pPr>
    </w:p>
    <w:p>
      <w:pPr>
        <w:ind w:right="160" w:firstLine="419"/>
        <w:spacing w:after="0" w:line="261" w:lineRule="auto"/>
        <w:tabs>
          <w:tab w:leader="none" w:pos="778"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 Permitted Treasury Arrangements and all other netting services, overdraft protections, treasury, depository, pooling and other cash management arrangements, including, in all cases, incentive, supplier finance or similar programs and in connection with deposit accounts and (B) supply chain financing facilities (including, for the avoidance of doubt, the financing of trade payables of the Issuer and the Restricted Subsidiaries) and/or supplier financing services;</w:t>
      </w:r>
    </w:p>
    <w:p>
      <w:pPr>
        <w:spacing w:after="0" w:line="71" w:lineRule="exact"/>
        <w:rPr>
          <w:rFonts w:ascii="Times New Roman" w:cs="Times New Roman" w:eastAsia="Times New Roman" w:hAnsi="Times New Roman"/>
          <w:sz w:val="18"/>
          <w:szCs w:val="18"/>
          <w:color w:val="auto"/>
        </w:rPr>
      </w:pPr>
    </w:p>
    <w:p>
      <w:pPr>
        <w:ind w:firstLine="419"/>
        <w:spacing w:after="0" w:line="255" w:lineRule="auto"/>
        <w:tabs>
          <w:tab w:leader="none" w:pos="828"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Guarantees by the Issuer or any Restricted Subsidiary of the obligations of suppliers, customers, franchisees, licensees, sublicensees and cross-licensees in the ordinary course of business, (B) Indebtedness (1) incurred in the ordinary course of business in respect of obligations of the Issuer or any Restricted Subsidiary to pay the deferred purchase price of property or services or progress payments in connection with such property and services or (2) consisting of obligations under deferred purchase price or other similar arrangements incurred in connection with acquisitions or any other Investment expressly not prohibited by this Indenture and (C) Indebtedness in respect of letters of credit, bankers’ acceptances, bank guaranties or similar instruments supporting trade payables, warehouse receipts or similar facilities entered into in the ordinary course of business;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560"/>
          </w:cols>
          <w:pgMar w:left="880" w:top="270" w:right="459" w:bottom="1440" w:gutter="0" w:footer="0" w:header="0"/>
        </w:sectPr>
      </w:pPr>
    </w:p>
    <w:bookmarkStart w:id="685" w:name="page686"/>
    <w:bookmarkEnd w:id="685"/>
    <w:p>
      <w:pPr>
        <w:ind w:firstLine="419"/>
        <w:spacing w:after="0" w:line="266" w:lineRule="auto"/>
        <w:tabs>
          <w:tab w:leader="none" w:pos="728"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Guarantees (including any co-issuance) by the Issuer or any Restricted Subsidiary of Indebtedness or other obligations of the Issuer, any Restricted Subsidiary or any Joint Venture with respect to Indebtedness otherwise permitted to be incurred pursuant to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or other obligations not prohibited by this Indenture;</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to the Issuer or any other Restricted Subsidiary; provided that all such</w:t>
      </w:r>
    </w:p>
    <w:p>
      <w:pPr>
        <w:spacing w:after="0" w:line="27" w:lineRule="exact"/>
        <w:rPr>
          <w:rFonts w:ascii="Times New Roman" w:cs="Times New Roman" w:eastAsia="Times New Roman" w:hAnsi="Times New Roman"/>
          <w:sz w:val="18"/>
          <w:szCs w:val="18"/>
          <w:color w:val="auto"/>
        </w:rPr>
      </w:pPr>
    </w:p>
    <w:p>
      <w:pPr>
        <w:ind w:right="1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the Issuer or any Guarantor to any Restricted Subsidiary that is not the Issuer or a Guarantor must be expressly subordinated to the obligations of the Issuer or such Guarantor under the Notes and the Note Guarantees, as applicable;</w:t>
      </w:r>
    </w:p>
    <w:p>
      <w:pPr>
        <w:spacing w:after="0" w:line="73" w:lineRule="exact"/>
        <w:rPr>
          <w:rFonts w:ascii="Times New Roman" w:cs="Times New Roman" w:eastAsia="Times New Roman" w:hAnsi="Times New Roman"/>
          <w:sz w:val="18"/>
          <w:szCs w:val="18"/>
          <w:color w:val="auto"/>
        </w:rPr>
      </w:pPr>
    </w:p>
    <w:p>
      <w:pPr>
        <w:ind w:right="200" w:firstLine="419"/>
        <w:spacing w:after="0" w:line="282" w:lineRule="auto"/>
        <w:tabs>
          <w:tab w:leader="none" w:pos="728"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consisting of obligations owing under incentive, supply, license, sublicense or similar agreements entered into in the ordinary course of business;</w:t>
      </w:r>
    </w:p>
    <w:p>
      <w:pPr>
        <w:spacing w:after="0" w:line="53" w:lineRule="exact"/>
        <w:rPr>
          <w:rFonts w:ascii="Times New Roman" w:cs="Times New Roman" w:eastAsia="Times New Roman" w:hAnsi="Times New Roman"/>
          <w:sz w:val="18"/>
          <w:szCs w:val="18"/>
          <w:color w:val="auto"/>
        </w:rPr>
      </w:pPr>
    </w:p>
    <w:p>
      <w:pPr>
        <w:jc w:val="both"/>
        <w:ind w:right="660" w:firstLine="419"/>
        <w:spacing w:after="0" w:line="266" w:lineRule="auto"/>
        <w:tabs>
          <w:tab w:leader="none" w:pos="778"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consisting of (A) the financing of insurance premiums, (B) take-or-pay obligations contained in supply arrangements in the ordinary course of business and/or (C) obligations to reacquire assets or inventory in connection with customer financing arrangements in the ordinary course of business;</w:t>
      </w:r>
    </w:p>
    <w:p>
      <w:pPr>
        <w:spacing w:after="0" w:line="67" w:lineRule="exact"/>
        <w:rPr>
          <w:rFonts w:ascii="Times New Roman" w:cs="Times New Roman" w:eastAsia="Times New Roman" w:hAnsi="Times New Roman"/>
          <w:sz w:val="18"/>
          <w:szCs w:val="18"/>
          <w:color w:val="auto"/>
        </w:rPr>
      </w:pPr>
    </w:p>
    <w:p>
      <w:pPr>
        <w:ind w:right="160" w:firstLine="419"/>
        <w:spacing w:after="0" w:line="256" w:lineRule="auto"/>
        <w:tabs>
          <w:tab w:leader="none" w:pos="828"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with respect to Finance Leases (including Finance Leases entered into in connection with sale and leaseback transactions) and purchase money Indebtedness (including mortgage financing, industrial revenue bond, industrial development bond or similar financings) or Indebtedness to finance the construction, purchase, repair, replacement, lease, installation, maintenance or improvement of property (real or personal) or any fixed or capital asset (whether through direct purchase of assets or the Capital Stock of a Person owning such assets), in an aggregate outstanding principal amount (together with any Refinancing Indebtedness in respect thereof) not to exceed the greater of (a) $1,012.5 million and (b) 45.0% of LTM Consolidated Adjusted EBITDA;</w:t>
      </w:r>
    </w:p>
    <w:p>
      <w:pPr>
        <w:spacing w:after="0" w:line="79" w:lineRule="exact"/>
        <w:rPr>
          <w:rFonts w:ascii="Times New Roman" w:cs="Times New Roman" w:eastAsia="Times New Roman" w:hAnsi="Times New Roman"/>
          <w:sz w:val="18"/>
          <w:szCs w:val="18"/>
          <w:color w:val="auto"/>
        </w:rPr>
      </w:pPr>
    </w:p>
    <w:p>
      <w:pPr>
        <w:ind w:right="20" w:firstLine="419"/>
        <w:spacing w:after="0" w:line="255" w:lineRule="auto"/>
        <w:tabs>
          <w:tab w:leader="none" w:pos="818"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(x) of any Person that becomes a Restricted Subsidiary or that is acquired, or is merged with or into or consolidated or amalgamated with, the Issuer or a Restricted Subsidiary, or that is assumed by the Issuer or any Restricted Subsidiary in connection with an acquisition or (y) of the Issuer or any Restricted Subsidiary in contemplation of, or to provide all or any portion of the funds or credit support utilized to consummate, an acquisition (whether through the direct purchase of assets or the purchase of assets or the purchase of Capital Stock of, or merger or consolidation with, any Person owning such assets, or otherwise) or other Investment not prohibited by this Indenture after the Escrow Release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on the date of such incurrence and after giving effect thereto on a Pro Forma Basis, (i) if such Indebtedness is secured</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540"/>
          </w:cols>
          <w:pgMar w:left="880" w:top="270" w:right="479" w:bottom="1440" w:gutter="0" w:footer="0" w:header="0"/>
        </w:sectPr>
      </w:pPr>
    </w:p>
    <w:bookmarkStart w:id="686" w:name="page687"/>
    <w:bookmarkEnd w:id="686"/>
    <w:p>
      <w:pPr>
        <w:ind w:left="4"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 a first priority Lien on the Collateral, the Secured Net Leverage Ratio does not exceed 2.00:1.00 and (ii) if such Indebtedness is unsecured, is secured by a junior Lien on the Collateral, or is secured by assets that do not constitute Collateral, at the election of the Issuer, the Total Net Leverage Ratio does not exceed the greater of (x) 3.00:1.00 and (y) the Total Net Leverage Ratio immediately prior to such incurrence, in each case calculated on a Pro Forma Basis, and (2) in the case of clause (x) only, such Indebtedness may include additional Indebtedness in an amount not to exceed the greater of (a) $337.5 million and (b) 15.0% of LTM Consolidated Adjusted EBITDA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w:t>
      </w:r>
    </w:p>
    <w:p>
      <w:pPr>
        <w:spacing w:after="0" w:line="3" w:lineRule="exact"/>
        <w:rPr>
          <w:sz w:val="20"/>
          <w:szCs w:val="20"/>
          <w:color w:val="auto"/>
        </w:rPr>
      </w:pPr>
    </w:p>
    <w:p>
      <w:pPr>
        <w:ind w:left="304" w:hanging="304"/>
        <w:spacing w:after="0"/>
        <w:tabs>
          <w:tab w:leader="none" w:pos="304" w:val="left"/>
        </w:tabs>
        <w:numPr>
          <w:ilvl w:val="0"/>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existed at the time such Person became a Restricted Subsidiary or was acquired, or the assets subject to such Indebtedness were acquired and</w:t>
      </w:r>
    </w:p>
    <w:p>
      <w:pPr>
        <w:spacing w:after="0" w:line="9"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not created or incurred in anticipation thereof);</w:t>
      </w:r>
    </w:p>
    <w:p>
      <w:pPr>
        <w:spacing w:after="0" w:line="98"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771" w:val="left"/>
        </w:tabs>
        <w:numPr>
          <w:ilvl w:val="1"/>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Refinancing Indebtedness incurred by the Issuer or any of its Restricted Subsidiaries in exchange for, or the net proceeds of which are used to refund, refinance or replace, Indebtedness that was permitted by this Indenture to be incurred under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or clauses (ii), (iii), (iv), (vii), (xiii), (xiv), (xvii), (xix), (xx), (xiv), (xxix), (xxxiii), (xxxv), (xxxvii), (xxxviii), (xxxix) or (xl) of this </w:t>
      </w: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 xml:space="preserve"> or this clause (xv) or, solely to the extent of the excess (if any) of the amount of Indebtedness incurred and outstanding under clause (xxxiv) prior to the applicable refinancing over the maximum aggregate amount permitted to be incurred and outstanding under clause (xxxiv) at the time of such refinancing, clause (xxxiv) of this </w:t>
      </w: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endorsement of instruments or other payment items for collection or deposit in the ordinary course of business;</w:t>
      </w:r>
    </w:p>
    <w:p>
      <w:pPr>
        <w:spacing w:after="0" w:line="117" w:lineRule="exact"/>
        <w:rPr>
          <w:rFonts w:ascii="Times New Roman" w:cs="Times New Roman" w:eastAsia="Times New Roman" w:hAnsi="Times New Roman"/>
          <w:sz w:val="18"/>
          <w:szCs w:val="18"/>
          <w:color w:val="auto"/>
        </w:rPr>
      </w:pPr>
    </w:p>
    <w:p>
      <w:pPr>
        <w:ind w:left="4" w:right="500" w:firstLine="419"/>
        <w:spacing w:after="0" w:line="266" w:lineRule="auto"/>
        <w:tabs>
          <w:tab w:leader="none" w:pos="871" w:val="left"/>
        </w:tabs>
        <w:numPr>
          <w:ilvl w:val="1"/>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letter of credit facility in an aggregate principal or face amount (together with any Refinancing Indebtedness in respect thereof) at any time outstanding not to exceed the greater of (a) $562.5 million and (b) 25.0% of LTM Consolidated Adjusted EBITDA;</w:t>
      </w:r>
    </w:p>
    <w:p>
      <w:pPr>
        <w:spacing w:after="0" w:line="67" w:lineRule="exact"/>
        <w:rPr>
          <w:rFonts w:ascii="Times New Roman" w:cs="Times New Roman" w:eastAsia="Times New Roman" w:hAnsi="Times New Roman"/>
          <w:sz w:val="18"/>
          <w:szCs w:val="18"/>
          <w:color w:val="auto"/>
        </w:rPr>
      </w:pPr>
    </w:p>
    <w:p>
      <w:pPr>
        <w:ind w:left="924" w:hanging="501"/>
        <w:spacing w:after="0"/>
        <w:tabs>
          <w:tab w:leader="none" w:pos="924" w:val="left"/>
        </w:tabs>
        <w:numPr>
          <w:ilvl w:val="1"/>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under any Derivative Transaction not entered into for speculative purposes;</w:t>
      </w:r>
    </w:p>
    <w:p>
      <w:pPr>
        <w:spacing w:after="0" w:line="117" w:lineRule="exact"/>
        <w:rPr>
          <w:rFonts w:ascii="Times New Roman" w:cs="Times New Roman" w:eastAsia="Times New Roman" w:hAnsi="Times New Roman"/>
          <w:sz w:val="18"/>
          <w:szCs w:val="18"/>
          <w:color w:val="auto"/>
        </w:rPr>
      </w:pPr>
    </w:p>
    <w:p>
      <w:pPr>
        <w:ind w:left="4" w:right="180" w:firstLine="419"/>
        <w:spacing w:after="0" w:line="266" w:lineRule="auto"/>
        <w:tabs>
          <w:tab w:leader="none" w:pos="821" w:val="left"/>
        </w:tabs>
        <w:numPr>
          <w:ilvl w:val="1"/>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in an aggregate outstanding principal amount (together with any Refinancing Indebtedness in respect thereof) at any time outstanding not to exceed the greater of (a) $787.5 million and (b) 35.0% of LTM Consolidated Adjusted EBITDA;</w:t>
      </w:r>
    </w:p>
    <w:p>
      <w:pPr>
        <w:spacing w:after="0" w:line="67" w:lineRule="exact"/>
        <w:rPr>
          <w:rFonts w:ascii="Times New Roman" w:cs="Times New Roman" w:eastAsia="Times New Roman" w:hAnsi="Times New Roman"/>
          <w:sz w:val="18"/>
          <w:szCs w:val="18"/>
          <w:color w:val="auto"/>
        </w:rPr>
      </w:pPr>
    </w:p>
    <w:p>
      <w:pPr>
        <w:ind w:left="4" w:firstLine="419"/>
        <w:spacing w:after="0" w:line="256" w:lineRule="auto"/>
        <w:tabs>
          <w:tab w:leader="none" w:pos="771" w:val="left"/>
        </w:tabs>
        <w:numPr>
          <w:ilvl w:val="1"/>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in an aggregate outstanding principal amount not to exceed 100% of the amount of any capital contributions or other proceeds received by the Issuer or any Restricted Subsidiary (A) from the issuance or sale of its Qualified Capital Stock or (B) in the form of any cash contribution, plus the fair market value, as determined by the Issuer in good faith, of Cash Equivalents, marketable securities or other property received by the Issuer or any Restricted Subsidiary from the issuance and sale of its Qualified Capital Stock or a contribution to the Qualified Capital Stock of the Issuer or any Restricted Subsidiary (including through consolidation, amalgamation or merger), in each case after the Escrow</w:t>
      </w:r>
    </w:p>
    <w:p>
      <w:pPr>
        <w:spacing w:after="0" w:line="120"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0544"/>
          </w:cols>
          <w:pgMar w:left="876" w:top="270" w:right="479" w:bottom="1440" w:gutter="0" w:footer="0" w:header="0"/>
        </w:sectPr>
      </w:pPr>
    </w:p>
    <w:bookmarkStart w:id="687" w:name="page688"/>
    <w:bookmarkEnd w:id="68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Release Date, and in each case other than (1) any proceeds received from the sale of Capital Stock to, or contributions from, the Issuer or any of its Restricted Subsidiaries, (2) to the extent the relevant proceeds have otherwise been applied to make Restricted Payments hereunder and (3) any Available Excluded Contribution Amount;</w:t>
      </w:r>
    </w:p>
    <w:p>
      <w:pPr>
        <w:spacing w:after="0" w:line="68" w:lineRule="exact"/>
        <w:rPr>
          <w:sz w:val="20"/>
          <w:szCs w:val="20"/>
          <w:color w:val="auto"/>
        </w:rPr>
      </w:pPr>
    </w:p>
    <w:p>
      <w:pPr>
        <w:ind w:right="80" w:firstLine="419"/>
        <w:spacing w:after="0" w:line="258" w:lineRule="auto"/>
        <w:tabs>
          <w:tab w:leader="none" w:pos="818"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(including obligations in respect of letters of credit, bank guaranties, surety bonds, performance bonds or similar instruments with respect to such Indebtedness) incurred by the Issuer or any Restricted Subsidiary in respect of workers’ compensation claims (or other Indebtedness in respect of reimbursement type obligations regarding workers’ compensation claims), unemployment insurance (including premiums related thereto), other types of social security, pension obligations, vacation pay, health, disability or other employee benefits or property, casualty or liability insurance or self-insurance;</w:t>
      </w:r>
    </w:p>
    <w:p>
      <w:pPr>
        <w:spacing w:after="0" w:line="75" w:lineRule="exact"/>
        <w:rPr>
          <w:rFonts w:ascii="Times New Roman" w:cs="Times New Roman" w:eastAsia="Times New Roman" w:hAnsi="Times New Roman"/>
          <w:sz w:val="18"/>
          <w:szCs w:val="18"/>
          <w:color w:val="auto"/>
        </w:rPr>
      </w:pPr>
    </w:p>
    <w:p>
      <w:pPr>
        <w:ind w:firstLine="419"/>
        <w:spacing w:after="0" w:line="266" w:lineRule="auto"/>
        <w:tabs>
          <w:tab w:leader="none" w:pos="868"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representing (A) deferred compensation to any Permitted Payee in the ordinary course of business and (B) deferred compensation or other similar arrangements in connection with the Transactions, any acquisition or other Investment not prohibited by this Indenture;</w:t>
      </w:r>
    </w:p>
    <w:p>
      <w:pPr>
        <w:spacing w:after="0" w:line="67" w:lineRule="exact"/>
        <w:rPr>
          <w:rFonts w:ascii="Times New Roman" w:cs="Times New Roman" w:eastAsia="Times New Roman" w:hAnsi="Times New Roman"/>
          <w:sz w:val="18"/>
          <w:szCs w:val="18"/>
          <w:color w:val="auto"/>
        </w:rPr>
      </w:pPr>
    </w:p>
    <w:p>
      <w:pPr>
        <w:ind w:right="340" w:firstLine="419"/>
        <w:spacing w:after="0" w:line="266" w:lineRule="auto"/>
        <w:tabs>
          <w:tab w:leader="none" w:pos="918"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Restricted Subsidiary in respect of any letter of credit or bank guarantee issued in favor of any issuing bank or swingline lender to support any defaulting lender’s participation in letters of credit issued, or swingline loans made, under any Credit Facility or any other letter of credit facility;</w:t>
      </w:r>
    </w:p>
    <w:p>
      <w:pPr>
        <w:spacing w:after="0" w:line="67" w:lineRule="exact"/>
        <w:rPr>
          <w:rFonts w:ascii="Times New Roman" w:cs="Times New Roman" w:eastAsia="Times New Roman" w:hAnsi="Times New Roman"/>
          <w:sz w:val="18"/>
          <w:szCs w:val="18"/>
          <w:color w:val="auto"/>
        </w:rPr>
      </w:pPr>
    </w:p>
    <w:p>
      <w:pPr>
        <w:ind w:firstLine="419"/>
        <w:spacing w:after="0" w:line="289" w:lineRule="auto"/>
        <w:tabs>
          <w:tab w:leader="none" w:pos="908" w:val="left"/>
        </w:tabs>
        <w:numPr>
          <w:ilvl w:val="0"/>
          <w:numId w:val="9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of the Issuer or any Restricted Subsidiary supported by any letter of credit issued under Credit Facilities or under any other letter of credit facility or any other letters of credit, bank guarantees, bankers acceptances or other similar instruments required by customers, suppliers, landlords, regulators or Governmental Authority or otherwise in the ordinary course of business or not prohibited by this Indenture;</w:t>
      </w:r>
    </w:p>
    <w:p>
      <w:pPr>
        <w:spacing w:after="0" w:line="49" w:lineRule="exact"/>
        <w:rPr>
          <w:rFonts w:ascii="Times New Roman" w:cs="Times New Roman" w:eastAsia="Times New Roman" w:hAnsi="Times New Roman"/>
          <w:sz w:val="17"/>
          <w:szCs w:val="17"/>
          <w:color w:val="auto"/>
        </w:rPr>
      </w:pPr>
    </w:p>
    <w:p>
      <w:pPr>
        <w:ind w:right="120" w:firstLine="419"/>
        <w:spacing w:after="0" w:line="282" w:lineRule="auto"/>
        <w:tabs>
          <w:tab w:leader="none" w:pos="858"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incurred by the Issuer or any Restricted Subsidiary in the ordinary course of business;</w:t>
      </w:r>
    </w:p>
    <w:p>
      <w:pPr>
        <w:spacing w:after="0" w:line="53" w:lineRule="exact"/>
        <w:rPr>
          <w:rFonts w:ascii="Times New Roman" w:cs="Times New Roman" w:eastAsia="Times New Roman" w:hAnsi="Times New Roman"/>
          <w:sz w:val="18"/>
          <w:szCs w:val="18"/>
          <w:color w:val="auto"/>
        </w:rPr>
      </w:pPr>
    </w:p>
    <w:p>
      <w:pPr>
        <w:ind w:right="100" w:firstLine="419"/>
        <w:spacing w:after="0" w:line="266" w:lineRule="auto"/>
        <w:tabs>
          <w:tab w:leader="none" w:pos="908"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other Indebtedness, all premiums (if any), interest (including post-petition interest, payment in kind interest and the payment of dividends on Disqualified Stock in the form of additional shares of the same class of Disqualified Stock), accretion or amortization of original issue discount, fees, expenses and charges with respect to Indebtedness of the Issuer or any Restricted Subsidiary;</w:t>
      </w:r>
    </w:p>
    <w:p>
      <w:pPr>
        <w:spacing w:after="0" w:line="67" w:lineRule="exact"/>
        <w:rPr>
          <w:rFonts w:ascii="Times New Roman" w:cs="Times New Roman" w:eastAsia="Times New Roman" w:hAnsi="Times New Roman"/>
          <w:sz w:val="18"/>
          <w:szCs w:val="18"/>
          <w:color w:val="auto"/>
        </w:rPr>
      </w:pPr>
    </w:p>
    <w:p>
      <w:pPr>
        <w:ind w:right="680" w:firstLine="419"/>
        <w:spacing w:after="0" w:line="282" w:lineRule="auto"/>
        <w:tabs>
          <w:tab w:leader="none" w:pos="958"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deposits and advance payments received in the ordinary course of business from customers for goods and services purchased in the ordinary course of business;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0560"/>
          </w:cols>
          <w:pgMar w:left="880" w:top="270" w:right="459" w:bottom="1440" w:gutter="0" w:footer="0" w:header="0"/>
        </w:sectPr>
      </w:pPr>
    </w:p>
    <w:bookmarkStart w:id="688" w:name="page689"/>
    <w:bookmarkEnd w:id="688"/>
    <w:p>
      <w:pPr>
        <w:ind w:right="220" w:firstLine="419"/>
        <w:spacing w:after="0" w:line="258" w:lineRule="auto"/>
        <w:tabs>
          <w:tab w:leader="none" w:pos="1008"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Indebtedness in connection with bankers’ acceptances, discounted bills of exchange or the discounting or factoring of receivables for credit management purposes, in each case incurred or undertaken in the ordinary course of business on arm’s-length commercial terms and (B) the incurrence of Indebtedness attributable to the exercise of appraisal rights or the settlement of any claims or actions (whether actual, contingent or potential) with respect to any acquisition (by merger, consolidation or amalgamation or otherwise) in accordance with the terms of this Indenture;</w:t>
      </w:r>
    </w:p>
    <w:p>
      <w:pPr>
        <w:spacing w:after="0" w:line="75" w:lineRule="exact"/>
        <w:rPr>
          <w:rFonts w:ascii="Times New Roman" w:cs="Times New Roman" w:eastAsia="Times New Roman" w:hAnsi="Times New Roman"/>
          <w:sz w:val="18"/>
          <w:szCs w:val="18"/>
          <w:color w:val="auto"/>
        </w:rPr>
      </w:pPr>
    </w:p>
    <w:p>
      <w:pPr>
        <w:ind w:right="60" w:firstLine="419"/>
        <w:spacing w:after="0" w:line="266" w:lineRule="auto"/>
        <w:tabs>
          <w:tab w:leader="none" w:pos="908"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letters of support, guarantees or similar obligations issued, made or incurred for the benefit of any subsidiary of the Issuer to the extent required by law or in connection with any statutory filing or the delivery of audit opinions performed in jurisdictions other than within the United States;</w:t>
      </w:r>
    </w:p>
    <w:p>
      <w:pPr>
        <w:spacing w:after="0" w:line="67" w:lineRule="exact"/>
        <w:rPr>
          <w:rFonts w:ascii="Times New Roman" w:cs="Times New Roman" w:eastAsia="Times New Roman" w:hAnsi="Times New Roman"/>
          <w:sz w:val="18"/>
          <w:szCs w:val="18"/>
          <w:color w:val="auto"/>
        </w:rPr>
      </w:pPr>
    </w:p>
    <w:p>
      <w:pPr>
        <w:ind w:right="380" w:firstLine="419"/>
        <w:spacing w:after="0" w:line="312" w:lineRule="auto"/>
        <w:tabs>
          <w:tab w:leader="none" w:pos="858" w:val="left"/>
        </w:tabs>
        <w:numPr>
          <w:ilvl w:val="0"/>
          <w:numId w:val="9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incurrence by a Securitization Special Purpose Entity of Indebtedness in a Qualified Securitization Transaction that is without recourse to the Issuer or to any other Restricted Subsidiary of the Issuer or their assets (other than Standard Securitization Undertakings);</w:t>
      </w:r>
    </w:p>
    <w:p>
      <w:pPr>
        <w:spacing w:after="0" w:line="31" w:lineRule="exact"/>
        <w:rPr>
          <w:rFonts w:ascii="Times New Roman" w:cs="Times New Roman" w:eastAsia="Times New Roman" w:hAnsi="Times New Roman"/>
          <w:sz w:val="17"/>
          <w:szCs w:val="17"/>
          <w:color w:val="auto"/>
        </w:rPr>
      </w:pPr>
    </w:p>
    <w:p>
      <w:pPr>
        <w:ind w:firstLine="419"/>
        <w:spacing w:after="0" w:line="282" w:lineRule="auto"/>
        <w:tabs>
          <w:tab w:leader="none" w:pos="908"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and surety bonds and completion guarantees or similar obligations provided by the Issuer or any Restricted Subsidiary of the Issuer in each case in the normal course of business (whether or not consistent with past practice);</w:t>
      </w:r>
    </w:p>
    <w:p>
      <w:pPr>
        <w:spacing w:after="0" w:line="53" w:lineRule="exact"/>
        <w:rPr>
          <w:rFonts w:ascii="Times New Roman" w:cs="Times New Roman" w:eastAsia="Times New Roman" w:hAnsi="Times New Roman"/>
          <w:sz w:val="18"/>
          <w:szCs w:val="18"/>
          <w:color w:val="auto"/>
        </w:rPr>
      </w:pPr>
    </w:p>
    <w:p>
      <w:pPr>
        <w:ind w:right="160" w:firstLine="419"/>
        <w:spacing w:after="0" w:line="282" w:lineRule="auto"/>
        <w:tabs>
          <w:tab w:leader="none" w:pos="958"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the honoring by a bank or other financial institution of a check, draft or similar instrument drawn against insufficient funds, provided that such Indebtedness is extinguished within five Business Days of notice of its incurrence;</w:t>
      </w:r>
    </w:p>
    <w:p>
      <w:pPr>
        <w:spacing w:after="0" w:line="53" w:lineRule="exact"/>
        <w:rPr>
          <w:rFonts w:ascii="Times New Roman" w:cs="Times New Roman" w:eastAsia="Times New Roman" w:hAnsi="Times New Roman"/>
          <w:sz w:val="18"/>
          <w:szCs w:val="18"/>
          <w:color w:val="auto"/>
        </w:rPr>
      </w:pPr>
    </w:p>
    <w:p>
      <w:pPr>
        <w:ind w:left="1000" w:hanging="581"/>
        <w:spacing w:after="0"/>
        <w:tabs>
          <w:tab w:leader="none" w:pos="1000"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any Sale Leaseback (provided that the proceeds thereof are used as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firstLine="419"/>
        <w:spacing w:after="0" w:line="255" w:lineRule="auto"/>
        <w:tabs>
          <w:tab w:leader="none" w:pos="998" w:val="left"/>
        </w:tabs>
        <w:numPr>
          <w:ilvl w:val="0"/>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or any of its Restricted Subsidiaries, on a Pro Forma Basis after giving effect to the application of the proceeds thereof (without netting the cash proceeds thereof, but giving effect to any related Subject Transaction), (i) if such Indebtedness is secured by a first priority Lien on the Collateral, the Secured Net Leverage Ratio does not exceed 2.00:1.00, (ii) if such Indebtedness is unsecured or secured by a junior Lien on the Collateral, at the election of the Issuer, the Total Net Leverage Ratio does not exceed the greater of (x) 3.00:1.00 and (y) Total Net Leverage Ratio immediately prior to such incurrence, in each case calculated on a Pro Forma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incurred by Non-Guarantor Subsidiaries pursuant to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and this clause (xxxiv) at any time outstanding shall not exceed the greater of (a) $787.5 million and (b) 35.0% of LTM Consolidated Adjusted EBITDA;</w:t>
      </w:r>
    </w:p>
    <w:p>
      <w:pPr>
        <w:spacing w:after="0" w:line="80" w:lineRule="exact"/>
        <w:rPr>
          <w:rFonts w:ascii="Times New Roman" w:cs="Times New Roman" w:eastAsia="Times New Roman" w:hAnsi="Times New Roman"/>
          <w:sz w:val="18"/>
          <w:szCs w:val="18"/>
          <w:color w:val="auto"/>
        </w:rPr>
      </w:pPr>
    </w:p>
    <w:p>
      <w:pPr>
        <w:ind w:right="80" w:firstLine="419"/>
        <w:spacing w:after="0" w:line="266" w:lineRule="auto"/>
        <w:tabs>
          <w:tab w:leader="none" w:pos="948" w:val="left"/>
        </w:tabs>
        <w:numPr>
          <w:ilvl w:val="0"/>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Non-Guarantor Subsidiaries; provided that the outstanding principal amount of such Indebtedness incurred pursuant to this clause (xxxv) (together with any Refinancing Indebtedness in respect thereof) does not exceed the greater of (a) $675.0 million and (b) 30.0% of LTM Consolidated Adjusted EBITDA;</w:t>
      </w:r>
    </w:p>
    <w:p>
      <w:pPr>
        <w:spacing w:after="0" w:line="67" w:lineRule="exact"/>
        <w:rPr>
          <w:rFonts w:ascii="Times New Roman" w:cs="Times New Roman" w:eastAsia="Times New Roman" w:hAnsi="Times New Roman"/>
          <w:sz w:val="18"/>
          <w:szCs w:val="18"/>
          <w:color w:val="auto"/>
        </w:rPr>
      </w:pPr>
    </w:p>
    <w:p>
      <w:pPr>
        <w:ind w:left="1000" w:hanging="581"/>
        <w:spacing w:after="0"/>
        <w:tabs>
          <w:tab w:leader="none" w:pos="1000" w:val="left"/>
        </w:tabs>
        <w:numPr>
          <w:ilvl w:val="0"/>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(other than for borrowed money) subject to Permitted Liens;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560"/>
          </w:cols>
          <w:pgMar w:left="880" w:top="270" w:right="459" w:bottom="1440" w:gutter="0" w:footer="0" w:header="0"/>
        </w:sectPr>
      </w:pPr>
    </w:p>
    <w:bookmarkStart w:id="689" w:name="page690"/>
    <w:bookmarkEnd w:id="689"/>
    <w:p>
      <w:pPr>
        <w:ind w:left="1480" w:hanging="621"/>
        <w:spacing w:after="0"/>
        <w:tabs>
          <w:tab w:leader="none" w:pos="1480" w:val="left"/>
        </w:tabs>
        <w:numPr>
          <w:ilvl w:val="0"/>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arising under a Permitted Receivables Facility;</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538" w:val="left"/>
        </w:tabs>
        <w:numPr>
          <w:ilvl w:val="0"/>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Non-Guarantor Subsidiaries incurred to fund working capital requirements in an aggregate principal amount at any time outstanding not to exceed the greater of (a) $225.0 million and (b) 10.0% of LTM Consolidated Adjusted EBITDA;</w:t>
      </w:r>
    </w:p>
    <w:p>
      <w:pPr>
        <w:spacing w:after="0" w:line="53" w:lineRule="exact"/>
        <w:rPr>
          <w:rFonts w:ascii="Times New Roman" w:cs="Times New Roman" w:eastAsia="Times New Roman" w:hAnsi="Times New Roman"/>
          <w:sz w:val="18"/>
          <w:szCs w:val="18"/>
          <w:color w:val="auto"/>
        </w:rPr>
      </w:pPr>
    </w:p>
    <w:p>
      <w:pPr>
        <w:ind w:left="1440" w:hanging="581"/>
        <w:spacing w:after="0"/>
        <w:tabs>
          <w:tab w:leader="none" w:pos="1440" w:val="left"/>
        </w:tabs>
        <w:numPr>
          <w:ilvl w:val="0"/>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Indebtedness; and</w:t>
      </w:r>
    </w:p>
    <w:p>
      <w:pPr>
        <w:spacing w:after="0" w:line="117" w:lineRule="exact"/>
        <w:rPr>
          <w:sz w:val="20"/>
          <w:szCs w:val="20"/>
          <w:color w:val="auto"/>
        </w:rPr>
      </w:pPr>
    </w:p>
    <w:p>
      <w:pPr>
        <w:ind w:left="440" w:right="2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(xl) Indebtedness in an aggregate principal amount outstanding at any time not to exceed 100% of the amount of Restricted Payments that may be made at the time of determination pursuant to </w:t>
      </w:r>
      <w:r>
        <w:rPr>
          <w:rFonts w:ascii="Times New Roman" w:cs="Times New Roman" w:eastAsia="Times New Roman" w:hAnsi="Times New Roman"/>
          <w:sz w:val="18"/>
          <w:szCs w:val="18"/>
          <w:u w:val="single" w:color="auto"/>
          <w:color w:val="auto"/>
        </w:rPr>
        <w:t>Section 4.08(b)(vii)</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right="160" w:firstLine="436"/>
        <w:spacing w:after="0" w:line="261" w:lineRule="auto"/>
        <w:tabs>
          <w:tab w:leader="none" w:pos="685"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in the event that an item of proposed Indebtedness meets the criteria of more than one of the categories of Permitted Debt described in clauses (i) through (xl) of </w:t>
      </w: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 or is entitled to be incurred pursuant to</w:t>
      </w: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the Issuer shall be permitted to classify such item of Indebtedness on the date of its incurrence and later reclassify all or a portion of such item of Indebtedness, in any manner that complies with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Indebtedness permitted by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need not be permitted solely by reference to one provision permitting such Indebtedness but may be permitted in part by one such provision and in part by one or more other provisions of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permitting such Indebtedness. Indebtedness under the Credit Agreements outstanding on the Escrow Release Date will be deemed to have been incurred on such date in reliance on </w:t>
      </w:r>
      <w:r>
        <w:rPr>
          <w:rFonts w:ascii="Times New Roman" w:cs="Times New Roman" w:eastAsia="Times New Roman" w:hAnsi="Times New Roman"/>
          <w:sz w:val="18"/>
          <w:szCs w:val="18"/>
          <w:u w:val="single" w:color="auto"/>
          <w:color w:val="auto"/>
        </w:rPr>
        <w:t>Section 4.09(b)(i)</w:t>
      </w:r>
      <w:r>
        <w:rPr>
          <w:rFonts w:ascii="Times New Roman" w:cs="Times New Roman" w:eastAsia="Times New Roman" w:hAnsi="Times New Roman"/>
          <w:sz w:val="18"/>
          <w:szCs w:val="18"/>
          <w:color w:val="auto"/>
        </w:rPr>
        <w:t>(a) hereof and may not later be reclassified.</w:t>
      </w:r>
    </w:p>
    <w:p>
      <w:pPr>
        <w:spacing w:after="0" w:line="186" w:lineRule="exact"/>
        <w:rPr>
          <w:rFonts w:ascii="Times New Roman" w:cs="Times New Roman" w:eastAsia="Times New Roman" w:hAnsi="Times New Roman"/>
          <w:sz w:val="18"/>
          <w:szCs w:val="18"/>
          <w:color w:val="auto"/>
        </w:rPr>
      </w:pPr>
    </w:p>
    <w:p>
      <w:pPr>
        <w:jc w:val="both"/>
        <w:ind w:firstLine="436"/>
        <w:spacing w:after="0" w:line="261" w:lineRule="auto"/>
        <w:tabs>
          <w:tab w:leader="none" w:pos="695"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for purposes of determining compliance with this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the Issuer or the applicable Restricted Subsidiary may elect to treat all or any portion of the commitment under any Indebtedness (including with respect to any revolving loan commitment) as being incurred at the time of such commitment, in which case any subsequent incurrence of Indebtedness under such commitment shall not be deemed to be an incurrence at such subsequent time.</w:t>
      </w:r>
    </w:p>
    <w:p>
      <w:pPr>
        <w:spacing w:after="0" w:line="178" w:lineRule="exact"/>
        <w:rPr>
          <w:sz w:val="20"/>
          <w:szCs w:val="20"/>
          <w:color w:val="auto"/>
        </w:rPr>
      </w:pPr>
    </w:p>
    <w:p>
      <w:pPr>
        <w:ind w:right="14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4.10 </w:t>
      </w:r>
      <w:r>
        <w:rPr>
          <w:rFonts w:ascii="Times New Roman" w:cs="Times New Roman" w:eastAsia="Times New Roman" w:hAnsi="Times New Roman"/>
          <w:sz w:val="17"/>
          <w:szCs w:val="17"/>
          <w:i w:val="1"/>
          <w:iCs w:val="1"/>
          <w:color w:val="auto"/>
        </w:rPr>
        <w:t>Liens</w:t>
      </w:r>
      <w:r>
        <w:rPr>
          <w:rFonts w:ascii="Times New Roman" w:cs="Times New Roman" w:eastAsia="Times New Roman" w:hAnsi="Times New Roman"/>
          <w:sz w:val="17"/>
          <w:szCs w:val="17"/>
          <w:color w:val="auto"/>
        </w:rPr>
        <w:t>. The Issuer shall not, and shall not permit any of its Restricted Subsidiaries to, directly or indirectly, create, incur, assume or suffer to exist any Lien (except a Permitted Lien) of any kind (any such Lien, an “</w:t>
      </w:r>
      <w:r>
        <w:rPr>
          <w:rFonts w:ascii="Times New Roman" w:cs="Times New Roman" w:eastAsia="Times New Roman" w:hAnsi="Times New Roman"/>
          <w:sz w:val="17"/>
          <w:szCs w:val="17"/>
          <w:b w:val="1"/>
          <w:bCs w:val="1"/>
          <w:color w:val="auto"/>
        </w:rPr>
        <w:t>Initial Lien</w:t>
      </w:r>
      <w:r>
        <w:rPr>
          <w:rFonts w:ascii="Times New Roman" w:cs="Times New Roman" w:eastAsia="Times New Roman" w:hAnsi="Times New Roman"/>
          <w:sz w:val="17"/>
          <w:szCs w:val="17"/>
          <w:color w:val="auto"/>
        </w:rPr>
        <w:t>”) on any asset now owned or hereafter acquired, unless:</w:t>
      </w:r>
    </w:p>
    <w:p>
      <w:pPr>
        <w:spacing w:after="0" w:line="137" w:lineRule="exact"/>
        <w:rPr>
          <w:sz w:val="20"/>
          <w:szCs w:val="20"/>
          <w:color w:val="auto"/>
        </w:rPr>
      </w:pPr>
    </w:p>
    <w:p>
      <w:pPr>
        <w:ind w:right="160" w:firstLine="436"/>
        <w:spacing w:after="0" w:line="282" w:lineRule="auto"/>
        <w:tabs>
          <w:tab w:leader="none" w:pos="685" w:val="left"/>
        </w:tabs>
        <w:numPr>
          <w:ilvl w:val="0"/>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Initial Liens on any Collateral, such Initial Lien expressly has priority that is junior to the Liens on the Collateral relative to the Notes and the Note Guarantees; and</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Initial Lien on assets that do not constitute Collateral, the Notes or the Note Guarantees are secured equally and ratably with (or on a senior basis to) the obligations secured by such Initial Lien until such time as such Obligations are no longer secured by such Initial Lien.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690" w:name="page691"/>
    <w:bookmarkEnd w:id="690"/>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Lien created for the benefit of Holders pursuant to the last clause of the preceding paragraph shall provide by its terms that such Lien shall be automatically and unconditionally released and discharged, without any action on the part of the Holders, upon the release and discharge of the Initial Lien.</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i w:val="1"/>
          <w:iCs w:val="1"/>
          <w:color w:val="auto"/>
        </w:rPr>
        <w:t>Dividend and Other Payment Restrictions Affecting Restricted Subsidiaries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580" w:firstLine="436"/>
        <w:spacing w:after="0" w:line="282" w:lineRule="auto"/>
        <w:tabs>
          <w:tab w:leader="none" w:pos="685"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and shall not permit any of its Restricted Subsidiaries to, directly or indirectly, create or permit to exist or become effective any consensual encumbrance or restriction on the ability of any such Restricted Subsidiary to:</w:t>
      </w:r>
    </w:p>
    <w:p>
      <w:pPr>
        <w:spacing w:after="0" w:line="53" w:lineRule="exact"/>
        <w:rPr>
          <w:rFonts w:ascii="Times New Roman" w:cs="Times New Roman" w:eastAsia="Times New Roman" w:hAnsi="Times New Roman"/>
          <w:sz w:val="18"/>
          <w:szCs w:val="18"/>
          <w:color w:val="auto"/>
        </w:rPr>
      </w:pPr>
    </w:p>
    <w:p>
      <w:pPr>
        <w:ind w:left="440" w:right="800" w:firstLine="419"/>
        <w:spacing w:after="0" w:line="282" w:lineRule="auto"/>
        <w:tabs>
          <w:tab w:leader="none" w:pos="1078"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or make any other distributions on its Capital Stock to the Issuer or any of its Restricted Subsidiaries or pay any indebtedness owed to the Issuer or any of its Restricted Subsidiaries;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loans or advances to the Issuer or any of its Restricted Subsidiaries; or</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any of its properties or assets to the Issuer or any of its Restricted Subsidiaries.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restrictions set forth in </w:t>
      </w:r>
      <w:r>
        <w:rPr>
          <w:rFonts w:ascii="Times New Roman" w:cs="Times New Roman" w:eastAsia="Times New Roman" w:hAnsi="Times New Roman"/>
          <w:sz w:val="18"/>
          <w:szCs w:val="18"/>
          <w:u w:val="single" w:color="auto"/>
          <w:color w:val="auto"/>
        </w:rPr>
        <w:t>Section 4.11(a)</w:t>
      </w:r>
      <w:r>
        <w:rPr>
          <w:rFonts w:ascii="Times New Roman" w:cs="Times New Roman" w:eastAsia="Times New Roman" w:hAnsi="Times New Roman"/>
          <w:sz w:val="18"/>
          <w:szCs w:val="18"/>
          <w:color w:val="auto"/>
        </w:rPr>
        <w:t xml:space="preserve"> shall not apply to encumbrances or restrictions existing under or by reason of:</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078"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agreements, including agreements governing existing Indebtedness as in effect on the Escrow Release Date and any amendments, modifications, restatements, renewals, increases, supplements, refundings, replacements or refinancings of those agreements;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amendments, modifications, restatements, renewals, increases, supplements, refundings, replacements or refinancings are, in the good faith judgment of the Issuer, not materially more restrictive, taken as a whole, with respect to such dividend and other payment restrictions than those contained in those agreements on the Escrow Release Date;</w:t>
      </w:r>
    </w:p>
    <w:p>
      <w:pPr>
        <w:spacing w:after="0" w:line="75"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Indenture, the Notes, the Note Guarantees and the Collateral Documents;</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78"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pursuant to Credit Facilities or letters of credit incurred under clauses (i), (xiv)(y), (xvii), (xxiii), (xxiv) or (xxxiv) of </w:t>
      </w: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 xml:space="preserve"> (or any Refinancing Indebtedness thereof not prohibited by this Indenture);</w:t>
      </w:r>
    </w:p>
    <w:p>
      <w:pPr>
        <w:spacing w:after="0" w:line="53"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68"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law, rule, regulation or order, approval, license, permit or similar restriction, including under contracts with foreign governments or agencies thereof entered into in the ordinary course of business;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960"/>
          </w:cols>
          <w:pgMar w:left="440" w:top="270" w:right="499" w:bottom="1440" w:gutter="0" w:footer="0" w:header="0"/>
        </w:sectPr>
      </w:pPr>
    </w:p>
    <w:bookmarkStart w:id="691" w:name="page692"/>
    <w:bookmarkEnd w:id="691"/>
    <w:p>
      <w:pPr>
        <w:ind w:right="20" w:firstLine="419"/>
        <w:spacing w:after="0" w:line="272" w:lineRule="auto"/>
        <w:tabs>
          <w:tab w:leader="none" w:pos="678" w:val="left"/>
        </w:tabs>
        <w:numPr>
          <w:ilvl w:val="0"/>
          <w:numId w:val="9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instrument governing Indebtedness, Capital Stock or assets of a Person acquired by the Issuer or any of its Restricted Subsidiaries as in effect at the time of such acquisition (except to the extent such Indebtedness was incurred, or such Capital Stock was issued, in connection with or in contemplation of such acquisition), which encumbrance or restriction is not applicable to any Person, or the properties or assets of any Person, other than the Person, or the property or assets of the Person, so acquired and any amendments, modifications, restatements, renewals, increases, supplements, refundings, replacements or refinancings of those agreements;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amendments, modifications, restatements, renewals, increases, supplements, refundings, replacements or refinancings are, in the good faith judgment of the Issuer, not materially more restrictive, taken as a whole, with respect to such dividend and other payment restrictions than those contained in those agreements on the date of the acquisition;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case of Indebtedness, such Indebtedness was not prohibited by the terms of this Indenture;</w:t>
      </w:r>
    </w:p>
    <w:p>
      <w:pPr>
        <w:spacing w:after="0" w:line="63" w:lineRule="exact"/>
        <w:rPr>
          <w:rFonts w:ascii="Times New Roman" w:cs="Times New Roman" w:eastAsia="Times New Roman" w:hAnsi="Times New Roman"/>
          <w:sz w:val="17"/>
          <w:szCs w:val="17"/>
          <w:color w:val="auto"/>
        </w:rPr>
      </w:pPr>
    </w:p>
    <w:p>
      <w:pPr>
        <w:ind w:left="720" w:hanging="301"/>
        <w:spacing w:after="0"/>
        <w:tabs>
          <w:tab w:leader="none" w:pos="720"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non-assignment provisions in leases, contracts and licenses entered into in the ordinary course of business;</w:t>
      </w:r>
    </w:p>
    <w:p>
      <w:pPr>
        <w:spacing w:after="0" w:line="11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money obligations for property that impose restrictions on that property of the nature described in </w:t>
      </w:r>
      <w:r>
        <w:rPr>
          <w:rFonts w:ascii="Times New Roman" w:cs="Times New Roman" w:eastAsia="Times New Roman" w:hAnsi="Times New Roman"/>
          <w:sz w:val="18"/>
          <w:szCs w:val="18"/>
          <w:u w:val="single" w:color="auto"/>
          <w:color w:val="auto"/>
        </w:rPr>
        <w:t>Section 4.11(a)(iii)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419"/>
        <w:spacing w:after="0" w:line="282" w:lineRule="auto"/>
        <w:tabs>
          <w:tab w:leader="none" w:pos="828"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for the sale or other disposition of a Restricted Subsidiary that restricts distributions, transfers, loans or advances by that Restricted Subsidiary pending its sale or other disposition;</w:t>
      </w:r>
    </w:p>
    <w:p>
      <w:pPr>
        <w:spacing w:after="0" w:line="51" w:lineRule="exact"/>
        <w:rPr>
          <w:rFonts w:ascii="Times New Roman" w:cs="Times New Roman" w:eastAsia="Times New Roman" w:hAnsi="Times New Roman"/>
          <w:sz w:val="18"/>
          <w:szCs w:val="18"/>
          <w:color w:val="auto"/>
        </w:rPr>
      </w:pPr>
    </w:p>
    <w:p>
      <w:pPr>
        <w:ind w:right="400" w:firstLine="419"/>
        <w:spacing w:after="0" w:line="267" w:lineRule="auto"/>
        <w:tabs>
          <w:tab w:leader="none" w:pos="728"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agreement or instrument governing Refinancing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restrictions contained in the agreements or instruments governing such Refinancing Indebtedness are not, in the good faith judgment of the Issuer, materially more restrictive, taken as a whole, than those contained in the agreements governing the Indebtedness being refinanced;</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Liens securing Indebtedness that limit the right of the debtor to dispose of the assets subject to such Liens;</w:t>
      </w:r>
    </w:p>
    <w:p>
      <w:pPr>
        <w:spacing w:after="0" w:line="117" w:lineRule="exact"/>
        <w:rPr>
          <w:rFonts w:ascii="Times New Roman" w:cs="Times New Roman" w:eastAsia="Times New Roman" w:hAnsi="Times New Roman"/>
          <w:sz w:val="18"/>
          <w:szCs w:val="18"/>
          <w:color w:val="auto"/>
        </w:rPr>
      </w:pPr>
    </w:p>
    <w:p>
      <w:pPr>
        <w:ind w:right="400" w:firstLine="419"/>
        <w:spacing w:after="0" w:line="266" w:lineRule="auto"/>
        <w:tabs>
          <w:tab w:leader="none" w:pos="728"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joint venture agreements, asset sale agreements, sale and lease-back agreements, stock sale agreements, partnership agreements, Organizational Documents and other similar agreements entered into with the approval of the Board of Directors of the Issuer or otherwise in the ordinary course of business;</w:t>
      </w:r>
    </w:p>
    <w:p>
      <w:pPr>
        <w:spacing w:after="0" w:line="67"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9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cash or other deposits or net worth imposed by customers under contracts entered into in the ordinary course of business;</w:t>
      </w:r>
    </w:p>
    <w:p>
      <w:pPr>
        <w:spacing w:after="0" w:line="128" w:lineRule="exact"/>
        <w:rPr>
          <w:rFonts w:ascii="Times New Roman" w:cs="Times New Roman" w:eastAsia="Times New Roman" w:hAnsi="Times New Roman"/>
          <w:sz w:val="17"/>
          <w:szCs w:val="17"/>
          <w:color w:val="auto"/>
        </w:rPr>
      </w:pPr>
    </w:p>
    <w:p>
      <w:pPr>
        <w:ind w:left="820" w:hanging="401"/>
        <w:spacing w:after="0"/>
        <w:tabs>
          <w:tab w:leader="none" w:pos="820"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agreements or instruments which prohibit the payment or making of dividends or other distributions other than on a pro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rata basis;</w:t>
      </w:r>
    </w:p>
    <w:p>
      <w:pPr>
        <w:spacing w:after="0" w:line="96" w:lineRule="exact"/>
        <w:rPr>
          <w:rFonts w:ascii="Times New Roman" w:cs="Times New Roman" w:eastAsia="Times New Roman" w:hAnsi="Times New Roman"/>
          <w:sz w:val="18"/>
          <w:szCs w:val="18"/>
          <w:color w:val="auto"/>
        </w:rPr>
      </w:pPr>
    </w:p>
    <w:p>
      <w:pPr>
        <w:ind w:right="20" w:firstLine="419"/>
        <w:spacing w:after="0" w:line="284" w:lineRule="auto"/>
        <w:tabs>
          <w:tab w:leader="none" w:pos="818"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contractual requirements of a Securitization Special Purpose Entity in connection with a Qualified Securitization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restrictions apply only to such Securitization Special Purpose Entity;</w:t>
      </w:r>
    </w:p>
    <w:p>
      <w:pPr>
        <w:spacing w:after="0" w:line="9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0560"/>
          </w:cols>
          <w:pgMar w:left="880" w:top="270" w:right="459" w:bottom="1440" w:gutter="0" w:footer="0" w:header="0"/>
        </w:sectPr>
      </w:pPr>
    </w:p>
    <w:bookmarkStart w:id="692" w:name="page693"/>
    <w:bookmarkEnd w:id="692"/>
    <w:p>
      <w:pPr>
        <w:ind w:left="440" w:right="340" w:firstLine="419"/>
        <w:spacing w:after="0" w:line="272" w:lineRule="auto"/>
        <w:tabs>
          <w:tab w:leader="none" w:pos="1208" w:val="left"/>
        </w:tabs>
        <w:numPr>
          <w:ilvl w:val="1"/>
          <w:numId w:val="9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agreement or instrument governing Indebtedness or Preferred Stock permitted to be incurred subsequent to the Escrow Release Date pursuant to </w:t>
      </w:r>
      <w:r>
        <w:rPr>
          <w:rFonts w:ascii="Times New Roman" w:cs="Times New Roman" w:eastAsia="Times New Roman" w:hAnsi="Times New Roman"/>
          <w:sz w:val="17"/>
          <w:szCs w:val="17"/>
          <w:u w:val="single" w:color="auto"/>
          <w:color w:val="auto"/>
        </w:rPr>
        <w:t>Section 4.09</w:t>
      </w:r>
      <w:r>
        <w:rPr>
          <w:rFonts w:ascii="Times New Roman" w:cs="Times New Roman" w:eastAsia="Times New Roman" w:hAnsi="Times New Roman"/>
          <w:sz w:val="17"/>
          <w:szCs w:val="17"/>
          <w:color w:val="auto"/>
        </w:rPr>
        <w:t>, which encumbrances or restrictions (x) are, taken as a whole, in the good faith judgment of the Issuer, not materially more restrictive as concerning the Issuer or any Restricted Subsidiary than customary market terms for Indebtedness of such type,</w:t>
      </w:r>
    </w:p>
    <w:p>
      <w:pPr>
        <w:spacing w:after="0" w:line="1" w:lineRule="exact"/>
        <w:rPr>
          <w:rFonts w:ascii="Times New Roman" w:cs="Times New Roman" w:eastAsia="Times New Roman" w:hAnsi="Times New Roman"/>
          <w:sz w:val="17"/>
          <w:szCs w:val="17"/>
          <w:color w:val="auto"/>
        </w:rPr>
      </w:pPr>
    </w:p>
    <w:p>
      <w:pPr>
        <w:ind w:left="440" w:right="40" w:hanging="4"/>
        <w:spacing w:after="0" w:line="255" w:lineRule="auto"/>
        <w:tabs>
          <w:tab w:leader="none" w:pos="695" w:val="left"/>
        </w:tabs>
        <w:numPr>
          <w:ilvl w:val="0"/>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not, in the good faith judgment of the Issuer, materially more restrictive, taken as a whole, than those contained in this Indenture or (z) will not, in the good faith judgment of the Issuer, affect the ability of the Issuer to make anticipated payments of principal, interest or premium on the Notes;</w:t>
      </w:r>
    </w:p>
    <w:p>
      <w:pPr>
        <w:spacing w:after="0" w:line="77" w:lineRule="exact"/>
        <w:rPr>
          <w:rFonts w:ascii="Times New Roman" w:cs="Times New Roman" w:eastAsia="Times New Roman" w:hAnsi="Times New Roman"/>
          <w:sz w:val="18"/>
          <w:szCs w:val="18"/>
          <w:color w:val="auto"/>
        </w:rPr>
      </w:pPr>
    </w:p>
    <w:p>
      <w:pPr>
        <w:ind w:left="440" w:right="140" w:firstLine="419"/>
        <w:spacing w:after="0" w:line="258" w:lineRule="auto"/>
        <w:tabs>
          <w:tab w:leader="none" w:pos="1258" w:val="left"/>
        </w:tabs>
        <w:numPr>
          <w:ilvl w:val="1"/>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by reason of customary provisions restricting assignments, subletting, licensing, sublicensing or other transfers (including the granting of any Lien) contained in leases, subleases, licenses, sublicenses, joint venture agreements, asset sale agreements, trading, netting, operating, construction, service, supply, purchase, sale or other agreements entered into in the ordinary course of business (provided that such restrictions are limited to the relevant agreement and/or the property or assets secured by such Liens or the property or assets subject to such agreement);</w:t>
      </w:r>
    </w:p>
    <w:p>
      <w:pPr>
        <w:spacing w:after="0" w:line="75" w:lineRule="exact"/>
        <w:rPr>
          <w:rFonts w:ascii="Times New Roman" w:cs="Times New Roman" w:eastAsia="Times New Roman" w:hAnsi="Times New Roman"/>
          <w:sz w:val="18"/>
          <w:szCs w:val="18"/>
          <w:color w:val="auto"/>
        </w:rPr>
      </w:pPr>
    </w:p>
    <w:p>
      <w:pPr>
        <w:ind w:left="1300" w:hanging="441"/>
        <w:spacing w:after="0"/>
        <w:tabs>
          <w:tab w:leader="none" w:pos="1300" w:val="left"/>
        </w:tabs>
        <w:numPr>
          <w:ilvl w:val="1"/>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documents governing Indebtedness of any Non-Guarantor Subsidiary not prohibited by this Indenture;</w:t>
      </w:r>
    </w:p>
    <w:p>
      <w:pPr>
        <w:spacing w:after="0" w:line="117" w:lineRule="exact"/>
        <w:rPr>
          <w:rFonts w:ascii="Times New Roman" w:cs="Times New Roman" w:eastAsia="Times New Roman" w:hAnsi="Times New Roman"/>
          <w:sz w:val="18"/>
          <w:szCs w:val="18"/>
          <w:color w:val="auto"/>
        </w:rPr>
      </w:pPr>
    </w:p>
    <w:p>
      <w:pPr>
        <w:jc w:val="both"/>
        <w:ind w:left="440" w:right="320" w:firstLine="419"/>
        <w:spacing w:after="0" w:line="266" w:lineRule="auto"/>
        <w:tabs>
          <w:tab w:leader="none" w:pos="1358" w:val="left"/>
        </w:tabs>
        <w:numPr>
          <w:ilvl w:val="1"/>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restricting the granting of a security interest in IP Rights contained in licenses, sublicenses or cross-licenses of such IP Rights, which licenses, sublicenses and cross-licenses were entered into in the ordinary course of business (in which case such restriction shall relate only to such IP Rights);</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258" w:val="left"/>
        </w:tabs>
        <w:numPr>
          <w:ilvl w:val="1"/>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in any Hedge Agreement, any agreement relating to Banking Services and/or any agreement relating to Permitted Treasury Arrangements;</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208" w:val="left"/>
        </w:tabs>
        <w:numPr>
          <w:ilvl w:val="1"/>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restrictions or encumbrances which would (in the judgment of the Issuer) not reasonably be expected to result in a material adverse effect on the Issuer’s ability to make payments on the Notes; and</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258" w:val="left"/>
        </w:tabs>
        <w:numPr>
          <w:ilvl w:val="1"/>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in secured Indebtedness otherwise permitted to be incurred pursuant to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that limit the right of the debtor to dispose of the assets securing such Indebtedness.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4.12 </w:t>
      </w:r>
      <w:r>
        <w:rPr>
          <w:rFonts w:ascii="Times New Roman" w:cs="Times New Roman" w:eastAsia="Times New Roman" w:hAnsi="Times New Roman"/>
          <w:sz w:val="18"/>
          <w:szCs w:val="18"/>
          <w:i w:val="1"/>
          <w:iCs w:val="1"/>
          <w:color w:val="auto"/>
        </w:rPr>
        <w:t>Transactions with Affiliates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6" w:lineRule="auto"/>
        <w:tabs>
          <w:tab w:leader="none" w:pos="685"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and shall not permit any of its Restricted Subsidiaries to, make any payment to, or sell, lease, license, transfer or otherwise dispose of any of its properties or assets to, or purchase any property or assets from, or enter into or make or amend any transaction, contract, agreement, understanding, loan, advance or guarantee with, or for the benefit of, any Affiliate (each, an “</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involving aggregate payments or consideration in excess of the greater of (a) $225.0 million and (b) 10.0% of LTM Consolidated Adjusted EBITDA, unless the Affiliate Transaction is on terms that are not substantially less favorable to the Issuer or such Restricted Subsidiary, as the case may be (as determined by the Issuer in good faith), than those that might be obtained at the time in a comparable arm’s-length transaction from a Person who is not an Affiliate.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693" w:name="page694"/>
    <w:bookmarkEnd w:id="693"/>
    <w:p>
      <w:pPr>
        <w:ind w:left="700" w:hanging="264"/>
        <w:spacing w:after="0"/>
        <w:tabs>
          <w:tab w:leader="none" w:pos="700"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following items shall be deemed not to be Affiliate Transactions and, therefore, will not be subject to the provisions of </w:t>
      </w:r>
      <w:r>
        <w:rPr>
          <w:rFonts w:ascii="Times New Roman" w:cs="Times New Roman" w:eastAsia="Times New Roman" w:hAnsi="Times New Roman"/>
          <w:sz w:val="18"/>
          <w:szCs w:val="18"/>
          <w:u w:val="single" w:color="auto"/>
          <w:color w:val="auto"/>
        </w:rPr>
        <w:t>Section 4.12(a)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hereof:</w:t>
      </w:r>
    </w:p>
    <w:p>
      <w:pPr>
        <w:spacing w:after="0" w:line="98"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78" w:val="left"/>
        </w:tabs>
        <w:numPr>
          <w:ilvl w:val="1"/>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Issuer and/or one or more Restricted Subsidiaries and/or Joint Ventures (or any entity that becomes a Restricted Subsidiary or Joint Venture as a result of such transaction) to the extent not otherwise prohibited by this Indenture;</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66" w:lineRule="auto"/>
        <w:tabs>
          <w:tab w:leader="none" w:pos="1128" w:val="left"/>
        </w:tabs>
        <w:numPr>
          <w:ilvl w:val="1"/>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grant of securities or other payments, awards or grants in cash, securities or otherwise pursuant to, or the funding of, employment arrangements, stock options and stock ownership plans approved by the Board of Directors of the Issuer or any Restricted Subsidiary;</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78" w:val="left"/>
        </w:tabs>
        <w:numPr>
          <w:ilvl w:val="1"/>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collective bargaining, employment, indemnification, expense reimbursement or severance agreement or compensatory (including profit sharing) arrangement entered into by the Issuer or any Restricted Subsidiary with any Permitted Payee, (B) any subscription agreement or similar agreement pertaining to the repurchase of Capital Stock pursuant to put/call rights or similar rights with any Permitted Payee and (C) payments or other transactions pursuant to any management equity plan, employee compensation, benefit plan, stock option plan or arrangement, equity holder arrangement, supplemental executive retirement benefit plan, any health, disability or similar insurance plan, or any employment contract or arrangement which covers any Permitted Payee and payments pursuant thereto;</w:t>
      </w:r>
    </w:p>
    <w:p>
      <w:pPr>
        <w:spacing w:after="0" w:line="79"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not prohibited under this Indenture, including: (A)(1) transactions permitted by clauses (v), (xxii) and (xxv) of</w:t>
      </w:r>
    </w:p>
    <w:p>
      <w:pPr>
        <w:spacing w:after="0" w:line="27"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4.09(b)</w:t>
      </w:r>
      <w:r>
        <w:rPr>
          <w:rFonts w:ascii="Times New Roman" w:cs="Times New Roman" w:eastAsia="Times New Roman" w:hAnsi="Times New Roman"/>
          <w:sz w:val="18"/>
          <w:szCs w:val="18"/>
          <w:color w:val="auto"/>
        </w:rPr>
        <w:t xml:space="preserve">, (2) transactions permitted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(3) any disposition not prohibited by this Indenture, (4) transactions permitted under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and (5) any Permitted Investment, (B) any Permitted Reorganization, and any transaction for the forming of a holding company or reincorporation of the Issuer or any Restricted Subsidiary in a new jurisdiction, (C) issuances of Capital Stock and issuances and incurrences of Indebtedness not restricted by this Indenture and payments pursuant thereto and (D) any customary transaction with (including any Investment in or relating to) any Receivables Entity effected as part of any receivables facility;</w:t>
      </w:r>
    </w:p>
    <w:p>
      <w:pPr>
        <w:spacing w:after="0" w:line="79" w:lineRule="exact"/>
        <w:rPr>
          <w:sz w:val="20"/>
          <w:szCs w:val="20"/>
          <w:color w:val="auto"/>
        </w:rPr>
      </w:pPr>
    </w:p>
    <w:p>
      <w:pPr>
        <w:ind w:left="440" w:right="100" w:firstLine="419"/>
        <w:spacing w:after="0" w:line="261" w:lineRule="auto"/>
        <w:tabs>
          <w:tab w:leader="none" w:pos="1118" w:val="left"/>
        </w:tabs>
        <w:numPr>
          <w:ilvl w:val="0"/>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or performance by the Issuer or any Restricted Subsidiary of their obligations under the terms of, any transaction or agreement in existence on the Escrow Release Date, and any amendment, modification or extension thereof to the extent such amendment, modification or extension, taken as a whole, is not materially (A) adverse to the Holders of the Notes or (B) more disadvantageous to the Holders of the Notes than the relevant transaction in existence on the Escrow Release Date;</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68" w:val="left"/>
        </w:tabs>
        <w:numPr>
          <w:ilvl w:val="0"/>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transactions with a Person that is an Affiliate of the Issuer solely because the Issuer or any Restricted Subsidiary owns, directly or indirectly through a Restricted Subsidiary, Capital Stock in, or controls, such Person, (B) transactions with any Person that is an Affiliate solely because a director or officer of such Person is a director or officer of the Issuer or any Restricted Subsidiary and (C) transactions with Affiliates solely in their capacity as Holders of Indebtedness or Capital Stock of the Issuer or any of its Restricted Subsidiaries, where such Affiliates receive the same consideration as non-Affiliates in such transactions;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694" w:name="page695"/>
    <w:bookmarkEnd w:id="694"/>
    <w:p>
      <w:pPr>
        <w:ind w:left="780" w:hanging="361"/>
        <w:spacing w:after="0"/>
        <w:tabs>
          <w:tab w:leader="none" w:pos="780" w:val="left"/>
        </w:tabs>
        <w:numPr>
          <w:ilvl w:val="0"/>
          <w:numId w:val="9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or transactions approved by a majority of the disinterested members of the Board of Directors of the Issuer at such time;</w:t>
      </w:r>
    </w:p>
    <w:p>
      <w:pPr>
        <w:spacing w:after="0" w:line="128" w:lineRule="exact"/>
        <w:rPr>
          <w:rFonts w:ascii="Times New Roman" w:cs="Times New Roman" w:eastAsia="Times New Roman" w:hAnsi="Times New Roman"/>
          <w:sz w:val="17"/>
          <w:szCs w:val="17"/>
          <w:color w:val="auto"/>
        </w:rPr>
      </w:pPr>
    </w:p>
    <w:p>
      <w:pPr>
        <w:ind w:left="820" w:hanging="401"/>
        <w:spacing w:after="0"/>
        <w:tabs>
          <w:tab w:leader="none" w:pos="820"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not prohibited by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20" w:firstLine="419"/>
        <w:spacing w:after="0" w:line="282" w:lineRule="auto"/>
        <w:tabs>
          <w:tab w:leader="none" w:pos="728"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other transactions among the Issuer, the Guarantors and their Subsidiaries, in each case to the extent not prohibited by this Indenture;</w:t>
      </w:r>
    </w:p>
    <w:p>
      <w:pPr>
        <w:spacing w:after="0" w:line="53" w:lineRule="exact"/>
        <w:rPr>
          <w:rFonts w:ascii="Times New Roman" w:cs="Times New Roman" w:eastAsia="Times New Roman" w:hAnsi="Times New Roman"/>
          <w:sz w:val="18"/>
          <w:szCs w:val="18"/>
          <w:color w:val="auto"/>
        </w:rPr>
      </w:pPr>
    </w:p>
    <w:p>
      <w:pPr>
        <w:ind w:right="400" w:firstLine="419"/>
        <w:spacing w:after="0" w:line="261" w:lineRule="auto"/>
        <w:tabs>
          <w:tab w:leader="none" w:pos="678"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payment of customary compensation and fees and reasonable out-of-pocket costs to, and indemnities provided on behalf of, current, former and future members of the Board of Directors, officers, employees, members of management, managers, consultants and independent contractors of the Issuer or any of its Restricted Subsidiaries; or (B) issuances or sales of Qualified Capital Stock of the Issuer to Affiliates or employees of or consultants to the Issuer;</w:t>
      </w:r>
    </w:p>
    <w:p>
      <w:pPr>
        <w:spacing w:after="0" w:line="71" w:lineRule="exact"/>
        <w:rPr>
          <w:rFonts w:ascii="Times New Roman" w:cs="Times New Roman" w:eastAsia="Times New Roman" w:hAnsi="Times New Roman"/>
          <w:sz w:val="18"/>
          <w:szCs w:val="18"/>
          <w:color w:val="auto"/>
        </w:rPr>
      </w:pPr>
    </w:p>
    <w:p>
      <w:pPr>
        <w:ind w:right="80" w:firstLine="419"/>
        <w:spacing w:after="0" w:line="261" w:lineRule="auto"/>
        <w:tabs>
          <w:tab w:leader="none" w:pos="728"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clients, suppliers, licensees, Joint Ventures, purchasers or sellers of goods or services or providers of employees or other labor entered into in the ordinary course of business, which are (A) fair to the Issuer or the applicable Restricted Subsidiary in the good faith determination of the Issuer or (B) on terms not substantially less favorable to the Issuer and/or its applicable Restricted Subsidiary as might reasonably be obtained from a Person other than an Affiliate;</w:t>
      </w:r>
    </w:p>
    <w:p>
      <w:pPr>
        <w:spacing w:after="0" w:line="71" w:lineRule="exact"/>
        <w:rPr>
          <w:rFonts w:ascii="Times New Roman" w:cs="Times New Roman" w:eastAsia="Times New Roman" w:hAnsi="Times New Roman"/>
          <w:sz w:val="18"/>
          <w:szCs w:val="18"/>
          <w:color w:val="auto"/>
        </w:rPr>
      </w:pPr>
    </w:p>
    <w:p>
      <w:pPr>
        <w:ind w:right="300" w:firstLine="419"/>
        <w:spacing w:after="0" w:line="266" w:lineRule="auto"/>
        <w:tabs>
          <w:tab w:leader="none" w:pos="778"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related to registration rights and indemnities provided to shareholders under any shareholder agreement and the existence or performance by the Issuer or any Restricted Subsidiary of its obligations under any such registration rights or shareholder agreement;</w:t>
      </w:r>
    </w:p>
    <w:p>
      <w:pPr>
        <w:spacing w:after="0" w:line="67" w:lineRule="exact"/>
        <w:rPr>
          <w:rFonts w:ascii="Times New Roman" w:cs="Times New Roman" w:eastAsia="Times New Roman" w:hAnsi="Times New Roman"/>
          <w:sz w:val="18"/>
          <w:szCs w:val="18"/>
          <w:color w:val="auto"/>
        </w:rPr>
      </w:pPr>
    </w:p>
    <w:p>
      <w:pPr>
        <w:jc w:val="both"/>
        <w:ind w:right="20" w:firstLine="419"/>
        <w:spacing w:after="0" w:line="281" w:lineRule="auto"/>
        <w:tabs>
          <w:tab w:leader="none" w:pos="828" w:val="left"/>
        </w:tabs>
        <w:numPr>
          <w:ilvl w:val="0"/>
          <w:numId w:val="9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in respect of which the Issuer or any Restricted Subsidiary delivers to the Trustee a letter from an accounting, appraisal or investment banking firm of nationally recognized standing stating that such transaction is fair to such Issuer or such Restricted Subsidiary from a financial point of view or stating that the terms, when taken as a whole, are not substantially less favorable to such Issuer or the applicable Restricted Subsidiary than might be obtained at the time in a comparable arm’s length transaction from a Person who is not an Affiliate;</w:t>
      </w:r>
    </w:p>
    <w:p>
      <w:pPr>
        <w:spacing w:after="0" w:line="56" w:lineRule="exact"/>
        <w:rPr>
          <w:rFonts w:ascii="Times New Roman" w:cs="Times New Roman" w:eastAsia="Times New Roman" w:hAnsi="Times New Roman"/>
          <w:sz w:val="17"/>
          <w:szCs w:val="17"/>
          <w:color w:val="auto"/>
        </w:rPr>
      </w:pPr>
    </w:p>
    <w:p>
      <w:pPr>
        <w:ind w:right="680" w:firstLine="419"/>
        <w:spacing w:after="0" w:line="282" w:lineRule="auto"/>
        <w:tabs>
          <w:tab w:leader="none" w:pos="818"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 Unrestricted Subsidiary in the ordinary course of business (including, any cash management or administrative activities related thereto);</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768" w:val="left"/>
        </w:tabs>
        <w:numPr>
          <w:ilvl w:val="0"/>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entered into between the Issuer or any Restricted Subsidiary, as lessee, and any Affiliate of the Issuer, as lessor, and any transaction(s) pursuant to that lease;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560"/>
          </w:cols>
          <w:pgMar w:left="880" w:top="270" w:right="459" w:bottom="1440" w:gutter="0" w:footer="0" w:header="0"/>
        </w:sectPr>
      </w:pPr>
    </w:p>
    <w:bookmarkStart w:id="695" w:name="page696"/>
    <w:bookmarkEnd w:id="695"/>
    <w:p>
      <w:pPr>
        <w:ind w:left="824" w:hanging="401"/>
        <w:spacing w:after="0"/>
        <w:tabs>
          <w:tab w:leader="none" w:pos="824"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undertaken in the ordinary course of business pursuant to membership in a purchasing consortium;</w:t>
      </w:r>
    </w:p>
    <w:p>
      <w:pPr>
        <w:spacing w:after="0" w:line="117" w:lineRule="exact"/>
        <w:rPr>
          <w:rFonts w:ascii="Times New Roman" w:cs="Times New Roman" w:eastAsia="Times New Roman" w:hAnsi="Times New Roman"/>
          <w:sz w:val="18"/>
          <w:szCs w:val="18"/>
          <w:color w:val="auto"/>
        </w:rPr>
      </w:pPr>
    </w:p>
    <w:p>
      <w:pPr>
        <w:ind w:left="4" w:right="60" w:firstLine="419"/>
        <w:spacing w:after="0" w:line="256" w:lineRule="auto"/>
        <w:tabs>
          <w:tab w:leader="none" w:pos="871"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or agreements in contemplation of, or to effect or facilitate, the Separation (including the Restructuring, the Issuer Distribution, the Distribution, the Special Cash Payment, the payment of Transaction Costs and any other transactions, arrangements and agreements described or referred to in, or contemplated by, the Separation Agreements) or otherwise pursuant to Separation Agreements or any amendment, modification or supplement thereto or replacement thereof, as long as such agreement or arrangement, as so amended, modified, supplemented or replaced is not, in the good faith judgment of the Issuer, substantially less favorable to the Issuer and its Restricted Subsidiaries, taken as a whole, than as set forth in the Form 10 and the Separation Agreements;</w:t>
      </w:r>
    </w:p>
    <w:p>
      <w:pPr>
        <w:spacing w:after="0" w:line="79" w:lineRule="exact"/>
        <w:rPr>
          <w:rFonts w:ascii="Times New Roman" w:cs="Times New Roman" w:eastAsia="Times New Roman" w:hAnsi="Times New Roman"/>
          <w:sz w:val="18"/>
          <w:szCs w:val="18"/>
          <w:color w:val="auto"/>
        </w:rPr>
      </w:pPr>
    </w:p>
    <w:p>
      <w:pPr>
        <w:ind w:left="924" w:hanging="501"/>
        <w:spacing w:after="0"/>
        <w:tabs>
          <w:tab w:leader="none" w:pos="924"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affected as part of a Qualified Securitization Transaction;</w:t>
      </w:r>
    </w:p>
    <w:p>
      <w:pPr>
        <w:spacing w:after="0" w:line="117"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821"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agreement or benefit or similar plan entered into by the Issuer or any of its Restricted Subsidiaries in the ordinary course of business of the Issuer or such Restricted Subsidiary; and</w:t>
      </w:r>
    </w:p>
    <w:p>
      <w:pPr>
        <w:spacing w:after="0" w:line="53"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771"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licensing, sublicensing or contribution of any IP Rights for operational, restructuring, tax planning or other similar purpose to any Restricted Subsidiary.</w:t>
      </w:r>
    </w:p>
    <w:p>
      <w:pPr>
        <w:spacing w:after="0" w:line="16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i w:val="1"/>
          <w:iCs w:val="1"/>
          <w:color w:val="auto"/>
        </w:rPr>
        <w:t>Asset Sales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44" w:hanging="244"/>
        <w:spacing w:after="0"/>
        <w:tabs>
          <w:tab w:leader="none" w:pos="244"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and shall not permit any of its Restricted Subsidiaries to, consummate an Asset Sale unless:</w:t>
      </w:r>
    </w:p>
    <w:p>
      <w:pPr>
        <w:spacing w:after="0" w:line="117"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641" w:val="left"/>
        </w:tabs>
        <w:numPr>
          <w:ilvl w:val="1"/>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its Restricted Subsidiary, as the case may be) receives consideration at the time of the Asset Sale at least equal to the Fair Market Value of the assets or Equity Interests issued or sold or otherwise disposed of; and</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 with respect to (1) any single Asset Sale of assets having a Fair Market Value not in excess of the greater of (A)</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$112.5 million and (B) 5.0% of LTM Consolidated Adjusted EBITDA or (2) any other Asset Sales of assets having a Fair Market Value not in excess of the greater of (A) $337.5 million and (B) 15.0% of LTM Consolidated Adjusted EBITDA for all such transactions on an aggregate basis in any fiscal year and (ii) in the case of a Permitted Asset Swap, at least 75% of the consideration received in the Asset Sale, together with all other Asset Sales since the Escrow Release Date (on a cumulative basis), by the Issuer or such Restricted Subsidiary is in the form of Cash or Cash Equivalents. For purposes of this provision, each of the following will be deemed to be cash:</w:t>
      </w:r>
    </w:p>
    <w:p>
      <w:pPr>
        <w:spacing w:after="0" w:line="79" w:lineRule="exact"/>
        <w:rPr>
          <w:sz w:val="20"/>
          <w:szCs w:val="20"/>
          <w:color w:val="auto"/>
        </w:rPr>
      </w:pPr>
    </w:p>
    <w:p>
      <w:pPr>
        <w:ind w:left="544" w:firstLine="408"/>
        <w:spacing w:after="0" w:line="266" w:lineRule="auto"/>
        <w:tabs>
          <w:tab w:leader="none" w:pos="1239" w:val="left"/>
        </w:tabs>
        <w:numPr>
          <w:ilvl w:val="0"/>
          <w:numId w:val="9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Indebtedness or other liabilities of the Issuer or any Restricted Subsidiary, as shown on the most recent consolidated balance sheet of the Issuer (or in the notes thereto), or if the incurrence of such Indebtedness or other liability took place after the date of such balance sheet, that would have been shown on</w:t>
      </w:r>
    </w:p>
    <w:p>
      <w:pPr>
        <w:spacing w:after="0" w:line="108"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0504"/>
          </w:cols>
          <w:pgMar w:left="876" w:top="270" w:right="519" w:bottom="1440" w:gutter="0" w:footer="0" w:header="0"/>
        </w:sectPr>
      </w:pPr>
    </w:p>
    <w:bookmarkStart w:id="696" w:name="page697"/>
    <w:bookmarkEnd w:id="696"/>
    <w:p>
      <w:pPr>
        <w:ind w:left="980"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balance sheet or in the notes thereto, as determined in good faith by the Issuer (other than Indebtedness or other liabilities that are expressly subordinated in right of payment to the Notes and the Note Guarantees or that are owed to the Issuer or any Restricted Subsidiary) (i) that is assumed by the transferee of any such assets pursuant to an agreement that releases the Issuer or such Restricted Subsidiary from further liability, (ii) that is discharged by the transferee in a transaction pursuant to which neither the Issuer nor any Restricted Subsidiary has any liability following such Asset Sale or (iii) that is otherwise cancelled or terminated in connection with such Asset Sale;</w:t>
      </w:r>
    </w:p>
    <w:p>
      <w:pPr>
        <w:spacing w:after="0" w:line="79" w:lineRule="exact"/>
        <w:rPr>
          <w:sz w:val="20"/>
          <w:szCs w:val="20"/>
          <w:color w:val="auto"/>
        </w:rPr>
      </w:pPr>
    </w:p>
    <w:p>
      <w:pPr>
        <w:ind w:left="1680" w:hanging="292"/>
        <w:spacing w:after="0"/>
        <w:tabs>
          <w:tab w:leader="none" w:pos="1680" w:val="left"/>
        </w:tabs>
        <w:numPr>
          <w:ilvl w:val="2"/>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notes, other obligations or assets received by the Issuer or any Restricted Subsidiary from such transferee</w:t>
      </w:r>
    </w:p>
    <w:p>
      <w:pPr>
        <w:spacing w:after="0" w:line="27" w:lineRule="exact"/>
        <w:rPr>
          <w:rFonts w:ascii="Times New Roman" w:cs="Times New Roman" w:eastAsia="Times New Roman" w:hAnsi="Times New Roman"/>
          <w:sz w:val="18"/>
          <w:szCs w:val="18"/>
          <w:color w:val="auto"/>
        </w:rPr>
      </w:pPr>
    </w:p>
    <w:p>
      <w:pPr>
        <w:ind w:left="98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earn-outs or similar obligations) that are converted by the Issuer or such Restricted Subsidiary into Cash or Cash Equivalents, or by their terms are required to be satisfied for Cash or Cash Equivalents, within 180 days after the consummation of the applicable Asset Sale, to the extent of the Cash or Cash Equivalents received in that conversion;</w:t>
      </w:r>
    </w:p>
    <w:p>
      <w:pPr>
        <w:spacing w:after="0" w:line="77"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66" w:val="left"/>
        </w:tabs>
        <w:numPr>
          <w:ilvl w:val="2"/>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having an aggregate Fair Market Value that, when taken together with all other Designated Non-Cash Consideration previously received and then outstanding, does not exceed at the time of the receipt of such Designated Non-Cash Consideration (with the Fair Market Value of each item of Designated Non-Cash Consideration being measured at the time received and without giving effect to subsequent changes in value) the greater of (a) $1,687.5 million and (b) 75.0% of LTM Consolidated Adjusted EBITDA;</w:t>
      </w:r>
    </w:p>
    <w:p>
      <w:pPr>
        <w:spacing w:after="0" w:line="75" w:lineRule="exact"/>
        <w:rPr>
          <w:rFonts w:ascii="Times New Roman" w:cs="Times New Roman" w:eastAsia="Times New Roman" w:hAnsi="Times New Roman"/>
          <w:sz w:val="18"/>
          <w:szCs w:val="18"/>
          <w:color w:val="auto"/>
        </w:rPr>
      </w:pPr>
    </w:p>
    <w:p>
      <w:pPr>
        <w:ind w:left="980" w:right="180" w:firstLine="408"/>
        <w:spacing w:after="0" w:line="282" w:lineRule="auto"/>
        <w:tabs>
          <w:tab w:leader="none" w:pos="1676" w:val="left"/>
        </w:tabs>
        <w:numPr>
          <w:ilvl w:val="2"/>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payments to be made in Cash or Cash Equivalents owed to the Issuer or a Restricted Subsidiary in the form of licensing, royalty, earnout or milestone payment (or similar deferred cash payments);</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trade-in value applied to the purchase price of any replacement assets acquired in connection with such Asset</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 and</w:t>
      </w:r>
    </w:p>
    <w:p>
      <w:pPr>
        <w:spacing w:after="0" w:line="98"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46" w:val="left"/>
        </w:tabs>
        <w:numPr>
          <w:ilvl w:val="2"/>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Capital Stock, asset, property or capital or other expenditure of the kind referred to in clauses (ii) through (vi) of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18 months after the receipt of any Net Proceeds from an Asset Sale, the Issuer or the applicable Restricted Subsidiary may apply an amount up to the Asset Sale Prepayment Percentage of the Net Proceeds from such Asset Sale:</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078" w:val="left"/>
        </w:tabs>
        <w:numPr>
          <w:ilvl w:val="1"/>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repay (x) Indebtedness and other Obligations under the Credit Agreements and, if the Indebtedness repaid under the Credit Agreements is revolving credit Indebtedness, to correspondingly reduce commitments with respect thereto, (y) Indebtedness and other Obligations under the Notes or any Pari Passu Indebtedness (other than the Credit Agreements) and, if the Pari Passu Indebtedness being repaid is revolving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000"/>
          </w:cols>
          <w:pgMar w:left="440" w:top="270" w:right="459" w:bottom="1440" w:gutter="0" w:footer="0" w:header="0"/>
        </w:sectPr>
      </w:pPr>
    </w:p>
    <w:bookmarkStart w:id="697" w:name="page698"/>
    <w:bookmarkEnd w:id="697"/>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Indebtedness, to correspondingly reduce commitments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Net Proceeds are applied to repay such Pari Passu Indebtedness under this subclause (y), the Issuer shall equally and ratably reduce obligations under the Notes in accordance with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hereof, through privately negotiated transactions or open market purchases (in each case,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are at or above 100% of the principal amount thereof), or by making an offer (in accordance with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to all Holders to purchase, at a purchase price equal to 100% of the principal amount thereof, plus accrued and unpaid interest, the pro rata principal amount of Notes) or (z) (I) other Indebtedness of a Non-Guarantor Subsidiary, so long as the relevant assets were assets of such Subsidiary or (II) if the assets sold were not Collateral, any Indebtedness (other than subordinated debt) of the Issuer or any Restricted Subsidiary;</w:t>
      </w:r>
    </w:p>
    <w:p>
      <w:pPr>
        <w:spacing w:after="0" w:line="77" w:lineRule="exact"/>
        <w:rPr>
          <w:sz w:val="20"/>
          <w:szCs w:val="20"/>
          <w:color w:val="auto"/>
        </w:rPr>
      </w:pPr>
    </w:p>
    <w:p>
      <w:pPr>
        <w:ind w:left="440" w:right="60" w:firstLine="419"/>
        <w:spacing w:after="0" w:line="282" w:lineRule="auto"/>
        <w:tabs>
          <w:tab w:leader="none" w:pos="1128"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all or substantially all of the assets of, or a majority of the Voting Stock of, another Permitted Business or the minority interest of any Permitted Business;</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payments with respect to the acquisition or license of intellectual property rights that are used in a Permitted Business;</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 capital expenditure in or that is useful in a Permitted Business;</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retire Notes (x)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hereof, (y) through privately negotiated transactions or open market purchases or (z) by making an offer to purchase Notes in accordance with </w:t>
      </w:r>
      <w:r>
        <w:rPr>
          <w:rFonts w:ascii="Times New Roman" w:cs="Times New Roman" w:eastAsia="Times New Roman" w:hAnsi="Times New Roman"/>
          <w:sz w:val="18"/>
          <w:szCs w:val="18"/>
          <w:u w:val="single" w:color="auto"/>
          <w:color w:val="auto"/>
        </w:rPr>
        <w:t>Section 4.13(c)</w:t>
      </w:r>
      <w:r>
        <w:rPr>
          <w:rFonts w:ascii="Times New Roman" w:cs="Times New Roman" w:eastAsia="Times New Roman" w:hAnsi="Times New Roman"/>
          <w:sz w:val="18"/>
          <w:szCs w:val="18"/>
          <w:color w:val="auto"/>
        </w:rPr>
        <w:t>; or</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acquire other assets (other than Cash and Cash Equivalents) that are used or useful in a Permitted Business;</w:t>
      </w:r>
    </w:p>
    <w:p>
      <w:pPr>
        <w:spacing w:after="0" w:line="223"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a binding commitment to apply any Net Proceeds from an Asset Sale as set forth in clauses (ii), (iii), (iv) or (vi)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treated as a permitted application of the Asset Sale Prepayment Percentage of such Net Proceeds from the date of such commitment so long as the Issuer or any of its Restricted Subsidiaries enters into such commitment with the good faith expectation that the Asset Sale Prepayment Percentage of such Net Proceeds will be applied to satisfy such commitment within six months of the end of such 18-month period (an “</w:t>
      </w:r>
      <w:r>
        <w:rPr>
          <w:rFonts w:ascii="Times New Roman" w:cs="Times New Roman" w:eastAsia="Times New Roman" w:hAnsi="Times New Roman"/>
          <w:sz w:val="18"/>
          <w:szCs w:val="18"/>
          <w:b w:val="1"/>
          <w:bCs w:val="1"/>
          <w:color w:val="auto"/>
        </w:rPr>
        <w:t>Acceptable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and, in the event any Acceptable Commitment is later cancelled or terminated for any reason before the Asset Sale Prepayment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Percentage of such Net Proceeds are applied in connection therewith, then the Issuer or such Restricted Subsidiary shall be permitted to apply the Asset Sale Prepayment Percentage of such Net Proceeds in any manner set forth above before the expiration of such six-month period and, in the event the Issuer or such Restricted Subsidiary fails to do so, then the Asset Sale Prepayment Percentage of such Net Proceeds shall constitute Excess Proceeds (as defined below) and (2) the Issuer may elect to deem certain expenditures (including Investments) that would otherwise be permissible reinvestments but that occurred prior to the receipt of the applicable Net Proceeds as having been reinvested in accordance with the provisions of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but only to the extent such deemed expenditure (or Investment) shall have been made no earlier than the earlier of the execution of a definitive agreement with respect to such Asset Sale or the consummation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020"/>
          </w:cols>
          <w:pgMar w:left="440" w:top="268" w:right="439" w:bottom="1440" w:gutter="0" w:footer="0" w:header="0"/>
        </w:sectPr>
      </w:pPr>
    </w:p>
    <w:bookmarkStart w:id="698" w:name="page699"/>
    <w:bookmarkEnd w:id="698"/>
    <w:p>
      <w:pPr>
        <w:ind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to the contrary, (x) the Issuer shall not be required to apply any amount that would otherwise be required to be applied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to the extent that the Asset Sale is consummated by any Foreign Subsidiary for so long as the Issuer determines in good faith that the repatriation to the Issuer of any such amount would be prohibited or delayed (beyond the time period during which such application is otherwise required to be made pursuant hereto) under any Requirement of Law or conflict with the fiduciary duties of such Foreign Subsidiary’s directors, or result in, or could reasonably be expected to result in, a risk of personal or criminal liability for any officer, director, employee, manager, member of management or consultant of such Foreign Subsidiary (including on account of financial assistance, corporate benefit, thin capitalization, capital maintenance or similar considerations); it being understood and agreed that (i) solely within 18 months following the event giving rise to the relevant Net Proceeds, the Issuer shall take all commercially reasonable actions required by applicable Requirements of Law to permit such repatriation and (ii) if such repatriation is permitted under the applicable Requirement of Law and, to the extent applicable, would no longer conflict with the fiduciary duties of such director, or result in, or be reasonably expected to result in, a risk of personal or criminal liability for the Persons described above, in either case, within 18 months following the event giving rise to the relevant Net Proceeds, the relevant Foreign Subsidiary will promptly repatriate the relevant Net Proceeds, and the repatriated Net Proceeds will be promptly (and in any event not later than five Business Days after such repatriation) applied (net of additional Taxes payable or reserved against such Net Proceeds, as a result thereof, by the Issuer or the Issuer’s Subsidiaries, and any Affiliates or indirect or direct equity owners of the foregoing) as required by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(without giving regard to this paragraph), or (y) the Issuer shall not be required to apply any amount that would otherwise be required to be applied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to the extent that the relevant Net Proceeds are generated by any Joint Venture (including any Subsidiary that is not a Wholly-Owned Subsidiary) or the relevant Net Proceeds are received by any Joint Venture (including any Subsidiary that is not a Wholly-Owned Subsidiary) for so long as the Issuer determines in good faith that the distribution to the Issuer of such Net Proceeds would be prohibited under any applicable (I) Organizational Documents (or any relevant shareholders’ or similar agreement) governing such Joint Venture, (II) agreement or instrument (including a financing arrangement) entered into with a Person other than the Issuer or a Restricted Subsidiary, or (III) judgment, decree, order, statute or governmental rule or regulation; it being understood that if the relevant prohibition ceases to exist within the 18-month period following the event giving rise to the relevant Net Proceeds, the relevant Joint Venture will promptly distribute the Net Proceeds and the Net Proceeds will be promptly (and in any event not later than ten Business Days after such distribution) applied (net of additional Taxes payable or reserved against as a result thereof) as required by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In addition, if the Issuer determines in good faith that the repatriation (or other intercompany distribution) to the Issuer of any amounts required to be applied by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would result in material and adverse tax consequences for the Issuer, any Guarantor or any of their respective subsidiaries, Affiliates or indirect or direct equity owners, taking into account any foreign tax credit or benefit actually realized in connection with such repatriation (such amount, a “</w:t>
      </w:r>
      <w:r>
        <w:rPr>
          <w:rFonts w:ascii="Times New Roman" w:cs="Times New Roman" w:eastAsia="Times New Roman" w:hAnsi="Times New Roman"/>
          <w:sz w:val="18"/>
          <w:szCs w:val="18"/>
          <w:b w:val="1"/>
          <w:bCs w:val="1"/>
          <w:color w:val="auto"/>
        </w:rPr>
        <w:t>Restricted Amount</w:t>
      </w:r>
      <w:r>
        <w:rPr>
          <w:rFonts w:ascii="Times New Roman" w:cs="Times New Roman" w:eastAsia="Times New Roman" w:hAnsi="Times New Roman"/>
          <w:sz w:val="18"/>
          <w:szCs w:val="18"/>
          <w:color w:val="auto"/>
        </w:rPr>
        <w:t xml:space="preserve">”), as determined by the Issuer in good faith, the amount the Issuer shall be required to apply as set forth in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shall be reduced by the Restricted Amount; provided that to the extent that the repatriation (or other</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980"/>
          </w:cols>
          <w:pgMar w:left="440" w:top="270" w:right="479" w:bottom="1440" w:gutter="0" w:footer="0" w:header="0"/>
        </w:sectPr>
      </w:pPr>
    </w:p>
    <w:bookmarkStart w:id="699" w:name="page700"/>
    <w:bookmarkEnd w:id="699"/>
    <w:p>
      <w:pPr>
        <w:ind w:right="3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intercompany distribution) of any Net Proceeds from the relevant Foreign Subsidiary would no longer have a material and adverse tax consequence within the 18-month period following the event giving rise to the Net Proceeds, an amount equal to the Net Proceeds to the extent available and not previously applied pursuant to this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shall be promptly applied as otherwise required by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(without regard to this paragraph).</w:t>
      </w:r>
    </w:p>
    <w:p>
      <w:pPr>
        <w:spacing w:after="0" w:line="180"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Pending application of an amount equal to Net Proceeds pursuant to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the Issuer or a Restricted Subsidiary may temporarily reduce revolving credit borrowings or otherwise invest the Net Proceeds in any manner that is not prohibited by this Indenture.</w:t>
      </w:r>
    </w:p>
    <w:p>
      <w:pPr>
        <w:spacing w:after="0" w:line="162" w:lineRule="exact"/>
        <w:rPr>
          <w:sz w:val="20"/>
          <w:szCs w:val="20"/>
          <w:color w:val="auto"/>
        </w:rPr>
      </w:pPr>
    </w:p>
    <w:p>
      <w:pPr>
        <w:ind w:firstLine="436"/>
        <w:spacing w:after="0" w:line="269" w:lineRule="auto"/>
        <w:tabs>
          <w:tab w:leader="none" w:pos="685" w:val="left"/>
        </w:tabs>
        <w:numPr>
          <w:ilvl w:val="0"/>
          <w:numId w:val="9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Net Proceeds from Asset Sales that are not Retained Asset Sale Proceeds and are not applied or invested as provided in </w:t>
      </w:r>
      <w:r>
        <w:rPr>
          <w:rFonts w:ascii="Times New Roman" w:cs="Times New Roman" w:eastAsia="Times New Roman" w:hAnsi="Times New Roman"/>
          <w:sz w:val="17"/>
          <w:szCs w:val="17"/>
          <w:u w:val="single" w:color="auto"/>
          <w:color w:val="auto"/>
        </w:rPr>
        <w:t>Section 4.13(b)</w:t>
      </w:r>
      <w:r>
        <w:rPr>
          <w:rFonts w:ascii="Times New Roman" w:cs="Times New Roman" w:eastAsia="Times New Roman" w:hAnsi="Times New Roman"/>
          <w:sz w:val="17"/>
          <w:szCs w:val="17"/>
          <w:color w:val="auto"/>
        </w:rPr>
        <w:t xml:space="preserve"> hereof shall constitute “</w:t>
      </w:r>
      <w:r>
        <w:rPr>
          <w:rFonts w:ascii="Times New Roman" w:cs="Times New Roman" w:eastAsia="Times New Roman" w:hAnsi="Times New Roman"/>
          <w:sz w:val="17"/>
          <w:szCs w:val="17"/>
          <w:b w:val="1"/>
          <w:bCs w:val="1"/>
          <w:color w:val="auto"/>
        </w:rPr>
        <w:t>Excess Proceeds</w:t>
      </w:r>
      <w:r>
        <w:rPr>
          <w:rFonts w:ascii="Times New Roman" w:cs="Times New Roman" w:eastAsia="Times New Roman" w:hAnsi="Times New Roman"/>
          <w:sz w:val="17"/>
          <w:szCs w:val="17"/>
          <w:color w:val="auto"/>
        </w:rPr>
        <w:t>.” When the aggregate amount of Excess Proceeds in any fiscal year exceeds the greater of (a) $675.0 million and (b) 30.0% of LTM Consolidated Adjusted EBITDA, the Issuer will make an offer (an “</w:t>
      </w:r>
      <w:r>
        <w:rPr>
          <w:rFonts w:ascii="Times New Roman" w:cs="Times New Roman" w:eastAsia="Times New Roman" w:hAnsi="Times New Roman"/>
          <w:sz w:val="17"/>
          <w:szCs w:val="17"/>
          <w:b w:val="1"/>
          <w:bCs w:val="1"/>
          <w:color w:val="auto"/>
        </w:rPr>
        <w:t>Asset Sale Offer</w:t>
      </w:r>
      <w:r>
        <w:rPr>
          <w:rFonts w:ascii="Times New Roman" w:cs="Times New Roman" w:eastAsia="Times New Roman" w:hAnsi="Times New Roman"/>
          <w:sz w:val="17"/>
          <w:szCs w:val="17"/>
          <w:color w:val="auto"/>
        </w:rPr>
        <w:t>”) to all Holders of Notes and all holders of other Pari Passu Indebtedness containing provisions similar to those set forth in this Indenture with respect to offers to purchase or redeem with the proceeds of sales of assets to purchase the maximum principal amount of Notes and such other Pari Passu Indebtedness that may be purchased out of the amount of such Excess Proceeds. The offer price in any Asset Sale Offer shall be equal to 100% of principal amount plus accrued and unpaid interest to, but excluding, the date of purchase, and shall be payable in cash. If any Excess Proceeds remain after consummation of an Asset Sale Offer (“</w:t>
      </w:r>
      <w:r>
        <w:rPr>
          <w:rFonts w:ascii="Times New Roman" w:cs="Times New Roman" w:eastAsia="Times New Roman" w:hAnsi="Times New Roman"/>
          <w:sz w:val="17"/>
          <w:szCs w:val="17"/>
          <w:b w:val="1"/>
          <w:bCs w:val="1"/>
          <w:color w:val="auto"/>
        </w:rPr>
        <w:t>Declined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Asset Sale Proceeds</w:t>
      </w:r>
      <w:r>
        <w:rPr>
          <w:rFonts w:ascii="Times New Roman" w:cs="Times New Roman" w:eastAsia="Times New Roman" w:hAnsi="Times New Roman"/>
          <w:sz w:val="17"/>
          <w:szCs w:val="17"/>
          <w:color w:val="auto"/>
        </w:rPr>
        <w:t>”), the Issuer and its Restricted Subsidiaries may use the amount of such Excess Proceeds for any purpose not otherwise prohibited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this Indenture. If the aggregate principal amount of Notes and other Pari Passu Indebtedness tendered into such Asset Sale Offer exceeds the amount of Excess Proceeds, the Notes and such other Pari Passu Indebtedness will be purchased on a pro rata basis. Upon completion of each Asset Sale Offer, the amount of Excess Proceeds that resulted in the requirement to make an Asset Sale Offer shall be reset to zero. (regardless of whether there are any remaining Excess Proceeds upon such completion). Upon consummation or expiration of any Asset Sale Offer, any remaining Net Proceeds shall not be deemed Excess Proceeds and the Issuer may use such Net Proceeds for any purpose not otherwise prohibited under this Indenture.</w:t>
      </w:r>
    </w:p>
    <w:p>
      <w:pPr>
        <w:spacing w:after="0" w:line="175" w:lineRule="exact"/>
        <w:rPr>
          <w:rFonts w:ascii="Times New Roman" w:cs="Times New Roman" w:eastAsia="Times New Roman" w:hAnsi="Times New Roman"/>
          <w:sz w:val="17"/>
          <w:szCs w:val="17"/>
          <w:color w:val="auto"/>
        </w:rPr>
      </w:pPr>
    </w:p>
    <w:p>
      <w:pPr>
        <w:ind w:right="80" w:firstLine="436"/>
        <w:spacing w:after="0" w:line="258" w:lineRule="auto"/>
        <w:tabs>
          <w:tab w:leader="none" w:pos="695"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comply with the requirements of Rule 14e-1 under the Exchange Act and any other applicable securities laws and regulations to the extent that such laws and regulations are applicable in connection with each repurchase of Notes pursuant to an Asset Sale Offer. To the extent that the provisions of any securities laws or regulations conflict with the Asset Sale provisions of this Indenture, the Issuer shall comply with the applicable securities laws and regulations and shall not be deemed to have breached its obligations under the Asset Sale provisions of this Indenture by virtue of such compliance.</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i w:val="1"/>
          <w:iCs w:val="1"/>
          <w:color w:val="auto"/>
        </w:rPr>
        <w:t>Additional Note Guarantees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61" w:lineRule="auto"/>
        <w:tabs>
          <w:tab w:leader="none" w:pos="685"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Restricted Subsidiary (other than an Excluded Subsidiary) of the Issuer that is not a Guarantor provides a Guarantee of any Indebtedness of the Issuer or any Guarantor incurred under any syndicated Credit Facility Indebtedness or Capital Markets Indebtedness on or after the Escrow Release Date, then such Subsidiary shall promptly (within 60 days) (i) execute and deliver to the Trustee a supplemental indenture substantially in the form of</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700" w:name="page701"/>
    <w:bookmarkEnd w:id="700"/>
    <w:p>
      <w:pPr>
        <w:ind w:right="10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r>
        <w:rPr>
          <w:rFonts w:ascii="Times New Roman" w:cs="Times New Roman" w:eastAsia="Times New Roman" w:hAnsi="Times New Roman"/>
          <w:sz w:val="18"/>
          <w:szCs w:val="18"/>
          <w:color w:val="auto"/>
        </w:rPr>
        <w:t xml:space="preserve"> hereto, pursuant to which such Subsidiary shall unconditionally Guarantee, on a senior secured basis, all of the Issuer’s obligations under the Notes and this Indenture on the terms set forth in this Indenture and (ii) deliver to the Trustee an Opinion of Counsel that such supplemental indenture has been duly authorized, executed and delivered by such Subsidiary and constitutes a legal, valid, binding and enforceable obligation of such Subsidiary. Thereafter, such Subsidiary shall be a Guarantor for all purposes hereof until such Note Guarantee is released in accordance herewith.</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i w:val="1"/>
          <w:iCs w:val="1"/>
          <w:color w:val="auto"/>
        </w:rPr>
        <w:t>Designation of Restricted and Unrestricted Subsidiaries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2" w:lineRule="auto"/>
        <w:tabs>
          <w:tab w:leader="none" w:pos="685" w:val="left"/>
        </w:tabs>
        <w:numPr>
          <w:ilvl w:val="0"/>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Escrow Release Date, the Issuer’s Board of Directors may designate any Restricted Subsidiary to be an Unrestricted Subsidiary if (1) that designation would not cause a Default and (2) such Restricted Subsidiary does not own any Material Intellectual Property at the time of such designation. Any designation of a Subsidiary as an Unrestricted Subsidiary will be deemed to be a designation of each of such entity’s Subsidiaries as Unrestricted Subsidiaries. Following the Escrow Release Date, if a Restricted Subsidiary is designated as an Unrestricted Subsidiary, the aggregate Fair Market Value of all outstanding Investments (calculated after giving effect to any concurrent transactions) owned by the Issuer and its Restricted Subsidiaries in the Subsidiary designated as an Unrestricted Subsidiary shall be deemed to be an Investment made as of the time of the designation and will reduce the amount available for Restricted Payments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hereof or under one or more of the clauses of the definition of “Permitted Investments,” as determined by the Issuer. That designation will only be permitted if the Investment would be permitted at that time and if the Restricted Subsidiary otherwise meets the definition of an Unrestricted Subsidiary. The Issuer’s Board of Directors may redesignate any Unrestricted Subsidiary to be a Restricted Subsidiary if the redesignation would not cause a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redesignation will be deemed to be an incurrence of Indebtedness and, if applicable, an incurrence of related Liens by a Restricted Subsidiary of the Issuer of any outstanding Indebtedness and, if applicable, related Liens of such Unrestricted Subsidiary and such redesignation will only be permitted if such Indebtedness and, if applicable, related Liens are permitted under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hereof and, if applicable,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hereof (other than clause (14) under the definition of “Permitted Liens”), calculated, if applicable, on a Pro Forma Basis as if such designation had occurred at the beginning of the four-quarter reference period.</w:t>
      </w:r>
    </w:p>
    <w:p>
      <w:pPr>
        <w:spacing w:after="0" w:line="195"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4.16 </w:t>
      </w:r>
      <w:r>
        <w:rPr>
          <w:rFonts w:ascii="Times New Roman" w:cs="Times New Roman" w:eastAsia="Times New Roman" w:hAnsi="Times New Roman"/>
          <w:sz w:val="18"/>
          <w:szCs w:val="18"/>
          <w:i w:val="1"/>
          <w:iCs w:val="1"/>
          <w:color w:val="auto"/>
        </w:rPr>
        <w:t>Stay, Extension and Usury Laws</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The Issuer covenants (to the extent that it may lawfully do so) that it shall not at any time insist upon, plead, or in any manner whatsoever claim or take the benefit or advantage of, any stay, extension or usury law or other law which would prohibit or forgive the Issuer from paying all or any portion of the principal of, premium, if any, or interest on the Notes as contemplated herein, wherever enacted, now or at any time hereafter in force, or which may affect the covenants or the performance of this Indenture, and the Issuer (to the extent it may lawfully do so) hereby expressly waives all benefit or advantage of any such law and covenant that it will not, by resort to any such law, hinder, delay or impede the execution of any power herein granted to the Trustee, but will suffer and permit the execution of every such power as though no such law had been enacted.</w:t>
      </w:r>
    </w:p>
    <w:p>
      <w:pPr>
        <w:spacing w:after="0" w:line="183"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i w:val="1"/>
          <w:iCs w:val="1"/>
          <w:color w:val="auto"/>
        </w:rPr>
        <w:t>Notice of Default</w:t>
      </w:r>
      <w:r>
        <w:rPr>
          <w:rFonts w:ascii="Times New Roman" w:cs="Times New Roman" w:eastAsia="Times New Roman" w:hAnsi="Times New Roman"/>
          <w:sz w:val="18"/>
          <w:szCs w:val="18"/>
          <w:color w:val="auto"/>
        </w:rPr>
        <w:t xml:space="preserve">. In the event that any Default or Event of Default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shall occur and be continuing, the Issuer shall give written notice of such Default or Event of Default to the Trustee promptly after it becomes aware of the same (which shall be no later than 20 Business Days after becoming aware of such Default or Event of Default), unless such Default or Event of Default shall have been cured or waived during such 20-Business Day period.</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80"/>
          </w:cols>
          <w:pgMar w:left="440" w:top="270" w:right="479" w:bottom="1440" w:gutter="0" w:footer="0" w:header="0"/>
        </w:sectPr>
      </w:pPr>
    </w:p>
    <w:bookmarkStart w:id="701" w:name="page702"/>
    <w:bookmarkEnd w:id="70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4.18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4.19 </w:t>
      </w:r>
      <w:r>
        <w:rPr>
          <w:rFonts w:ascii="Times New Roman" w:cs="Times New Roman" w:eastAsia="Times New Roman" w:hAnsi="Times New Roman"/>
          <w:sz w:val="18"/>
          <w:szCs w:val="18"/>
          <w:i w:val="1"/>
          <w:iCs w:val="1"/>
          <w:color w:val="auto"/>
        </w:rPr>
        <w:t>After-Acquired Property</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firstLine="436"/>
        <w:spacing w:after="0" w:line="252" w:lineRule="auto"/>
        <w:tabs>
          <w:tab w:leader="none" w:pos="689" w:val="left"/>
        </w:tabs>
        <w:numPr>
          <w:ilvl w:val="1"/>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Escrow Release Date, promptly (but so long as any Credit Agreement is outstanding in no circumstance sooner than required with respect to such Credit Agreement) upon the acquisition by the Issuer or any Guarantor of any After-Acquired Property that is required to become Collateral under this Indenture or any Collateral Document or upon any new Subsidiary becoming a Guarantor, the Issuer or such Guarantor shall, subject to the limitations set forth herein, including the remaining clauses below and/or the Collateral Documents, (i) provide a Lien over such property consistent with the Liens granted over similar property in the applicable jurisdiction (or in the case of any jurisdiction where no Liens were previously granted, to the extent customary and reasonably achievable under applicable local law) (or, in the case of a new Guarantor, all of its property (other than Excluded Assets) consistent with the Liens granted over similar property in the applicable jurisdiction (or in the case of any jurisdiction where no Liens were previously granted, to the extent customary and reasonably achievable under applicable local law)) in favor of the Notes Collateral Agent and (ii) execute and deliver such mortgages, deeds of trust, security instruments, financing statements, intellectual property security agreements, certificates and opinions of counsel as shall be necessary to vest in the Notes Collateral Agent a perfected security interest, subject only to Permitted Liens, in such After-Acquired Property or in the Collateral of such Issuer or Note Guarantor and to have such After-Acquired Property or such Collateral (but, in each case, subject to the limitations set forth in the Collateral Documents and/or in this Indenture) added to the Collateral, and thereupon all provisions of this Indenture relating to the Collateral shall be deemed to relate to such After-Acquired Property or Collateral to the same extent and with the same force and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granting such security interest in such After-Acquired Property or Collateral requires the consent of a third party, to the extent such actions are also taken with respect to the Credit Agreements, the Issuer will use commercially reasonable efforts to obtain such consent with respect to the security interest in favor of the Notes Collateral Agent for the benefit of the Trustee and the Notes Collateral Agent on behalf of the Holders of the Notes;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third party does not consent to the granting of such security interest after the use of such commercially reasonable efforts, the Issuer or such Guarantor, as the case may be, will not be required to provide such security interest.</w:t>
      </w:r>
    </w:p>
    <w:p>
      <w:pPr>
        <w:spacing w:after="0" w:line="190" w:lineRule="exact"/>
        <w:rPr>
          <w:rFonts w:ascii="Times New Roman" w:cs="Times New Roman" w:eastAsia="Times New Roman" w:hAnsi="Times New Roman"/>
          <w:sz w:val="18"/>
          <w:szCs w:val="18"/>
          <w:color w:val="auto"/>
        </w:rPr>
      </w:pPr>
    </w:p>
    <w:p>
      <w:pPr>
        <w:jc w:val="both"/>
        <w:ind w:left="4" w:right="60" w:firstLine="436"/>
        <w:spacing w:after="0" w:line="270" w:lineRule="auto"/>
        <w:tabs>
          <w:tab w:leader="none" w:pos="699" w:val="left"/>
        </w:tabs>
        <w:numPr>
          <w:ilvl w:val="1"/>
          <w:numId w:val="9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in this Indenture or the Collateral Documents to the contrary, in addition to the other exceptions and limitations described in the Collateral Documents, and notwithstanding any action that is taken in favor of the lenders under the Credit Agreements, in no event shall the Issuer or any Guarantor be required to (x) create any security interests in assets located, titled, registered or filed outside of the United States or to perfect such security interests, (y) deliver (A) control agreements, (B) landlord waivers, (C) bailee letters, (D) other similar third party documents, or</w:t>
      </w:r>
    </w:p>
    <w:p>
      <w:pPr>
        <w:spacing w:after="0" w:line="2" w:lineRule="exact"/>
        <w:rPr>
          <w:rFonts w:ascii="Times New Roman" w:cs="Times New Roman" w:eastAsia="Times New Roman" w:hAnsi="Times New Roman"/>
          <w:sz w:val="17"/>
          <w:szCs w:val="17"/>
          <w:color w:val="auto"/>
        </w:rPr>
      </w:pPr>
    </w:p>
    <w:p>
      <w:pPr>
        <w:ind w:left="4" w:right="80" w:hanging="4"/>
        <w:spacing w:after="0" w:line="255" w:lineRule="auto"/>
        <w:tabs>
          <w:tab w:leader="none" w:pos="279" w:val="left"/>
        </w:tabs>
        <w:numPr>
          <w:ilvl w:val="0"/>
          <w:numId w:val="9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agreements, pledge agreements, or share charge (or mortgage) agreements (or similar agreements) governed under the laws of a jurisdiction other than the United States, any state thereof or the District of Columbia or (z) take any other action not taken pursuant to the Credit Agreements (so long as any of the Credit Agreements is outstanding).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24"/>
          </w:cols>
          <w:pgMar w:left="436" w:top="268" w:right="439" w:bottom="1440" w:gutter="0" w:footer="0" w:header="0"/>
        </w:sectPr>
      </w:pPr>
    </w:p>
    <w:bookmarkStart w:id="702" w:name="page703"/>
    <w:bookmarkEnd w:id="702"/>
    <w:p>
      <w:pPr>
        <w:ind w:left="684" w:hanging="244"/>
        <w:spacing w:after="0"/>
        <w:tabs>
          <w:tab w:leader="none" w:pos="684" w:val="left"/>
        </w:tabs>
        <w:numPr>
          <w:ilvl w:val="1"/>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Indenture or the Collateral Documents to the contrary, the Issuer and the Guarantors will not be required to</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19"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by control any security interest in assets requiring perfection through control agreements or other control arrangements, including deposit accounts, securities accounts and commodities accounts (other than control of pledged Capital Stock and/or Material Debt Instruments, in each case, that constitute Collateral) and no blocked agreements, account control agreement or similar agreement shall be required or (ii) perfect a security interest in any asset if such asset does not constitute “Collateral” (or an equivalent term) under any Credit Agreement security documents or where the Issuer and the Guarantors are not required to take such actions under any Credit Agreement security documents.</w:t>
      </w:r>
    </w:p>
    <w:p>
      <w:pPr>
        <w:spacing w:after="0" w:line="186" w:lineRule="exact"/>
        <w:rPr>
          <w:rFonts w:ascii="Times New Roman" w:cs="Times New Roman" w:eastAsia="Times New Roman" w:hAnsi="Times New Roman"/>
          <w:sz w:val="18"/>
          <w:szCs w:val="18"/>
          <w:color w:val="auto"/>
        </w:rPr>
      </w:pPr>
    </w:p>
    <w:p>
      <w:pPr>
        <w:ind w:left="4" w:right="140" w:firstLine="436"/>
        <w:spacing w:after="0" w:line="258" w:lineRule="auto"/>
        <w:tabs>
          <w:tab w:leader="none" w:pos="689" w:val="left"/>
        </w:tabs>
        <w:numPr>
          <w:ilvl w:val="1"/>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Collateral Document may provide that the amount recoverable in respect of the Collateral provided by the Guarantors will be limited as necessary to (1) prevent such Collateral from being in breach of any applicable law, (2) avoid any general legal limitations such as general statutory limitations, financial assistance, corporate benefit, “thin capitalization” rules, retention of title claims or similar matters or (3) avoid a conflict with the fiduciary duties of such company’s directors, contravention of any legal prohibition or regulatory condition, or the material risk of personal or criminal liability for any officers or directors, in each case as determined by the Issuer in its sole discretion.</w:t>
      </w:r>
    </w:p>
    <w:p>
      <w:pPr>
        <w:spacing w:after="0" w:line="17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limitations set forth in clauses (b) through (e) above are referred to as the “</w:t>
      </w:r>
      <w:r>
        <w:rPr>
          <w:rFonts w:ascii="Times New Roman" w:cs="Times New Roman" w:eastAsia="Times New Roman" w:hAnsi="Times New Roman"/>
          <w:sz w:val="18"/>
          <w:szCs w:val="18"/>
          <w:b w:val="1"/>
          <w:bCs w:val="1"/>
          <w:color w:val="auto"/>
        </w:rPr>
        <w:t>Applicable Collateral Limitations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4.20 </w:t>
      </w:r>
      <w:r>
        <w:rPr>
          <w:rFonts w:ascii="Times New Roman" w:cs="Times New Roman" w:eastAsia="Times New Roman" w:hAnsi="Times New Roman"/>
          <w:sz w:val="18"/>
          <w:szCs w:val="18"/>
          <w:i w:val="1"/>
          <w:iCs w:val="1"/>
          <w:color w:val="auto"/>
        </w:rPr>
        <w:t>Additional Material Real Estate Assets</w:t>
      </w:r>
      <w:r>
        <w:rPr>
          <w:rFonts w:ascii="Times New Roman" w:cs="Times New Roman" w:eastAsia="Times New Roman" w:hAnsi="Times New Roman"/>
          <w:sz w:val="18"/>
          <w:szCs w:val="18"/>
          <w:color w:val="auto"/>
        </w:rPr>
        <w:t>. In the event that the Issuer or any Guarantor acquires a Material Real Estate Asset or a Real Estate Asset owned on the Issue Date becomes a Material Real Estate Asset, in each case, other than any Excluded Asset, and such interest has not otherwise been made subject to the Lien of the Collateral Documents in favor of the Notes Collateral Agent, for the benefit of First Lien Notes Secured Parties, then the Issuer or such Guarantor shall, subject to the Applicable Collateral Limitations, promptly (but so long as any Credit Agreement is outstanding in no circumstance sooner than required with respect to such Credit Agreement) take all such actions and execute and deliver, or cause to be executed and delivered, all such mortgages, documents, instruments and agreements necessary to make such Lien a valid and perfected First Priority security interest (subject to Permitted Liens) in such Material Real Estate Asset and deliver such Opinions of Counsel and certificates as are customary in such jurisdictions.</w:t>
      </w:r>
    </w:p>
    <w:p>
      <w:pPr>
        <w:spacing w:after="0" w:line="185"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4.21 </w:t>
      </w:r>
      <w:r>
        <w:rPr>
          <w:rFonts w:ascii="Times New Roman" w:cs="Times New Roman" w:eastAsia="Times New Roman" w:hAnsi="Times New Roman"/>
          <w:sz w:val="18"/>
          <w:szCs w:val="18"/>
          <w:i w:val="1"/>
          <w:iCs w:val="1"/>
          <w:color w:val="auto"/>
        </w:rPr>
        <w:t>No Impairment of the Security Interests</w:t>
      </w:r>
      <w:r>
        <w:rPr>
          <w:rFonts w:ascii="Times New Roman" w:cs="Times New Roman" w:eastAsia="Times New Roman" w:hAnsi="Times New Roman"/>
          <w:sz w:val="18"/>
          <w:szCs w:val="18"/>
          <w:color w:val="auto"/>
        </w:rPr>
        <w:t>. Except as otherwise permitted under this Indenture (including, for the avoidance of doubt, pursuant to a transaction otherwise permitted by this Indenture), the Pari Passu Intercreditor Agreement and the Collateral Documents, none of the Issuer nor any of the Guarantors shall be permitted to take any action, or knowingly omit to take any action, which action or omission would have the result of materially impairing the security interest with respect to the Collateral in favor of the Notes Collateral Agent for the benefit of the Trustee, the Notes Collateral Agent and the Holders of the Notes.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4"/>
          </w:cols>
          <w:pgMar w:left="436" w:top="270" w:right="459" w:bottom="1440" w:gutter="0" w:footer="0" w:header="0"/>
        </w:sectPr>
      </w:pPr>
    </w:p>
    <w:bookmarkStart w:id="703" w:name="page704"/>
    <w:bookmarkEnd w:id="70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5</w:t>
      </w:r>
    </w:p>
    <w:p>
      <w:pPr>
        <w:spacing w:after="0" w:line="225"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8"/>
          <w:szCs w:val="18"/>
          <w:color w:val="auto"/>
        </w:rPr>
        <w:t>MERGER, CONSOLIDATION OR SALE OF ASSETS</w:t>
      </w:r>
    </w:p>
    <w:p>
      <w:pPr>
        <w:spacing w:after="0" w:line="2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i w:val="1"/>
          <w:iCs w:val="1"/>
          <w:color w:val="auto"/>
        </w:rPr>
        <w:t>Merger, Consolidation or Sale of Assets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20" w:right="20" w:firstLine="436"/>
        <w:spacing w:after="0" w:line="266" w:lineRule="auto"/>
        <w:tabs>
          <w:tab w:leader="none" w:pos="665"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not, directly or indirectly: (1) consolidate, amalgamate, or merge with or into another Person (whether or not the Issuer is the surviving Person) or (2) sell, assign, transfer, convey, lease, license or otherwise dispose of all or substantially all of the properties or assets of the Issuer and its Restricted Subsidiaries, taken as a whole, in one or more related transactions, to another Person, unless:</w:t>
      </w:r>
    </w:p>
    <w:p>
      <w:pPr>
        <w:spacing w:after="0" w:line="67" w:lineRule="exact"/>
        <w:rPr>
          <w:rFonts w:ascii="Times New Roman" w:cs="Times New Roman" w:eastAsia="Times New Roman" w:hAnsi="Times New Roman"/>
          <w:sz w:val="18"/>
          <w:szCs w:val="18"/>
          <w:color w:val="auto"/>
        </w:rPr>
      </w:pPr>
    </w:p>
    <w:p>
      <w:pPr>
        <w:jc w:val="both"/>
        <w:ind w:left="420" w:firstLine="419"/>
        <w:spacing w:after="0" w:line="261" w:lineRule="auto"/>
        <w:tabs>
          <w:tab w:leader="none" w:pos="1058" w:val="left"/>
        </w:tabs>
        <w:numPr>
          <w:ilvl w:val="1"/>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(x) the Issuer is the surviving Person; or (y) the Person formed by or surviving any such consolidation, amalgamation, or merger (if other than the Issuer) or to which such sale, assignment, transfer, conveyance or other disposition has been made is organized and validly existing under the laws of the U.S., any state of the U.S. or the District of Columbia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entity is not a corporation, a co-obligor of the Notes is a corporation);</w:t>
      </w:r>
    </w:p>
    <w:p>
      <w:pPr>
        <w:spacing w:after="0" w:line="71" w:lineRule="exact"/>
        <w:rPr>
          <w:rFonts w:ascii="Times New Roman" w:cs="Times New Roman" w:eastAsia="Times New Roman" w:hAnsi="Times New Roman"/>
          <w:sz w:val="18"/>
          <w:szCs w:val="18"/>
          <w:color w:val="auto"/>
        </w:rPr>
      </w:pPr>
    </w:p>
    <w:p>
      <w:pPr>
        <w:jc w:val="both"/>
        <w:ind w:left="420" w:right="20" w:firstLine="419"/>
        <w:spacing w:after="0" w:line="266" w:lineRule="auto"/>
        <w:tabs>
          <w:tab w:leader="none" w:pos="1108" w:val="left"/>
        </w:tabs>
        <w:numPr>
          <w:ilvl w:val="1"/>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formed by or surviving any such consolidation, amalgamation or merger (if other than the Issuer) or the Person to which such sale, assignment, transfer, conveyance or other disposition has been made expressly assumes all the obligations of the Issuer under the Notes, this Indenture and the applicable Collateral Documents;</w:t>
      </w:r>
    </w:p>
    <w:p>
      <w:pPr>
        <w:spacing w:after="0" w:line="67" w:lineRule="exact"/>
        <w:rPr>
          <w:rFonts w:ascii="Times New Roman" w:cs="Times New Roman" w:eastAsia="Times New Roman" w:hAnsi="Times New Roman"/>
          <w:sz w:val="18"/>
          <w:szCs w:val="18"/>
          <w:color w:val="auto"/>
        </w:rPr>
      </w:pPr>
    </w:p>
    <w:p>
      <w:pPr>
        <w:ind w:left="1160" w:hanging="321"/>
        <w:spacing w:after="0"/>
        <w:tabs>
          <w:tab w:leader="none" w:pos="1160" w:val="left"/>
        </w:tabs>
        <w:numPr>
          <w:ilvl w:val="1"/>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117" w:lineRule="exact"/>
        <w:rPr>
          <w:rFonts w:ascii="Times New Roman" w:cs="Times New Roman" w:eastAsia="Times New Roman" w:hAnsi="Times New Roman"/>
          <w:sz w:val="18"/>
          <w:szCs w:val="18"/>
          <w:color w:val="auto"/>
        </w:rPr>
      </w:pPr>
    </w:p>
    <w:p>
      <w:pPr>
        <w:ind w:left="420" w:right="40" w:firstLine="419"/>
        <w:spacing w:after="0" w:line="253" w:lineRule="auto"/>
        <w:tabs>
          <w:tab w:leader="none" w:pos="1148" w:val="left"/>
        </w:tabs>
        <w:numPr>
          <w:ilvl w:val="1"/>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(a) the Issuer or the Person formed by or surviving any such consolidation, amalgamation or merger (if other than the Issuer), or to which such sale, assignment, transfer, conveyance or other disposition has been made shall, on the date of such transaction after giving pro forma effect thereto and any related financing transactions as if the same had occurred at the beginning of the applicable four-quarter period, be permitted to incur at least $1.00 of additional Indebtedness pursuant to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xml:space="preserve"> hereof or (b) the Issuer or the Person formed by or surviving any such consolidation, amalgamation or merger (if other than the Issuer) or to which such sale, assignment, transfer, conveyance or other disposition has been made would, on the date of such transaction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and any related financing transactions as if the same had occurred at the beginning of the applicable four-quarter period, have a Consolidated Coverage Ratio for such Person and its Restricted Subsidiaries that would be equal to or greater than such ratio for such Person and its Restricted Subsidiaries immediately prior to such action or have a Total Net Leverage Ratio for such Person and its Restricted Subsidiaries that would be equal to or lower than such ratio for such Person and its Restricted Subsidiaries immediately prior to such action; and</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960"/>
          </w:cols>
          <w:pgMar w:left="460" w:top="270" w:right="479" w:bottom="1440" w:gutter="0" w:footer="0" w:header="0"/>
        </w:sectPr>
      </w:pPr>
    </w:p>
    <w:bookmarkStart w:id="704" w:name="page705"/>
    <w:bookmarkEnd w:id="704"/>
    <w:p>
      <w:pPr>
        <w:ind w:left="444" w:right="100" w:firstLine="419"/>
        <w:spacing w:after="0" w:line="266" w:lineRule="auto"/>
        <w:tabs>
          <w:tab w:leader="none" w:pos="1122" w:val="left"/>
        </w:tabs>
        <w:numPr>
          <w:ilvl w:val="2"/>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has delivered to the Trustee an Officers’ Certificate stating that such consolidation, amalgamation, merger, conveyance, transfer or lease and, if a supplemental indenture is required in connection with such transaction, such supplemental indenture, complies with this Article and that all conditions precedent herein provided for relating to such transaction have been complied with.</w:t>
      </w:r>
    </w:p>
    <w:p>
      <w:pPr>
        <w:spacing w:after="0" w:line="175"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not, directly or indirectly, lease or license all or substantially all of its properties or assets, in one or more related transactions, to any other Person.</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permit any Guarantor to, directly or indirectly, (1) consolidate, amalgamate or merge with or into another Person; or</w:t>
      </w:r>
    </w:p>
    <w:p>
      <w:pPr>
        <w:spacing w:after="0" w:line="27" w:lineRule="exact"/>
        <w:rPr>
          <w:rFonts w:ascii="Times New Roman" w:cs="Times New Roman" w:eastAsia="Times New Roman" w:hAnsi="Times New Roman"/>
          <w:sz w:val="18"/>
          <w:szCs w:val="18"/>
          <w:color w:val="auto"/>
        </w:rPr>
      </w:pPr>
    </w:p>
    <w:p>
      <w:pPr>
        <w:ind w:left="4" w:hanging="4"/>
        <w:spacing w:after="0" w:line="260" w:lineRule="auto"/>
        <w:tabs>
          <w:tab w:leader="none" w:pos="259"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transfer, convey, lease, license or otherwise dispose (collectively,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of all or substantially all of its properties or assets, in one or more related transactions, to another Person unless:</w:t>
      </w:r>
    </w:p>
    <w:p>
      <w:pPr>
        <w:spacing w:after="0" w:line="73" w:lineRule="exact"/>
        <w:rPr>
          <w:rFonts w:ascii="Times New Roman" w:cs="Times New Roman" w:eastAsia="Times New Roman" w:hAnsi="Times New Roman"/>
          <w:sz w:val="18"/>
          <w:szCs w:val="18"/>
          <w:color w:val="auto"/>
        </w:rPr>
      </w:pPr>
    </w:p>
    <w:p>
      <w:pPr>
        <w:ind w:left="444" w:right="40" w:firstLine="419"/>
        <w:spacing w:after="0" w:line="258" w:lineRule="auto"/>
        <w:tabs>
          <w:tab w:leader="none" w:pos="1082" w:val="left"/>
        </w:tabs>
        <w:numPr>
          <w:ilvl w:val="2"/>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the case of a Guarantor (x) that has disposed of all or substantially all of its assets, whether through a merger, amalgamation, consolidation or sale of Capital Stock or assets or (y) that, as a result of the disposition of all or a portion of its Capital Stock, ceases to be a Subsidiary of the Issuer, in both cases in compliance with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 the resulting, surviving or transferee Person (if not such Guarantor) shall expressly assume, by a guarantee agreement and applicable Collateral Documents, all the obligations of such Guarantor under its Note Guarantee; and</w:t>
      </w:r>
    </w:p>
    <w:p>
      <w:pPr>
        <w:spacing w:after="0" w:line="75" w:lineRule="exact"/>
        <w:rPr>
          <w:sz w:val="20"/>
          <w:szCs w:val="20"/>
          <w:color w:val="auto"/>
        </w:rPr>
      </w:pPr>
    </w:p>
    <w:p>
      <w:pPr>
        <w:ind w:left="1124" w:hanging="261"/>
        <w:spacing w:after="0"/>
        <w:tabs>
          <w:tab w:leader="none" w:pos="1124" w:val="left"/>
        </w:tabs>
        <w:numPr>
          <w:ilvl w:val="1"/>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Event of Default exists.</w:t>
      </w:r>
    </w:p>
    <w:p>
      <w:pPr>
        <w:spacing w:after="0" w:line="225"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(A) any Restricted Subsidiary may consolidate or amalgamate with, merge into or transfer all or part of its properties and assets to the Issuer or any Guarantor and (B) the Issuer may merge or amalgamate with an Affiliate of the Issuer solely for the purpose of reincorporating the Issuer in another jurisdiction within the United States of America, any state thereof or the District of Columbia, Canada or any province thereof, the United Kingdom, any member state of the European Union as in effect on the Issue Date, Bermuda, Cayman Islands, any Channel Island, Singapore or Switzerland or converting the Issuer into a limited liability company organized under the United States of America, any state thereof or the District of Columbia, Canada or any province thereof, the United Kingdom, any member state of the European Union as in effect on the Issue Date, Bermuda, Cayman Islands, any Channel Island, Singapore or Switzerland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co-obligor of the Notes is a corporation).</w:t>
      </w:r>
    </w:p>
    <w:p>
      <w:pPr>
        <w:spacing w:after="0" w:line="188"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89"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the Issuer may consummate a Permitted Reorganization. If in connection with such Permitted Reorganization, a new company is created that directly or indirectly wholly owns the Issuer, then, so long as such new company is an obligor on the Notes (as an issuer or guarantor), the Issuer may choose to have the covenants in this Indenture apply from and after such time to such new company and its Restricted Subsidiaries, rather than to the Issuer and its Restricted Subsidiaries, and all references thereafter in the Notes, this Indenture and the Collateral Documents to the Issuer shall refer to such company.</w:t>
      </w:r>
    </w:p>
    <w:p>
      <w:pPr>
        <w:spacing w:after="0" w:line="11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4"/>
          </w:cols>
          <w:pgMar w:left="436" w:top="270" w:right="459" w:bottom="1440" w:gutter="0" w:footer="0" w:header="0"/>
        </w:sectPr>
      </w:pPr>
    </w:p>
    <w:bookmarkStart w:id="705" w:name="page706"/>
    <w:bookmarkEnd w:id="705"/>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i w:val="1"/>
          <w:iCs w:val="1"/>
          <w:color w:val="auto"/>
        </w:rPr>
        <w:t>Successor Substituted</w:t>
      </w:r>
      <w:r>
        <w:rPr>
          <w:rFonts w:ascii="Times New Roman" w:cs="Times New Roman" w:eastAsia="Times New Roman" w:hAnsi="Times New Roman"/>
          <w:sz w:val="18"/>
          <w:szCs w:val="18"/>
          <w:color w:val="auto"/>
        </w:rPr>
        <w:t xml:space="preserve">. Upon any consolidation of the Issuer with, or merger or amalgamation of the Issuer into, any other Person or any conveyance, transfer or lease of all or substantially all of the properties and assets of the Issuer in accordance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hereof, the successor Person formed by such consolidation or into which the Issuer is merged or to which such conveyance, transfer or lease is made shall succeed to, and be substituted for, and may exercise every right and power of, the Issuer under this Indenture with the same effect as if such successor Person had been named as the Issuer herein, and thereafter, except in the case of a lease, the predecessor Person shall be relieved of all obligations and covenants under this Indenture and the Notes.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DEFAULT AND REMEDIES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Each of the following is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with respect to the Notes:</w:t>
      </w:r>
    </w:p>
    <w:p>
      <w:pPr>
        <w:spacing w:after="0" w:line="229" w:lineRule="exact"/>
        <w:rPr>
          <w:sz w:val="20"/>
          <w:szCs w:val="20"/>
          <w:color w:val="auto"/>
        </w:rPr>
      </w:pPr>
    </w:p>
    <w:p>
      <w:pPr>
        <w:ind w:right="160" w:firstLine="436"/>
        <w:spacing w:after="0" w:line="282" w:lineRule="auto"/>
        <w:tabs>
          <w:tab w:leader="none" w:pos="685"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principal of (including, without limitation, any premium, if any, on) the Notes when the same becomes due and payable (whether at maturity, upon a Redemption Date, Change of Control Purchase Date, Purchase Date or otherwise);</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payable on Notes when the same becomes due and payable and the default continues for a period of 30</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w:t>
      </w:r>
    </w:p>
    <w:p>
      <w:pPr>
        <w:spacing w:after="0" w:line="206" w:lineRule="exact"/>
        <w:rPr>
          <w:rFonts w:ascii="Times New Roman" w:cs="Times New Roman" w:eastAsia="Times New Roman" w:hAnsi="Times New Roman"/>
          <w:sz w:val="18"/>
          <w:szCs w:val="18"/>
          <w:color w:val="auto"/>
        </w:rPr>
      </w:pPr>
    </w:p>
    <w:p>
      <w:pPr>
        <w:ind w:right="20" w:firstLine="436"/>
        <w:spacing w:after="0" w:line="266" w:lineRule="auto"/>
        <w:tabs>
          <w:tab w:leader="none" w:pos="685"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Issuer or any of its Restricted Subsidiaries to comply with the provisions of Sections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of this Indenture, which failure remains uncured for 30 days after written notice to the Issuer from the Trustee or to the Issuer and the Trustee from the Holders of at least 25% in aggregate principal amount of the Notes then outstanding;</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any of its Restricted Subsidiaries fails to comply with any of the other covenants contained in the Notes, the Collateral</w:t>
      </w:r>
    </w:p>
    <w:p>
      <w:pPr>
        <w:spacing w:after="0" w:line="27" w:lineRule="exact"/>
        <w:rPr>
          <w:rFonts w:ascii="Times New Roman" w:cs="Times New Roman" w:eastAsia="Times New Roman" w:hAnsi="Times New Roman"/>
          <w:sz w:val="18"/>
          <w:szCs w:val="18"/>
          <w:color w:val="auto"/>
        </w:rPr>
      </w:pPr>
    </w:p>
    <w:p>
      <w:pPr>
        <w:ind w:right="1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 xml:space="preserve">Documents or this Indenture and the default continues for 60 days (or 180 days in the case of the provisions of </w:t>
      </w:r>
      <w:r>
        <w:rPr>
          <w:rFonts w:ascii="Times New Roman" w:cs="Times New Roman" w:eastAsia="Times New Roman" w:hAnsi="Times New Roman"/>
          <w:sz w:val="17"/>
          <w:szCs w:val="17"/>
          <w:u w:val="single" w:color="auto"/>
          <w:color w:val="auto"/>
        </w:rPr>
        <w:t>Section 4.03</w:t>
      </w:r>
      <w:r>
        <w:rPr>
          <w:rFonts w:ascii="Times New Roman" w:cs="Times New Roman" w:eastAsia="Times New Roman" w:hAnsi="Times New Roman"/>
          <w:sz w:val="17"/>
          <w:szCs w:val="17"/>
          <w:color w:val="auto"/>
        </w:rPr>
        <w:t>) after written notice to the Issuer from the Trustee or to the Issuer and the Trustee from the Holders of at least 25% in aggregate principal amount of the Notes then outstanding;</w:t>
      </w:r>
    </w:p>
    <w:p>
      <w:pPr>
        <w:spacing w:after="0" w:line="157"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Issuer or any of its Restricted Subsidiaries (other than a Receivables Entity) (or the payment of which is Guaranteed by the Issuer or any of its Restricted Subsidiaries) (other than Indebtedness held exclusively by an Affiliate of the Issuer or any Guarantor), whether such Indebtedness or Guarantee now exists, or is created on or after the Escrow Release Date, if that default:</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078" w:val="left"/>
        </w:tabs>
        <w:numPr>
          <w:ilvl w:val="1"/>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when due on such Indebtedness within any applicable grace period provided in such Indebtedness (a “</w:t>
      </w:r>
      <w:r>
        <w:rPr>
          <w:rFonts w:ascii="Times New Roman" w:cs="Times New Roman" w:eastAsia="Times New Roman" w:hAnsi="Times New Roman"/>
          <w:sz w:val="18"/>
          <w:szCs w:val="18"/>
          <w:b w:val="1"/>
          <w:bCs w:val="1"/>
          <w:color w:val="auto"/>
        </w:rPr>
        <w:t>Payment Default</w:t>
      </w:r>
      <w:r>
        <w:rPr>
          <w:rFonts w:ascii="Times New Roman" w:cs="Times New Roman" w:eastAsia="Times New Roman" w:hAnsi="Times New Roman"/>
          <w:sz w:val="18"/>
          <w:szCs w:val="18"/>
          <w:color w:val="auto"/>
        </w:rPr>
        <w:t>”);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68" w:right="459" w:bottom="1440" w:gutter="0" w:footer="0" w:header="0"/>
        </w:sectPr>
      </w:pPr>
    </w:p>
    <w:bookmarkStart w:id="706" w:name="page707"/>
    <w:bookmarkEnd w:id="706"/>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results in the acceleration of such Indebtedness prior to its express maturity,</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and, in each case, the principal amount of any such Indebtedness, together with the principal amount of any other such Indebtedness under which there has been a Payment Default or the maturity of which has been so accelerated, aggregates to the greater of (a) $562.5 million and (b) 25.0% of LTM Consolidated Adjusted EBITDA or more;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failure by the Issuer or any of its Restricted Subsidiaries to pay final non-appealable judgments aggregating in excess of the greater of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$562.5 million and (b) 25.0% of LTM Consolidated Adjusted EBITDA, which judgments are not paid, discharged, stayed or subject to insurance 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period of 60 days after becoming final;</w:t>
      </w:r>
    </w:p>
    <w:p>
      <w:pPr>
        <w:spacing w:after="0" w:line="207" w:lineRule="exact"/>
        <w:rPr>
          <w:sz w:val="20"/>
          <w:szCs w:val="20"/>
          <w:color w:val="auto"/>
        </w:rPr>
      </w:pPr>
    </w:p>
    <w:p>
      <w:pPr>
        <w:ind w:right="380" w:firstLine="436"/>
        <w:spacing w:after="0" w:line="266" w:lineRule="auto"/>
        <w:tabs>
          <w:tab w:leader="none" w:pos="695"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by a Significant Subsidiary ceases to be in full force and effect in all material respects (except as contemplated by the terms thereof) or any Guarantor that is a Significant Subsidiary denies or disaffirms such Guarantor’s obligations under this Indenture or any Note Guarantee and such Default continues for 10 days after receipt of the notice as specified in this Indenture;</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such Liens have been released in accordance with the provisions of the applicable Collateral Documents, Liens with respect to all or substantially all of the Collateral cease to be valid or enforceable, or the Issuer shall assert or any Guarantor shall assert, in any pleading in any court of competent jurisdiction, that any such security interests are invalid or unenforceable and, in the case of any such Guarantor, the Issuer fails to cause such Guarantor to rescind such assertions within 30 days after the Issuer has actual knowledge of such assertions;</w:t>
      </w:r>
    </w:p>
    <w:p>
      <w:pPr>
        <w:spacing w:after="0" w:line="179" w:lineRule="exact"/>
        <w:rPr>
          <w:rFonts w:ascii="Times New Roman" w:cs="Times New Roman" w:eastAsia="Times New Roman" w:hAnsi="Times New Roman"/>
          <w:sz w:val="18"/>
          <w:szCs w:val="18"/>
          <w:color w:val="auto"/>
        </w:rPr>
      </w:pPr>
    </w:p>
    <w:p>
      <w:pPr>
        <w:ind w:right="640" w:firstLine="436"/>
        <w:spacing w:after="0" w:line="282" w:lineRule="auto"/>
        <w:tabs>
          <w:tab w:leader="none" w:pos="655"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any Restricted Subsidiary that is a Significant Subsidiary or any group of Restricted Subsidiaries that, taken together, would constitute a Significant Subsidiary, pursuant to or within the meaning of the Bankruptcy Code:</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all or substantially all of its property;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the Bankruptcy Code that: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any Restricted Subsidiary that is a Significant Subsidiary or any group of Restricted Subsidiaries that, taken together, would constitute a Significant Subsidiary in an involuntary case or proceeding;</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0"/>
          </w:cols>
          <w:pgMar w:left="440" w:top="270" w:right="459" w:bottom="1440" w:gutter="0" w:footer="0" w:header="0"/>
        </w:sectPr>
      </w:pPr>
    </w:p>
    <w:bookmarkStart w:id="707" w:name="page708"/>
    <w:bookmarkEnd w:id="707"/>
    <w:p>
      <w:pPr>
        <w:ind w:left="440" w:right="40" w:firstLine="419"/>
        <w:spacing w:after="0" w:line="266" w:lineRule="auto"/>
        <w:tabs>
          <w:tab w:leader="none" w:pos="1128" w:val="left"/>
        </w:tabs>
        <w:numPr>
          <w:ilvl w:val="0"/>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appoints a Custodian of the Issuer, any Restricted Subsidiary that is a Significant Subsidiary or any group of Restricted Subsidiaries that, taken together, would constitute a Significant Subsidiary or for all or substantially all of the property of the Issuer, any Restricted Subsidiary that is a Significant Subsidiary or any group of Restricted Subsidiaries that, taken together, would constitute a Significant Subsidiary; or</w:t>
      </w:r>
    </w:p>
    <w:p>
      <w:pPr>
        <w:spacing w:after="0" w:line="6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78" w:val="left"/>
        </w:tabs>
        <w:numPr>
          <w:ilvl w:val="0"/>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liquidation of the Issuer, any Restricted Subsidiary that is a Significant Subsidiary or any group of Restricted Subsidiaries that, taken together, would constitute a Significant Subsidiary;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in each case the order or decree described in this clause (j) remains unstayed and in effect for 60 consecutive days; 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(k) failure by the Issuer to consummate the Special Mandatory Redemption to the extent required under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hereof.</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notice given pursuant to </w:t>
      </w:r>
      <w:r>
        <w:rPr>
          <w:rFonts w:ascii="Times New Roman" w:cs="Times New Roman" w:eastAsia="Times New Roman" w:hAnsi="Times New Roman"/>
          <w:sz w:val="18"/>
          <w:szCs w:val="18"/>
          <w:u w:val="single" w:color="auto"/>
          <w:color w:val="auto"/>
        </w:rPr>
        <w:t>Section 6.01(d)</w:t>
      </w:r>
      <w:r>
        <w:rPr>
          <w:rFonts w:ascii="Times New Roman" w:cs="Times New Roman" w:eastAsia="Times New Roman" w:hAnsi="Times New Roman"/>
          <w:sz w:val="18"/>
          <w:szCs w:val="18"/>
          <w:color w:val="auto"/>
        </w:rPr>
        <w:t xml:space="preserve"> hereof must be in writing and must specify the Default, demand that it be remedied and state that the notice is a “</w:t>
      </w:r>
      <w:r>
        <w:rPr>
          <w:rFonts w:ascii="Times New Roman" w:cs="Times New Roman" w:eastAsia="Times New Roman" w:hAnsi="Times New Roman"/>
          <w:sz w:val="18"/>
          <w:szCs w:val="18"/>
          <w:b w:val="1"/>
          <w:bCs w:val="1"/>
          <w:color w:val="auto"/>
        </w:rPr>
        <w:t>Notice of Default</w:t>
      </w:r>
      <w:r>
        <w:rPr>
          <w:rFonts w:ascii="Times New Roman" w:cs="Times New Roman" w:eastAsia="Times New Roman" w:hAnsi="Times New Roman"/>
          <w:sz w:val="18"/>
          <w:szCs w:val="18"/>
          <w:color w:val="auto"/>
        </w:rPr>
        <w:t xml:space="preserve">.” When any Default under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is cured, it ceases.</w:t>
      </w:r>
    </w:p>
    <w:p>
      <w:pPr>
        <w:spacing w:after="0" w:line="1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i w:val="1"/>
          <w:iCs w:val="1"/>
          <w:color w:val="auto"/>
        </w:rPr>
        <w:t>Acceleration</w:t>
      </w:r>
      <w:r>
        <w:rPr>
          <w:rFonts w:ascii="Times New Roman" w:cs="Times New Roman" w:eastAsia="Times New Roman" w:hAnsi="Times New Roman"/>
          <w:sz w:val="18"/>
          <w:szCs w:val="18"/>
          <w:color w:val="auto"/>
        </w:rPr>
        <w:t xml:space="preserve">. If an Event of Default (other than an Event of Default specified in clause (i) or (j)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with respect to the Issuer) with respect to the Notes occurs and is continuing, the Trustee may, by notice to the Issuer, or the Holders of at least 25% in aggregate principal amount of the Notes then outstanding may, by notice to the Issuer and the Trustee, declare all unpaid principal to the date of acceleration on the Notes then outstanding (if not then due and payable) to be due and payable upon any such declaration, and the same shall become and be immediately due and payable. If an Event of Default specified in clause (i) or (j)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with respect to the Issuer occurs, all unpaid principal (including, without limitation, any premium, if any, then outstanding), and accrued interest, if any, on the Notes then outstanding shall ipso facto become and be immediately due and payable without any declaration or other act on the part of the Trustee or any Holder. The Holders of a majority in aggregate principal amount of Notes then outstanding by notice to the Trustee may rescind an acceleration and its consequences if (a) all existing Events of Default, other than the nonpayment of the principal of Notes which has become due solely by such declaration of acceleration, have been cured or waived; (b) the rescission would not conflict with any judgment or decree of a court of competent jurisdiction; and (c) all payments due to the Trustee and any predecessor Trustee (in each of its capacities hereunder, including as an Agent or as Notes Collateral Agent) under this Indenture, including, without limitation,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in respect of the Notes have been made. No such rescission shall affect any subsequent default or impair any right consequent thereto.</w:t>
      </w:r>
    </w:p>
    <w:p>
      <w:pPr>
        <w:spacing w:after="0" w:line="189" w:lineRule="exact"/>
        <w:rPr>
          <w:sz w:val="20"/>
          <w:szCs w:val="20"/>
          <w:color w:val="auto"/>
        </w:rPr>
      </w:pPr>
    </w:p>
    <w:p>
      <w:pPr>
        <w:ind w:right="4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set forth above, a notice of Default may not be given with respect to any action taken, and reported publicly or to Holders, more than two years prior to such notice of Default.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1020"/>
          </w:cols>
          <w:pgMar w:left="440" w:top="270" w:right="439" w:bottom="1440" w:gutter="0" w:footer="0" w:header="0"/>
        </w:sectPr>
      </w:pPr>
    </w:p>
    <w:bookmarkStart w:id="708" w:name="page709"/>
    <w:bookmarkEnd w:id="70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notice of Default, notice of acceleration or instruction to the Trustee to provide a notice of Default, notice of acceleration or take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action (a “</w:t>
      </w:r>
      <w:r>
        <w:rPr>
          <w:rFonts w:ascii="Times New Roman" w:cs="Times New Roman" w:eastAsia="Times New Roman" w:hAnsi="Times New Roman"/>
          <w:sz w:val="18"/>
          <w:szCs w:val="18"/>
          <w:b w:val="1"/>
          <w:bCs w:val="1"/>
          <w:color w:val="auto"/>
        </w:rPr>
        <w:t>Noteholder Direction</w:t>
      </w:r>
      <w:r>
        <w:rPr>
          <w:rFonts w:ascii="Times New Roman" w:cs="Times New Roman" w:eastAsia="Times New Roman" w:hAnsi="Times New Roman"/>
          <w:sz w:val="18"/>
          <w:szCs w:val="18"/>
          <w:color w:val="auto"/>
        </w:rPr>
        <w:t>”) provided by any one or more Holders (other than any Holder that is a Regulated Bank) (each a “</w:t>
      </w:r>
      <w:r>
        <w:rPr>
          <w:rFonts w:ascii="Times New Roman" w:cs="Times New Roman" w:eastAsia="Times New Roman" w:hAnsi="Times New Roman"/>
          <w:sz w:val="18"/>
          <w:szCs w:val="18"/>
          <w:b w:val="1"/>
          <w:bCs w:val="1"/>
          <w:color w:val="auto"/>
        </w:rPr>
        <w:t>Directing Holder</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must be accompanied by a written representation from each such Holder to the Issuer and the Trustee that such Holder is not (or, in the case such 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 DTC or its nominee, that such Holder is being instructed solely by beneficial owners that have represented to such Holder that they are not) Net Short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b w:val="1"/>
          <w:bCs w:val="1"/>
          <w:color w:val="auto"/>
        </w:rPr>
        <w:t>Position Representation</w:t>
      </w:r>
      <w:r>
        <w:rPr>
          <w:rFonts w:ascii="Times New Roman" w:cs="Times New Roman" w:eastAsia="Times New Roman" w:hAnsi="Times New Roman"/>
          <w:sz w:val="17"/>
          <w:szCs w:val="17"/>
          <w:color w:val="auto"/>
        </w:rPr>
        <w:t>”), which representation, in the case of a Noteholder Direction relating to a notice of Default shall be deemed repeated at all</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times until the resulting Event of Default is cured or otherwise ceases to exist or the Notes are accelerated. In addition, each Directing Holder is deemed,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time of providing a Noteholder Direction, to covenant to provide the Issuer with such other information as the Issuer may reasonably request from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to time in order to verify the accuracy of such Directing Holder’s Position Representation within five Business Days of request therefor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Verification Covenant</w:t>
      </w:r>
      <w:r>
        <w:rPr>
          <w:rFonts w:ascii="Times New Roman" w:cs="Times New Roman" w:eastAsia="Times New Roman" w:hAnsi="Times New Roman"/>
          <w:sz w:val="18"/>
          <w:szCs w:val="18"/>
          <w:color w:val="auto"/>
        </w:rPr>
        <w:t>”). In any case in which the Holder is DTC or its nominee, any Position Representation or Verification Covenant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shall be provided by the beneficial owner of such Notes in lieu of DTC or its nominee and DTC shall be entitled to conclusively rely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Representation and Verification Covenant in delivering its direction to the Trustee. If, following the delivery of a Noteholder Direction, but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the acceleration of the Notes, the Issuer determines in good faith that there is a reasonable basis to believe a Directing Holder providing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Noteholder Direction was, at any relevant time, in breach of its Position Representation and the Issuer provides to the Trustee (a) an Officers’ Certificate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certifying that the Issuer has a good faith reasonable basis to believe that one or more Directing Holders were at any relevant time in breach of their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Position Representation or their Verification Covenant and (b) evidence that the Issuer has filed papers with a court of competent jurisdiction seeking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determination that such Directing Holder was, at such time, in breach of its Position Representation, and seeking to invalidate any Event of Default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resulted from the applicable Noteholder Direction, the cure period with respect to such Event of Default shall be automatically stayed pending a final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non-appealable determination of a court of competent jurisdiction on such matter. If, following the delivery of a Noteholder Direction, but prior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of the Notes, the Issuer provides to the Trustee such Officers’ Certificate stating that a Directing Holder failed to satisfy its Verification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the cure period with respect to any Event of Default that resulted from the applicable Noteholder Direction shall be automatically stayed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pending satisfaction of such Verification Covenant. Any breach of the Position Representation shall result in such Directing Holder’s participation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Noteholder Direction being disregarded; and, if, without the participation of such Directing Holder, the percentage of the Notes held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remaining Holders that provided such Noteholder Direction would have been insufficient to validly provide such Noteholder Direction, such Noteholder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 shall be void ab initio (other than any indemnity and/or security such Directing Holder may have offered or provided to the Trustee 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Collateral Agent), with the effect that such Event of Default shall be deemed never to have occurred. If the Directing Holder has satisfied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Verification Covenant (and the Issuer has not determined in good faith that there is a reasonable basis to believe such Verification Covenant has not been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satisfied as set forth above), then the Trustee and the Notes Collateral Agent, if applicable, shall be permitted to act in accordance with such Noteholder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Direction. Notwithstanding the above, if such Directing Holder’s participation is not required to achieve the requisite level of consent of 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under this Indenture to give such Noteholder Direction, the Trustee and the Notes Collateral Agent, if applicable, shall be permitted to act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accordance with such Noteholder Direction notwithstanding any action taken or to be taken by the Issuer (as described above). In addition,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avoidance of doubt, this paragraph shall not apply to any Holder that is a Regulated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Regulated Bank is a Directing Holder or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beneficial owner directing DTC, it shall provide a written representation to the Issuer that it is a Regulated Bank.</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709" w:name="page710"/>
    <w:bookmarkEnd w:id="709"/>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each of the Trustee and the Notes Collateral Agent shall be entitled to conclusively rely on any Noteholder Direction delivered to it in accordance with this Indenture, shall have no duty to monitor, investigate, verify or otherwise determine if a Holder is Net Short or to inquire as to or investigate the accuracy of any Position Representation or determine whether it complies with the provisions of this Indenture, enforce compliance with any Verification Covenant, monitor any court proceedings undertaken in connection therewith, inquire if the Issuer will seek action to determine if a Directing Holder has breached its Position Representation, monitor or investigate whether any Default or Event of Default has been publicly reported, verify any statements in any Officers’ Certificate delivered to it, or otherwise make calculations, investigations or determinations with respect to Derivative Instruments, Net Shorts, Long Derivative Instruments, Short Derivative Instruments or otherwise and shall have no liability for ceasing to take any action or staying any remedy, staying any remedy or otherwise failing to act in accordance with a Noteholder Direction as provided for herein. Neither the Trustee, any Agent nor the Notes Collateral Agent shall have any liability to the Issuer, any Holder or any other Person in acting in good faith on a Noteholder Direction, or for determining whether any Holder has delivered a Position Representation, such Position Representation conforms with the requirements of this Indenture or any other agreement or any Holder is a Regulated Bank.</w:t>
      </w:r>
    </w:p>
    <w:p>
      <w:pPr>
        <w:spacing w:after="0" w:line="19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Holder by accepting a Note acknowledges and agrees that neither the Trustee, the Agents nor the Notes Collateral Agent (nor any agent) shall be liable to any person for acting or refraining to act in accordance with (i) the foregoing provisions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(ii) any Noteholder Direction, (iii) any Officers’ Certificate or (iv) its duties under this Indenture, as the Trustee or the Notes Collateral Agent, if applicable, may determine in its sole discretion.</w:t>
      </w:r>
    </w:p>
    <w:p>
      <w:pPr>
        <w:spacing w:after="0" w:line="178" w:lineRule="exact"/>
        <w:rPr>
          <w:sz w:val="20"/>
          <w:szCs w:val="20"/>
          <w:color w:val="auto"/>
        </w:rPr>
      </w:pPr>
    </w:p>
    <w:p>
      <w:pPr>
        <w:ind w:right="1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i w:val="1"/>
          <w:iCs w:val="1"/>
          <w:color w:val="auto"/>
        </w:rPr>
        <w:t>Other Remedies</w:t>
      </w:r>
      <w:r>
        <w:rPr>
          <w:rFonts w:ascii="Times New Roman" w:cs="Times New Roman" w:eastAsia="Times New Roman" w:hAnsi="Times New Roman"/>
          <w:sz w:val="18"/>
          <w:szCs w:val="18"/>
          <w:color w:val="auto"/>
        </w:rPr>
        <w:t>. If an Event of Default occurs and is continuing in respect of the Notes, the Trustee may, but shall not be obligated to, pursue any available remedy by proceeding at law or in equity to collect the payment of the principal of or interest on the Notes or to enforce the performance of any provision of such Notes or this Indenture.</w:t>
      </w:r>
    </w:p>
    <w:p>
      <w:pPr>
        <w:spacing w:after="0" w:line="17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to the extent permitted by law.</w:t>
      </w:r>
    </w:p>
    <w:p>
      <w:pPr>
        <w:spacing w:after="0" w:line="178"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6.04 </w:t>
      </w:r>
      <w:r>
        <w:rPr>
          <w:rFonts w:ascii="Times New Roman" w:cs="Times New Roman" w:eastAsia="Times New Roman" w:hAnsi="Times New Roman"/>
          <w:sz w:val="17"/>
          <w:szCs w:val="17"/>
          <w:i w:val="1"/>
          <w:iCs w:val="1"/>
          <w:color w:val="auto"/>
        </w:rPr>
        <w:t>Waiver of Defaults and Events of Default</w:t>
      </w:r>
      <w:r>
        <w:rPr>
          <w:rFonts w:ascii="Times New Roman" w:cs="Times New Roman" w:eastAsia="Times New Roman" w:hAnsi="Times New Roman"/>
          <w:sz w:val="17"/>
          <w:szCs w:val="17"/>
          <w:color w:val="auto"/>
        </w:rPr>
        <w:t xml:space="preserve">. Subject to Sections </w:t>
      </w:r>
      <w:r>
        <w:rPr>
          <w:rFonts w:ascii="Times New Roman" w:cs="Times New Roman" w:eastAsia="Times New Roman" w:hAnsi="Times New Roman"/>
          <w:sz w:val="17"/>
          <w:szCs w:val="17"/>
          <w:u w:val="single" w:color="auto"/>
          <w:color w:val="auto"/>
        </w:rPr>
        <w:t>6.07</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9.02</w:t>
      </w:r>
      <w:r>
        <w:rPr>
          <w:rFonts w:ascii="Times New Roman" w:cs="Times New Roman" w:eastAsia="Times New Roman" w:hAnsi="Times New Roman"/>
          <w:sz w:val="17"/>
          <w:szCs w:val="17"/>
          <w:color w:val="auto"/>
        </w:rPr>
        <w:t xml:space="preserve"> hereof, the Holders of a majority in aggregate principal amount of the Notes then outstanding by notice to the Trustee may waive an existing Default or Event of Default and its consequences, except a Default or Event of Default in the payment of the principal of, premium, if any, or interest on any Notes when due or any Default or Event of Default in respect of any provision of this Indenture or the Notes which, under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 xml:space="preserve"> hereof, cannot be modified or amended without the consent of the Holder of each Note affected (with respect to any Notes held by a non-consenting Holder). When a Default or Event of Default is waived, it is cured and ceases.</w:t>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0980"/>
          </w:cols>
          <w:pgMar w:left="440" w:top="270" w:right="479" w:bottom="1440" w:gutter="0" w:footer="0" w:header="0"/>
        </w:sectPr>
      </w:pPr>
    </w:p>
    <w:bookmarkStart w:id="710" w:name="page711"/>
    <w:bookmarkEnd w:id="710"/>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i w:val="1"/>
          <w:iCs w:val="1"/>
          <w:color w:val="auto"/>
        </w:rPr>
        <w:t>Control by Majority</w:t>
      </w:r>
      <w:r>
        <w:rPr>
          <w:rFonts w:ascii="Times New Roman" w:cs="Times New Roman" w:eastAsia="Times New Roman" w:hAnsi="Times New Roman"/>
          <w:sz w:val="18"/>
          <w:szCs w:val="18"/>
          <w:color w:val="auto"/>
        </w:rPr>
        <w:t xml:space="preserve">. The Holders of a majority in aggregate principal amount of the Notes then outstanding may direct the time, method and place of conducting any proceeding for exercising any remedy or power available to the Trustee or the Notes Collateral Agent or exercising any trust or power conferred on it. However, the Trustee may refuse to follow any direction that it determines, in consultation with its counsel conflicts with law or this Indenture, that the Trustee determines may be unduly prejudicial to the rights of another Holder of Notes (it being understood that the Trustee has no duty to determine if a directed action is prejudicial to any Holders) or the Trustee, or that may involve the Trustee in personal liability unless the Trustee is offered indemnity and/or security satisfactory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may take any other action deemed proper by the Trustee which is not inconsistent with such direction. Prior to taking any such action under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the Trustee or the Notes Collateral Agent, as applicable, shall be entitled to indemnification and/or security satisfactory to it against all fees, losses, liabilities and expenses (including attorney’s fees and expenses) that may be caused by taking or not taking such action.</w:t>
      </w:r>
    </w:p>
    <w:p>
      <w:pPr>
        <w:spacing w:after="0" w:line="188"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i w:val="1"/>
          <w:iCs w:val="1"/>
          <w:color w:val="auto"/>
        </w:rPr>
        <w:t>Limitations on Suits</w:t>
      </w:r>
      <w:r>
        <w:rPr>
          <w:rFonts w:ascii="Times New Roman" w:cs="Times New Roman" w:eastAsia="Times New Roman" w:hAnsi="Times New Roman"/>
          <w:sz w:val="18"/>
          <w:szCs w:val="18"/>
          <w:color w:val="auto"/>
        </w:rPr>
        <w:t>. A Holder may not pursue any remedy with respect to this Indenture or the Notes (except actions for payment of overdue principal, premium, if any, or interest) unless:</w:t>
      </w:r>
    </w:p>
    <w:p>
      <w:pPr>
        <w:spacing w:after="0" w:line="160" w:lineRule="exact"/>
        <w:rPr>
          <w:sz w:val="20"/>
          <w:szCs w:val="20"/>
          <w:color w:val="auto"/>
        </w:rPr>
      </w:pPr>
    </w:p>
    <w:p>
      <w:pPr>
        <w:ind w:left="680" w:hanging="244"/>
        <w:spacing w:after="0"/>
        <w:tabs>
          <w:tab w:leader="none" w:pos="68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gives to the Trustee written notice of a continuing Event of Default;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aggregate principal amount of the then outstanding Notes make a written request to the Trustee to pursue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remedy;</w:t>
      </w:r>
    </w:p>
    <w:p>
      <w:pPr>
        <w:spacing w:after="0" w:line="206"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to the Trustee indemnity and/or security satisfactory to the Trustee against any loss, liability or expense;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and/or security; and</w:t>
      </w:r>
    </w:p>
    <w:p>
      <w:pPr>
        <w:spacing w:after="0" w:line="225"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direction inconsistent with such written request has been given to the Trustee during such 60-day period by the Holders of a majority in aggregate principal amount of the Notes.</w:t>
      </w:r>
    </w:p>
    <w:p>
      <w:pPr>
        <w:spacing w:after="0" w:line="160"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i w:val="1"/>
          <w:iCs w:val="1"/>
          <w:color w:val="auto"/>
        </w:rPr>
        <w:t>Rights of Holders to Receive Payment</w:t>
      </w:r>
      <w:r>
        <w:rPr>
          <w:rFonts w:ascii="Times New Roman" w:cs="Times New Roman" w:eastAsia="Times New Roman" w:hAnsi="Times New Roman"/>
          <w:sz w:val="18"/>
          <w:szCs w:val="18"/>
          <w:color w:val="auto"/>
        </w:rPr>
        <w:t>. Notwithstanding any other provision of this Indenture, with respect to the Notes, the contractual right of any Holder of a Note to receive payment of the principal of, or interest on such Note, on or after the respective due dates expressed in such Note and this Indenture and to bring suit for the enforcement of any such payment on or after such respective dates, is absolute and unconditional and shall not be impaired or affected without the consent of the Holder.</w:t>
      </w:r>
    </w:p>
    <w:p>
      <w:pPr>
        <w:spacing w:after="0" w:line="180"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i w:val="1"/>
          <w:iCs w:val="1"/>
          <w:color w:val="auto"/>
        </w:rPr>
        <w:t>Collection Suit by Trustee</w:t>
      </w:r>
      <w:r>
        <w:rPr>
          <w:rFonts w:ascii="Times New Roman" w:cs="Times New Roman" w:eastAsia="Times New Roman" w:hAnsi="Times New Roman"/>
          <w:sz w:val="18"/>
          <w:szCs w:val="18"/>
          <w:color w:val="auto"/>
        </w:rPr>
        <w:t xml:space="preserve">. If an Event of Default in the payment of principal or interest specified in clause (a) or (b)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occurs and is continuing with respect to the Notes, the Trustee may recover judgment in its own name and as trustee of an express trust against the Issuer or another obligor on the Notes for the whole amount of principal</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68" w:right="459" w:bottom="1440" w:gutter="0" w:footer="0" w:header="0"/>
        </w:sectPr>
      </w:pPr>
    </w:p>
    <w:bookmarkStart w:id="711" w:name="page712"/>
    <w:bookmarkEnd w:id="711"/>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accrued interest remaining unpaid, together with, to the extent that payment of such interest is lawful, interest on overdue principal and overdue installments of interest, in each case at a rate equal to the interest rate then in effect on such Note and such further amount as shall be sufficient to cover the costs and expenses of collection, including the reasonable compensation, expenses, disbursements and advances of the Trustee, its agents and counsel.</w:t>
      </w:r>
    </w:p>
    <w:p>
      <w:pPr>
        <w:spacing w:after="0" w:line="17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i w:val="1"/>
          <w:iCs w:val="1"/>
          <w:color w:val="auto"/>
        </w:rPr>
        <w:t>Trustee May File Proofs of Claim</w:t>
      </w:r>
      <w:r>
        <w:rPr>
          <w:rFonts w:ascii="Times New Roman" w:cs="Times New Roman" w:eastAsia="Times New Roman" w:hAnsi="Times New Roman"/>
          <w:sz w:val="18"/>
          <w:szCs w:val="18"/>
          <w:color w:val="auto"/>
        </w:rPr>
        <w:t xml:space="preserve">. The Trustee may file such proofs of claim and other papers or documents as may be necessary or advisable in order to have the claims of the Trustee and the Notes Collateral Agent (including any claim for the compensation, expenses, disbursements and advances of the Trustee and the Notes Collateral Agent, and the reasonable compensation, expenses and disbursements of their agents and counsel) and the Holders allowed in any judicial proceedings relative to the Issuer (or any other obligor on the Notes), its creditors or its property and shall be entitled and empowered to collect and receive any money or other property payable or deliverable on any such claims and to distribute the same, and any Custodian in any such judicial proceeding is hereby authorized by each Holder to make such payments to the Trustee and, in the event that the Trustee shall consent to the making of such payments directly to the Holders, to pay to the Trustee any amount due to it for the compensation, expenses, disbursements and advances of the Trustee or the Notes Collateral Agent, their agents and counsel, and any other amounts due to the Trustee or the Notes Collateral Agent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and to the extent that such payment of the compensation, expenses, disbursements and advances in any such proceedings shall be denied for any reason, payment of the same shall be secured by a lien on, and shall be paid out of, any and all distributions, dividends, money, securities and other property which the Holders may be entitled to receive in such proceedings, whether in liquidation or under any plan of reorganization or arrangement or otherwise. Nothing herein contained shall be deemed to authorize the Trustee to authorize or consent to, or, on behalf of any Holder, to authorize, accept or adopt any plan of reorganization, arrangement, adjustment or composition affecting the Notes or the rights of any Holder thereof, or to authorize the Trustee to vote in respect of the claim of any Holder in any such proceeding.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i w:val="1"/>
          <w:iCs w:val="1"/>
          <w:color w:val="auto"/>
        </w:rPr>
        <w:t>Priorities</w:t>
      </w:r>
      <w:r>
        <w:rPr>
          <w:rFonts w:ascii="Times New Roman" w:cs="Times New Roman" w:eastAsia="Times New Roman" w:hAnsi="Times New Roman"/>
          <w:sz w:val="18"/>
          <w:szCs w:val="18"/>
          <w:color w:val="auto"/>
        </w:rPr>
        <w:t xml:space="preserve">. If the Trustee or the Notes Collateral Agent collect any money pursuant to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including upon realization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but subject to the Pari Passu Intercreditor Agreement, it shall pay out the money in the following order:</w:t>
      </w:r>
    </w:p>
    <w:p>
      <w:pPr>
        <w:spacing w:after="0" w:line="97" w:lineRule="exact"/>
        <w:rPr>
          <w:sz w:val="20"/>
          <w:szCs w:val="20"/>
          <w:color w:val="auto"/>
        </w:rPr>
      </w:pPr>
    </w:p>
    <w:p>
      <w:pPr>
        <w:ind w:left="440" w:right="24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the Trustee (in each of its capacities hereunder), the Agents and the Notes Collateral Agent for amounts due under this Indenture,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without limitation,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and the other Note Documents;</w:t>
      </w:r>
    </w:p>
    <w:p>
      <w:pPr>
        <w:spacing w:after="0" w:line="50" w:lineRule="exact"/>
        <w:rPr>
          <w:sz w:val="20"/>
          <w:szCs w:val="20"/>
          <w:color w:val="auto"/>
        </w:rPr>
      </w:pPr>
    </w:p>
    <w:p>
      <w:pPr>
        <w:ind w:left="440" w:right="30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Holders for amounts due and unpaid on the Notes for principal and interest ratably, without preference or priority of any kind,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according to the amounts due and payable on such Notes for principal and interest respectively; and</w:t>
      </w:r>
    </w:p>
    <w:p>
      <w:pPr>
        <w:spacing w:after="0" w:line="50" w:lineRule="exact"/>
        <w:rPr>
          <w:sz w:val="20"/>
          <w:szCs w:val="20"/>
          <w:color w:val="auto"/>
        </w:rPr>
      </w:pPr>
    </w:p>
    <w:p>
      <w:pPr>
        <w:ind w:left="440" w:right="300" w:firstLine="423"/>
        <w:spacing w:after="0" w:line="284"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the extent of any excess of such proceeds to the payment to or upon the order of the applicable Grantor or to whosoever may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lawfully entitled to receive the same or as a court of competent jurisdiction may direct.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Trustee may fix a record date and payment date for any payment to Holders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20"/>
          </w:cols>
          <w:pgMar w:left="440" w:top="270" w:right="439" w:bottom="1440" w:gutter="0" w:footer="0" w:header="0"/>
        </w:sectPr>
      </w:pPr>
    </w:p>
    <w:bookmarkStart w:id="712" w:name="page713"/>
    <w:bookmarkEnd w:id="712"/>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i w:val="1"/>
          <w:iCs w:val="1"/>
          <w:color w:val="auto"/>
        </w:rPr>
        <w:t>Undertaking for Costs</w:t>
      </w:r>
      <w:r>
        <w:rPr>
          <w:rFonts w:ascii="Times New Roman" w:cs="Times New Roman" w:eastAsia="Times New Roman" w:hAnsi="Times New Roman"/>
          <w:sz w:val="18"/>
          <w:szCs w:val="18"/>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does not apply to a suit made by the Trustee, a suit by a Holder pursuant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hereof, or a suit by Holders of more than 10% in aggregate principal amount of the Notes then outstanding.</w:t>
      </w:r>
    </w:p>
    <w:p>
      <w:pPr>
        <w:spacing w:after="0" w:line="182" w:lineRule="exact"/>
        <w:rPr>
          <w:sz w:val="20"/>
          <w:szCs w:val="20"/>
          <w:color w:val="auto"/>
        </w:rPr>
      </w:pPr>
    </w:p>
    <w:p>
      <w:pPr>
        <w:ind w:right="1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i w:val="1"/>
          <w:iCs w:val="1"/>
          <w:color w:val="auto"/>
        </w:rPr>
        <w:t>Rights and Remedies Cumulative</w:t>
      </w:r>
      <w:r>
        <w:rPr>
          <w:rFonts w:ascii="Times New Roman" w:cs="Times New Roman" w:eastAsia="Times New Roman" w:hAnsi="Times New Roman"/>
          <w:sz w:val="17"/>
          <w:szCs w:val="17"/>
          <w:color w:val="auto"/>
        </w:rPr>
        <w:t xml:space="preserve">. Except as otherwise provided with respect to the replacement or payment of mutilated, destroyed, lost or stolen Notes in </w:t>
      </w:r>
      <w:r>
        <w:rPr>
          <w:rFonts w:ascii="Times New Roman" w:cs="Times New Roman" w:eastAsia="Times New Roman" w:hAnsi="Times New Roman"/>
          <w:sz w:val="17"/>
          <w:szCs w:val="17"/>
          <w:u w:val="single" w:color="auto"/>
          <w:color w:val="auto"/>
        </w:rPr>
        <w:t>Section 2.07</w:t>
      </w:r>
      <w:r>
        <w:rPr>
          <w:rFonts w:ascii="Times New Roman" w:cs="Times New Roman" w:eastAsia="Times New Roman" w:hAnsi="Times New Roman"/>
          <w:sz w:val="17"/>
          <w:szCs w:val="17"/>
          <w:color w:val="auto"/>
        </w:rPr>
        <w:t xml:space="preserve"> hereof, no right or remedy herein conferred upon or reserved to the Trustee, the Notes Collateral Agent or to the 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68"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i w:val="1"/>
          <w:iCs w:val="1"/>
          <w:color w:val="auto"/>
        </w:rPr>
        <w:t>Delay or Omission Not Waiver</w:t>
      </w:r>
      <w:r>
        <w:rPr>
          <w:rFonts w:ascii="Times New Roman" w:cs="Times New Roman" w:eastAsia="Times New Roman" w:hAnsi="Times New Roman"/>
          <w:sz w:val="18"/>
          <w:szCs w:val="18"/>
          <w:color w:val="auto"/>
        </w:rPr>
        <w:t xml:space="preserve">. No delay or omission of the Trustee, the Notes Collateral Agent or of any Holder of any Note to exercise any right or remedy accruing upon any Event of Default shall impair any such right or remedy or constitute a waiver of any such Event of Default or an acquiescence therein. Every right and remedy given by this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by law to the Trustee, the Notes Collateral Agent or to the Holders may be exercised from time to time, and as often as may be deemed expedient, by the Trustee, the Notes Collateral Agent or by the Holders, as the case may be.</w:t>
      </w: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i w:val="1"/>
          <w:iCs w:val="1"/>
          <w:color w:val="auto"/>
        </w:rPr>
        <w:t>Duties of Trustee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0" w:firstLine="436"/>
        <w:spacing w:after="0" w:line="266" w:lineRule="auto"/>
        <w:tabs>
          <w:tab w:leader="none" w:pos="685"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the Trustee shall exercise such of the rights and powers vested in it by this Indenture and use the same degree of care and skill in its exercise as a prudent person would exercise or use under the circumstances in the conduct of his or her own affairs.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as are specifically set forth in this Indenture and no others, and no implied covenants, duties or obligations shall be read into this Indenture against the Trustee; and</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66" w:lineRule="auto"/>
        <w:tabs>
          <w:tab w:leader="none" w:pos="1128" w:val="left"/>
        </w:tabs>
        <w:numPr>
          <w:ilvl w:val="1"/>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gross negligence, willful misconduct or bad faith on its part, the Trustee may conclusively rely, as to the truth of the statements and the correctness of the opinions expressed therein, upon certificates or opinions furnished to the Trustee and conforming to the requirements of this Indenture. The Trustee, however,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68" w:right="459" w:bottom="1440" w:gutter="0" w:footer="0" w:header="0"/>
        </w:sectPr>
      </w:pPr>
    </w:p>
    <w:bookmarkStart w:id="713" w:name="page714"/>
    <w:bookmarkEnd w:id="713"/>
    <w:p>
      <w:pPr>
        <w:ind w:left="440"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examine any certificates and opinions which by any provision hereof are specifically required to be delivered to the Trustee to determine whether or not they conform to the requirements of this Indenture (but need not confirm or investigate the accuracy of mathematical calculations or other facts stated therein).</w:t>
      </w:r>
    </w:p>
    <w:p>
      <w:pPr>
        <w:spacing w:after="0" w:line="176" w:lineRule="exact"/>
        <w:rPr>
          <w:sz w:val="20"/>
          <w:szCs w:val="20"/>
          <w:color w:val="auto"/>
        </w:rPr>
      </w:pPr>
    </w:p>
    <w:p>
      <w:pPr>
        <w:ind w:right="240" w:firstLine="436"/>
        <w:spacing w:after="0" w:line="282" w:lineRule="auto"/>
        <w:tabs>
          <w:tab w:leader="none" w:pos="685"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grossly negligent action, its own grossly negligent failure to act, or its own willful misconduct, except that: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does not limit the effect of subsection (b)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28"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Trust Officer, unless it is proved that the Trustee was grossly negligent in ascertaining the pertinent facts; and</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78"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with respect to any action it takes or omits to take in good faith in accordance with a direction received by it pursuant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or the Notes shall require the Trustee to expend or risk its own funds or otherwise incur any financial liability in the performance of any of its duties hereunder or in the exercise of any of its rights or powers unless the Trustee shall have received satisfactory indemnity and/or security in its opinion against potential costs and liabilities incurred by it relating thereto.</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provision of this Indenture that in any way relates to the Trustee is subject to subsections (a), (b), (c) and (d)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20" w:firstLine="436"/>
        <w:spacing w:after="0" w:line="282" w:lineRule="auto"/>
        <w:tabs>
          <w:tab w:leader="none" w:pos="665"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Issuer. Money held in trust by the Trustee need not be segregated from other funds except to the extent required by law.</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95" w:val="left"/>
        </w:tabs>
        <w:numPr>
          <w:ilvl w:val="0"/>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any Agent nor the Notes Collateral Agent shall be responsible to make any calculation with respect to any matter under this Indenture and/or the Notes Documents.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i w:val="1"/>
          <w:iCs w:val="1"/>
          <w:color w:val="auto"/>
        </w:rPr>
        <w:t>Rights of Trustee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w:t>
      </w:r>
    </w:p>
    <w:p>
      <w:pPr>
        <w:spacing w:after="0" w:line="227" w:lineRule="exact"/>
        <w:rPr>
          <w:sz w:val="20"/>
          <w:szCs w:val="20"/>
          <w:color w:val="auto"/>
        </w:rPr>
      </w:pPr>
    </w:p>
    <w:p>
      <w:pPr>
        <w:ind w:firstLine="436"/>
        <w:spacing w:after="0" w:line="256" w:lineRule="auto"/>
        <w:tabs>
          <w:tab w:leader="none" w:pos="685"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rely conclusively on any document believed by it to be genuine and to have been signed or presented by the proper person. The Trustee need not investigate any fact or matter stated in the document, but the Trustee may (but shall not be obligated to) make such further inquiry or investigation into such facts or matters as it seems fit, and if the Trustee shall determine to make such further inquiry or investigation, it shall incur no liability or additional liability of any kind by reason of such inquiry or investigation. The Trustee shall receive and retain financial reports and statements of the Issuer as provided herein, but shall have no duty to review or analyze such reports or statements to determine compliance with covenants or other obligations of the Issuer.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20"/>
          </w:cols>
          <w:pgMar w:left="440" w:top="270" w:right="439" w:bottom="1440" w:gutter="0" w:footer="0" w:header="0"/>
        </w:sectPr>
      </w:pPr>
    </w:p>
    <w:bookmarkStart w:id="714" w:name="page715"/>
    <w:bookmarkEnd w:id="714"/>
    <w:p>
      <w:pPr>
        <w:jc w:val="both"/>
        <w:ind w:right="40" w:firstLine="436"/>
        <w:spacing w:after="0" w:line="266" w:lineRule="auto"/>
        <w:tabs>
          <w:tab w:leader="none" w:pos="695"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Before the Trustee acts or refrains from acting, it may require an Officers’ Certificate or an Opinion of Counsel (or both), which shall conform to </w:t>
      </w:r>
      <w:r>
        <w:rPr>
          <w:rFonts w:ascii="Times New Roman" w:cs="Times New Roman" w:eastAsia="Times New Roman" w:hAnsi="Times New Roman"/>
          <w:sz w:val="18"/>
          <w:szCs w:val="18"/>
          <w:u w:val="single" w:color="auto"/>
          <w:color w:val="auto"/>
        </w:rPr>
        <w:t>Section 11.04(b)</w:t>
      </w:r>
      <w:r>
        <w:rPr>
          <w:rFonts w:ascii="Times New Roman" w:cs="Times New Roman" w:eastAsia="Times New Roman" w:hAnsi="Times New Roman"/>
          <w:sz w:val="18"/>
          <w:szCs w:val="18"/>
          <w:color w:val="auto"/>
        </w:rPr>
        <w:t xml:space="preserve"> hereof. The Trustee shall not be liable for any action it takes or omits to take in good faith in reliance on such Officers’ Certificate or Opinion of Counsel.</w:t>
      </w:r>
    </w:p>
    <w:p>
      <w:pPr>
        <w:spacing w:after="0" w:line="17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agents and shall not be responsible for the misconduct or negligence of any agent appointed with due care.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powers.</w:t>
      </w:r>
    </w:p>
    <w:p>
      <w:pPr>
        <w:spacing w:after="0" w:line="206" w:lineRule="exact"/>
        <w:rPr>
          <w:rFonts w:ascii="Times New Roman" w:cs="Times New Roman" w:eastAsia="Times New Roman" w:hAnsi="Times New Roman"/>
          <w:sz w:val="18"/>
          <w:szCs w:val="18"/>
          <w:color w:val="auto"/>
        </w:rPr>
      </w:pPr>
    </w:p>
    <w:p>
      <w:pPr>
        <w:ind w:right="40" w:firstLine="436"/>
        <w:spacing w:after="0" w:line="266" w:lineRule="auto"/>
        <w:tabs>
          <w:tab w:leader="none" w:pos="685"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such counsel as to matters of law shall be full and complete authorization and protection in respect of any such action taken, omitted or suffered by it hereunder or under the Notes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ind w:right="140" w:firstLine="436"/>
        <w:spacing w:after="0" w:line="266" w:lineRule="auto"/>
        <w:tabs>
          <w:tab w:leader="none" w:pos="665"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offered to the Trustee security and/or indemnity satisfactory to the Trustee against the costs, expenses and liabilities which might be incurred by it in compliance with such request or direction.</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discretion, may make such further inquiry or investigation into such facts or matters as it may see fit, and, if the Trustee shall determine to make such further inquiry or investigation, it shall be entitled to examine the books, records and premises of the Issuer, personally or by agent or attorney at the sole cost of the Issuer and shall incur no liability or additional liability of any kind by reason of such inquiry or investigation. The Trustee and the Agents may rely and shall be protected in acting or refraining from acting upon any resolution, Officers’ Certificate, Opinion of Counsel or any other certificate, statement, instrument, opinion, report, notice, request, consent, order, bond, debenture, note, coupon, security, or other paper or document believed by them to be genuine and to have been signed or presented by the proper party or parties.</w:t>
      </w:r>
    </w:p>
    <w:p>
      <w:pPr>
        <w:spacing w:after="0" w:line="19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an Officers’ Certificate setting forth the names of individuals and/or titles of officers authorized at such time to take specified actions pursuant to this Indenture or the Notes.</w:t>
      </w:r>
    </w:p>
    <w:p>
      <w:pPr>
        <w:spacing w:after="0" w:line="161" w:lineRule="exact"/>
        <w:rPr>
          <w:rFonts w:ascii="Times New Roman" w:cs="Times New Roman" w:eastAsia="Times New Roman" w:hAnsi="Times New Roman"/>
          <w:sz w:val="18"/>
          <w:szCs w:val="18"/>
          <w:color w:val="auto"/>
        </w:rPr>
      </w:pPr>
    </w:p>
    <w:p>
      <w:pPr>
        <w:ind w:right="220" w:firstLine="436"/>
        <w:spacing w:after="0" w:line="266" w:lineRule="auto"/>
        <w:tabs>
          <w:tab w:leader="none" w:pos="655"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notice of any Default or Event of Default unless written notice of any event which is in fact such a default is received by a responsible Trust Officer of the Trustee at the Corporate Trust Office, and such notice references the Issuer, the Notes and this Indenture. The Trustee shall not be responsible for monitoring the value of any Collateral that is released from the Liens hereunder.</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00"/>
          </w:cols>
          <w:pgMar w:left="440" w:top="270" w:right="459" w:bottom="1440" w:gutter="0" w:footer="0" w:header="0"/>
        </w:sectPr>
      </w:pPr>
    </w:p>
    <w:bookmarkStart w:id="715" w:name="page716"/>
    <w:bookmarkEnd w:id="715"/>
    <w:p>
      <w:pPr>
        <w:ind w:right="220" w:firstLine="436"/>
        <w:spacing w:after="0" w:line="261" w:lineRule="auto"/>
        <w:tabs>
          <w:tab w:leader="none" w:pos="655"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privileges, protections, immunities and benefits given to the Trustee, including, without limitation, its right to be indemnified, are extended to, and shall be enforceable by, the Trustee in each of its capacities hereunder and under the other Notes Documents, including as Notes Collateral Agent, the Paying Agent, the Registrar, the Transfer Agent, the Notes Custodian and to each other agent, custodian and other Person employed to act hereunder.</w:t>
      </w:r>
    </w:p>
    <w:p>
      <w:pPr>
        <w:spacing w:after="0" w:line="179"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special, punitive, indirect, or consequential loss or damage of any kind whatsoever (including, but not limited to, loss of profit) irrespective of whether the Trustee has been advised of the likelihood of such loss or damage and regardless of the form of action.</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55"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any epidemics, pandemics or similar outbreaks of infectious disease, loss or malfunctions of utilities, communications or computer (software and hardware) services; it being understood that the Trustee shall use commercially reasonable efforts which are consistent with accepted practices in the banking industry to resume performance as soon as practicable under the circumstances.</w:t>
      </w:r>
    </w:p>
    <w:p>
      <w:pPr>
        <w:spacing w:after="0" w:line="18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enumerated herein and in the other Note Documents shall not be construed as duties.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required to give any bond or surety in respect of the performance of its powers and duties hereunder.</w:t>
      </w:r>
    </w:p>
    <w:p>
      <w:pPr>
        <w:spacing w:after="0" w:line="225" w:lineRule="exact"/>
        <w:rPr>
          <w:rFonts w:ascii="Times New Roman" w:cs="Times New Roman" w:eastAsia="Times New Roman" w:hAnsi="Times New Roman"/>
          <w:sz w:val="18"/>
          <w:szCs w:val="18"/>
          <w:color w:val="auto"/>
        </w:rPr>
      </w:pPr>
    </w:p>
    <w:p>
      <w:pPr>
        <w:ind w:right="40" w:firstLine="436"/>
        <w:spacing w:after="0" w:line="261" w:lineRule="auto"/>
        <w:tabs>
          <w:tab w:leader="none" w:pos="695"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Agents may rely upon the terms of any notice, instruction, communication or other document believed by it to be genuine and be entitled to refrain from acting, without liability, if it determines that such instruction is unclear, equivocal or contradictory. In the event an Agent determines that an instruction received by it is unclear, equivocal or contradictory, the Agent shall as soon as reasonably practicable notify the instructing party of such determination.</w:t>
      </w:r>
    </w:p>
    <w:p>
      <w:pPr>
        <w:spacing w:after="0" w:line="179" w:lineRule="exact"/>
        <w:rPr>
          <w:rFonts w:ascii="Times New Roman" w:cs="Times New Roman" w:eastAsia="Times New Roman" w:hAnsi="Times New Roman"/>
          <w:sz w:val="18"/>
          <w:szCs w:val="18"/>
          <w:color w:val="auto"/>
        </w:rPr>
      </w:pPr>
    </w:p>
    <w:p>
      <w:pPr>
        <w:jc w:val="both"/>
        <w:ind w:right="200" w:firstLine="436"/>
        <w:spacing w:after="0" w:line="261" w:lineRule="auto"/>
        <w:tabs>
          <w:tab w:leader="none" w:pos="695"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herein contained, the Trustee and the Agents, may refrain without liability from doing anything that would or might in their opinion be contrary to any law of any state or jurisdiction (including but not limited to State of New York, the United States of America or, in each case, any jurisdiction forming a part of it) or any directive or regulation of any agency of any such state or jurisdiction and may without liability do anything which is, in their opinion, necessary to comply with any such law, directive or regulation.</w:t>
      </w:r>
    </w:p>
    <w:p>
      <w:pPr>
        <w:spacing w:after="0" w:line="178"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i w:val="1"/>
          <w:iCs w:val="1"/>
          <w:color w:val="auto"/>
        </w:rPr>
        <w:t>Individual Rights of Trustee</w:t>
      </w:r>
      <w:r>
        <w:rPr>
          <w:rFonts w:ascii="Times New Roman" w:cs="Times New Roman" w:eastAsia="Times New Roman" w:hAnsi="Times New Roman"/>
          <w:sz w:val="18"/>
          <w:szCs w:val="18"/>
          <w:color w:val="auto"/>
        </w:rPr>
        <w:t xml:space="preserve">. The Trustee in its individual or any other capacity may become the owner or pledgee of Notes and may otherwise deal with the Issuer or an Affiliate of the Issuer with the same rights it would have if it were not Trustee. Any Agent may do the same with like rights. However, the Trustee is subject to Sections </w:t>
      </w:r>
      <w:r>
        <w:rPr>
          <w:rFonts w:ascii="Times New Roman" w:cs="Times New Roman" w:eastAsia="Times New Roman" w:hAnsi="Times New Roman"/>
          <w:sz w:val="18"/>
          <w:szCs w:val="18"/>
          <w:u w:val="single" w:color="auto"/>
          <w:color w:val="auto"/>
        </w:rPr>
        <w:t>7.09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7.10</w:t>
      </w:r>
      <w:r>
        <w:rPr>
          <w:rFonts w:ascii="Times New Roman" w:cs="Times New Roman" w:eastAsia="Times New Roman" w:hAnsi="Times New Roman"/>
          <w:sz w:val="18"/>
          <w:szCs w:val="18"/>
          <w:color w:val="auto"/>
        </w:rPr>
        <w:t xml:space="preserve"> hereof.</w:t>
      </w:r>
    </w:p>
    <w:p>
      <w:pPr>
        <w:spacing w:after="0" w:line="173"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i w:val="1"/>
          <w:iCs w:val="1"/>
          <w:color w:val="auto"/>
        </w:rPr>
        <w:t>Trustee’s Disclaimer</w:t>
      </w:r>
      <w:r>
        <w:rPr>
          <w:rFonts w:ascii="Times New Roman" w:cs="Times New Roman" w:eastAsia="Times New Roman" w:hAnsi="Times New Roman"/>
          <w:sz w:val="18"/>
          <w:szCs w:val="18"/>
          <w:color w:val="auto"/>
        </w:rPr>
        <w:t>. The Trustee makes no representation as to the validity or adequacy of this Indenture or the Notes, it shall not be accountable for the Issuer’s use of the proceeds from the Notes, and it shall not be responsible for any statement in the Notes other than its certificate of authentication. The Trustee does not assume any responsibility for any failure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716" w:name="page717"/>
    <w:bookmarkEnd w:id="716"/>
    <w:p>
      <w:pPr>
        <w:ind w:right="2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delay in performance or any breach by the Issuer or any Guarantor under any Notes Documents. The Trustee shall not be responsible to the Holders or any other Person for any recitals, statements, information, representations or warranties contained in any Notes Documents or in any certificate, report, statement, or other document referred to or provided for in, or received by the Trustee under or in connection with, any Notes Documents; the execution, validity, genuineness, effectiveness or enforceability of the Pari Passu Intercreditor Agreement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the Notes Documents.</w:t>
      </w:r>
    </w:p>
    <w:p>
      <w:pPr>
        <w:spacing w:after="0" w:line="190"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i w:val="1"/>
          <w:iCs w:val="1"/>
          <w:color w:val="auto"/>
        </w:rPr>
        <w:t>Notice of Default or Events of Default</w:t>
      </w:r>
      <w:r>
        <w:rPr>
          <w:rFonts w:ascii="Times New Roman" w:cs="Times New Roman" w:eastAsia="Times New Roman" w:hAnsi="Times New Roman"/>
          <w:sz w:val="18"/>
          <w:szCs w:val="18"/>
          <w:color w:val="auto"/>
        </w:rPr>
        <w:t>. If a Default or an Event of Default occurs and is continuing and if a Trust Officer of the Trustee has received written notice of such Default or Event of Default at its Corporate Trust Office and such notice references the Notes, the Issuer and this Indenture, the Trustee shall notify each Noteholder of the Default or Event of Default within 90 days after it is known by the Trustee. However, the Trustee may (but shall not be obligated to) withhold the notice if and so long as a committee of its Trust Officers in good faith determines that withholding notice is in the interests of Noteholders, except in the case of a Default or an Event of Default in payment of the principal (including premium, if any) of or interest on any Note.</w:t>
      </w:r>
    </w:p>
    <w:p>
      <w:pPr>
        <w:spacing w:after="0" w:line="18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i w:val="1"/>
          <w:iCs w:val="1"/>
          <w:color w:val="auto"/>
        </w:rPr>
        <w:t>Compensation and Indemnity</w:t>
      </w:r>
      <w:r>
        <w:rPr>
          <w:rFonts w:ascii="Times New Roman" w:cs="Times New Roman" w:eastAsia="Times New Roman" w:hAnsi="Times New Roman"/>
          <w:sz w:val="18"/>
          <w:szCs w:val="18"/>
          <w:color w:val="auto"/>
        </w:rPr>
        <w:t>. The Issuer and each Guarantor, jointly severally, shall pay to the Trustee from time to time such compensation (as agreed to from time to time by the Issuer and the Trustee in writing) for its services (which compensation shall not be limited by any provision of law in regard to the compensation of a trustee of an express trust). The Issuer, and each Guarantor, jointly and severally, shall reimburse the Trustee upon request for all disbursements, expenses and advances incurred or made by it. Such expenses may include the reasonable compensation, disbursements and expenses of the Trustee’s agents and counsel.</w:t>
      </w:r>
    </w:p>
    <w:p>
      <w:pPr>
        <w:spacing w:after="0" w:line="18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of the Issuer and each Guarantor, jointly and severally, shall indemnify the Trustee or any predecessor Trustee (which for purposes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include its officers, directors, employees and agents) for, and hold it harmless against, any and all loss, liability or expense including taxes (other than taxes based upon, measured by or determined by the income of the Trustee, including reasonable legal fees and expenses) incurred by it in connection with the acceptance or administration of its duties under this Indenture or any action or failure to act as authorized or within the discretion or rights or powers conferred upon the Trustee hereunder or thereunder including the costs and expenses of the Trustee and the reasonable costs and expenses of its counsel in defending itself against any claim or liability in connection with the exercise or performance of any of its powers or duties hereunder or thereunder. The Trustee shall notify the Issuer promptly of any claim asserted against the Trustee for which it may seek indemnity. Failure by the Trustee to so notify the Issuer shall not relieve the Issuer of its obligations hereunder. The Issuer need not pay for any settlement effected without its prior written consent, which shall not be unreasonably withheld.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20"/>
          </w:cols>
          <w:pgMar w:left="440" w:top="270" w:right="439" w:bottom="1440" w:gutter="0" w:footer="0" w:header="0"/>
        </w:sectPr>
      </w:pPr>
    </w:p>
    <w:bookmarkStart w:id="717" w:name="page718"/>
    <w:bookmarkEnd w:id="717"/>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need not reimburse the Trustee for any expense or indemnify it against any loss or liability determined by a court of competent jurisdiction in a final non-appealable decision to have been caused by its own gross negligence or willful misconduct.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secure the Issuer’s payment obligations in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the Trustee shall have a senior claim to which the Notes are hereby made subordinate on all money or property held or collected by the Trustee, except such money or property held in trust to pay the principal of and interest on the Notes. The obligations of the Issuer under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shall survive the satisfaction and discharge of this Indenture or the resignation or removal of the Trustee.</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When the Trustee incurs expenses or renders services after an Event of Default specified in clause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occurs, the expenses and the compensation for the services are intended to constitute expenses of administration under the Bankruptcy Code to the extent permitted by law. The provisions of this Section shall survive the termination of this Indenture.</w:t>
      </w:r>
    </w:p>
    <w:p>
      <w:pPr>
        <w:spacing w:after="0" w:line="176"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reference to the “Trustee”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hereof shall be deemed to include the reference to the Notes Collateral Agent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of this Indenture shall apply mutatis mutandis to the Agents in their capacities as such.</w:t>
      </w:r>
    </w:p>
    <w:p>
      <w:pPr>
        <w:spacing w:after="0" w:line="160" w:lineRule="exact"/>
        <w:rPr>
          <w:sz w:val="20"/>
          <w:szCs w:val="20"/>
          <w:color w:val="auto"/>
        </w:rPr>
      </w:pPr>
    </w:p>
    <w:p>
      <w:pPr>
        <w:ind w:right="6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i w:val="1"/>
          <w:iCs w:val="1"/>
          <w:color w:val="auto"/>
        </w:rPr>
        <w:t>Replacement of Trustee</w:t>
      </w:r>
      <w:r>
        <w:rPr>
          <w:rFonts w:ascii="Times New Roman" w:cs="Times New Roman" w:eastAsia="Times New Roman" w:hAnsi="Times New Roman"/>
          <w:sz w:val="18"/>
          <w:szCs w:val="18"/>
          <w:color w:val="auto"/>
        </w:rPr>
        <w:t>. The Trustee may resign by so notifying the Issuer. The Holders of a majority in aggregate principal amount of the Notes then outstanding may remove the Trustee by so notifying the Trustee. The Issuer may remove the Trustee if:</w:t>
      </w:r>
    </w:p>
    <w:p>
      <w:pPr>
        <w:spacing w:after="0" w:line="160" w:lineRule="exact"/>
        <w:rPr>
          <w:sz w:val="20"/>
          <w:szCs w:val="20"/>
          <w:color w:val="auto"/>
        </w:rPr>
      </w:pPr>
    </w:p>
    <w:p>
      <w:pPr>
        <w:ind w:left="680" w:hanging="244"/>
        <w:spacing w:after="0"/>
        <w:tabs>
          <w:tab w:leader="none" w:pos="680"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a bankrupt or an insolvent;</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Custodian or other public officer takes charge of the Trustee or its property; or</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becomes incapable of acting.</w:t>
      </w:r>
    </w:p>
    <w:p>
      <w:pPr>
        <w:spacing w:after="0" w:line="22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the Trustee for any reason, the Issuer shall promptly appoint a successor Trustee. The resignation or removal of a Trustee shall not be effective until a successor Trustee shall have delivered the written acceptance of its appointment as described below.</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45 days after the retiring Trustee resigns or is removed, the retiring Trustee, the Issuer or the Holders of 10% in principal amount of the Notes then outstanding may petition any court of competent jurisdiction for the appointment of a successor Trustee at the expense of the Issuer.</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If the Trustee fails to comply with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hereof, any Holder may petition any court of competent jurisdiction for the removal of the Trustee and the appointment of a successor Trustee.</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40"/>
          </w:cols>
          <w:pgMar w:left="440" w:top="270" w:right="519" w:bottom="1440" w:gutter="0" w:footer="0" w:header="0"/>
        </w:sectPr>
      </w:pPr>
    </w:p>
    <w:bookmarkStart w:id="718" w:name="page719"/>
    <w:bookmarkEnd w:id="718"/>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successor Trustee shall deliver a written acceptance of its appointment to the retiring Trustee and to the Issuer. Immediately after that, the retiring Trustee, upon payment of its charges hereunder, shall transfer all property held by it as Trustee of the Notes to the successor Trustee and be released from its obligations (exclusive of any liabilities that the retiring Trustee may have incurred while acting as Trustee) hereunder, the resignation or removal of the retiring Trustee shall become effective, and the successor Trustee shall have all the rights, powers and duties of the Trustee of the Notes under this Indenture. A successor Trustee shall mail notice of its succession to each affected Holder.</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 retiring Trustee shall not be liable for the acts or omissions of any successor Trustee after its succession.</w:t>
      </w:r>
    </w:p>
    <w:p>
      <w:pPr>
        <w:spacing w:after="0" w:line="225"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replacement of the Trustee pursuant to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the Issuer’s obligations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shall continue for the benefit of the retiring Trustee.</w:t>
      </w:r>
    </w:p>
    <w:p>
      <w:pPr>
        <w:spacing w:after="0" w:line="160"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i w:val="1"/>
          <w:iCs w:val="1"/>
          <w:color w:val="auto"/>
        </w:rPr>
        <w:t>Successor Trustee by Merger, Etc</w:t>
      </w:r>
      <w:r>
        <w:rPr>
          <w:rFonts w:ascii="Times New Roman" w:cs="Times New Roman" w:eastAsia="Times New Roman" w:hAnsi="Times New Roman"/>
          <w:sz w:val="18"/>
          <w:szCs w:val="18"/>
          <w:color w:val="auto"/>
        </w:rPr>
        <w:t xml:space="preserve">. If the Trustee consolidates with, merges or converts into, or transfers all or substantially all of its corporate trust assets (including the administration of this Indenture) to, another corporation, the resulting, surviving or transferee corporation, without any further act, shall be the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transferee corporation shall qualify and be eligible under </w:t>
      </w:r>
      <w:r>
        <w:rPr>
          <w:rFonts w:ascii="Times New Roman" w:cs="Times New Roman" w:eastAsia="Times New Roman" w:hAnsi="Times New Roman"/>
          <w:sz w:val="18"/>
          <w:szCs w:val="18"/>
          <w:u w:val="single" w:color="auto"/>
          <w:color w:val="auto"/>
        </w:rPr>
        <w:t>Section 7.09</w:t>
      </w:r>
      <w:r>
        <w:rPr>
          <w:rFonts w:ascii="Times New Roman" w:cs="Times New Roman" w:eastAsia="Times New Roman" w:hAnsi="Times New Roman"/>
          <w:sz w:val="18"/>
          <w:szCs w:val="18"/>
          <w:color w:val="auto"/>
        </w:rPr>
        <w:t xml:space="preserve"> hereof. Such successor Trustee shall promptly mail notice of its succession to the Issuer and each affected Holder.</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i w:val="1"/>
          <w:iCs w:val="1"/>
          <w:color w:val="auto"/>
        </w:rPr>
        <w:t>Eligibility; Disqualification</w:t>
      </w:r>
      <w:r>
        <w:rPr>
          <w:rFonts w:ascii="Times New Roman" w:cs="Times New Roman" w:eastAsia="Times New Roman" w:hAnsi="Times New Roman"/>
          <w:sz w:val="18"/>
          <w:szCs w:val="18"/>
          <w:color w:val="auto"/>
        </w:rPr>
        <w:t xml:space="preserve">. The Trustee shall always satisfy the requirements of paragraphs (1), (2) and (5) of TIA Section 310(a). The Trustee (or its parent holding company) shall have a combined capital and surplus of at least $50,000,000. If at any time the Trustee shall cease to satisfy any such requirements, it shall resign immediately in the manner and with the effect specified in this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The Trustee shall be subject to the provisions of TIA Section 310(b).</w:t>
      </w:r>
    </w:p>
    <w:p>
      <w:pPr>
        <w:spacing w:after="0" w:line="180" w:lineRule="exact"/>
        <w:rPr>
          <w:sz w:val="20"/>
          <w:szCs w:val="20"/>
          <w:color w:val="auto"/>
        </w:rPr>
      </w:pPr>
    </w:p>
    <w:p>
      <w:pPr>
        <w:ind w:left="4"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i w:val="1"/>
          <w:iCs w:val="1"/>
          <w:color w:val="auto"/>
        </w:rPr>
        <w:t>Preferential Collection of Claims Against the Issuer</w:t>
      </w:r>
      <w:r>
        <w:rPr>
          <w:rFonts w:ascii="Times New Roman" w:cs="Times New Roman" w:eastAsia="Times New Roman" w:hAnsi="Times New Roman"/>
          <w:sz w:val="18"/>
          <w:szCs w:val="18"/>
          <w:color w:val="auto"/>
        </w:rPr>
        <w:t>. The Trustee shall comply with TIA Section 311(a), excluding any creditor relationship listed in TIA Section 311(b). A Trustee who has resigned or been removed shall be subject to TIA Section 311(a) to the extent indicated therein.</w:t>
      </w:r>
    </w:p>
    <w:p>
      <w:pPr>
        <w:spacing w:after="0" w:line="173" w:lineRule="exact"/>
        <w:rPr>
          <w:sz w:val="20"/>
          <w:szCs w:val="20"/>
          <w:color w:val="auto"/>
        </w:rPr>
      </w:pPr>
    </w:p>
    <w:p>
      <w:pPr>
        <w:ind w:left="4" w:right="120" w:firstLine="440"/>
        <w:spacing w:after="0" w:line="270" w:lineRule="auto"/>
        <w:rPr>
          <w:sz w:val="20"/>
          <w:szCs w:val="20"/>
          <w:color w:val="auto"/>
        </w:rPr>
      </w:pPr>
      <w:r>
        <w:rPr>
          <w:rFonts w:ascii="Times New Roman" w:cs="Times New Roman" w:eastAsia="Times New Roman" w:hAnsi="Times New Roman"/>
          <w:sz w:val="17"/>
          <w:szCs w:val="17"/>
          <w:color w:val="auto"/>
        </w:rPr>
        <w:t xml:space="preserve">Section 7.11 </w:t>
      </w:r>
      <w:r>
        <w:rPr>
          <w:rFonts w:ascii="Times New Roman" w:cs="Times New Roman" w:eastAsia="Times New Roman" w:hAnsi="Times New Roman"/>
          <w:sz w:val="17"/>
          <w:szCs w:val="17"/>
          <w:i w:val="1"/>
          <w:iCs w:val="1"/>
          <w:color w:val="auto"/>
        </w:rPr>
        <w:t>Collateral Documents; Intercreditor Agreements</w:t>
      </w:r>
      <w:r>
        <w:rPr>
          <w:rFonts w:ascii="Times New Roman" w:cs="Times New Roman" w:eastAsia="Times New Roman" w:hAnsi="Times New Roman"/>
          <w:sz w:val="17"/>
          <w:szCs w:val="17"/>
          <w:color w:val="auto"/>
        </w:rPr>
        <w:t>. By their acceptance of the Notes, the Holders hereby authorize and direct the Trustee and the Notes Collateral Agent, as the case may be, to execute and deliver a joinder to the Pari Passu Intercreditor Agreement and any joinders thereto (and any other Acceptable Intercreditor Agreement or other applicable intercreditor agreements referred to herein from time to time) and any other Collateral Documents in which the Trustee or the Notes Collateral Agent, as applicable, is named as a party, including any Collateral Documents executed after the Issue Date. It is hereby expressly acknowledged and agreed that, in doing so, the Trustee and the Notes Collateral Agent are</w:t>
      </w:r>
    </w:p>
    <w:p>
      <w:pPr>
        <w:spacing w:after="0" w:line="1" w:lineRule="exact"/>
        <w:rPr>
          <w:sz w:val="20"/>
          <w:szCs w:val="20"/>
          <w:color w:val="auto"/>
        </w:rPr>
      </w:pPr>
    </w:p>
    <w:p>
      <w:pPr>
        <w:jc w:val="both"/>
        <w:ind w:left="4" w:hanging="4"/>
        <w:spacing w:after="0" w:line="253" w:lineRule="auto"/>
        <w:tabs>
          <w:tab w:leader="none" w:pos="249" w:val="left"/>
        </w:tabs>
        <w:numPr>
          <w:ilvl w:val="0"/>
          <w:numId w:val="9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expressly authorized to make the representations attributed to Holders in any such agreements and (b) not responsible for the terms or contents of such agreements, or for the validity or enforceability thereof, or the sufficiency thereof for any purpose. Whether or not so expressly stated therein, in entering into, or taking (or forbearing from) any action under, the Pari Passu Intercreditor Agreements (or any other Acceptable Intercreditor Agreement or other applicable intercreditor agreements referred to</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964"/>
          </w:cols>
          <w:pgMar w:left="436" w:top="270" w:right="499" w:bottom="1440" w:gutter="0" w:footer="0" w:header="0"/>
        </w:sectPr>
      </w:pPr>
    </w:p>
    <w:bookmarkStart w:id="719" w:name="page720"/>
    <w:bookmarkEnd w:id="719"/>
    <w:p>
      <w:pPr>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herein from time to time) or any other Collateral Documents, the Trustee and the Notes Collateral Agent each shall have all of the rights, privileges, benefits, immunities, indemnities and other protections granted to it under this Indenture (in addition to those that may be granted to it under the terms of such other agreement or agreements). Each of the Holders by acceptance of the Notes agrees that upon the Notes Collateral Agent’s entry into the Pari Passu Intercreditor Agreement, the Holders shall be subject to and bound by the provisions of the Pari Passu Intercreditor Agreement in their capacity as holders of Senior Class Debt and Additional First Lien Secured Parties (as each such term is defined in the Pari Passu Intercreditor Agreement).</w:t>
      </w: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8</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DEFEASANCE; SATISFACTION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DISCHARGE OF INDENTURE</w:t>
      </w:r>
    </w:p>
    <w:p>
      <w:pPr>
        <w:spacing w:after="0" w:line="205" w:lineRule="exact"/>
        <w:rPr>
          <w:sz w:val="20"/>
          <w:szCs w:val="20"/>
          <w:color w:val="auto"/>
        </w:rPr>
      </w:pPr>
    </w:p>
    <w:p>
      <w:pPr>
        <w:ind w:right="3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i w:val="1"/>
          <w:iCs w:val="1"/>
          <w:color w:val="auto"/>
        </w:rPr>
        <w:t>Satisfaction and Discharge of Indenture</w:t>
      </w:r>
      <w:r>
        <w:rPr>
          <w:rFonts w:ascii="Times New Roman" w:cs="Times New Roman" w:eastAsia="Times New Roman" w:hAnsi="Times New Roman"/>
          <w:sz w:val="18"/>
          <w:szCs w:val="18"/>
          <w:color w:val="auto"/>
        </w:rPr>
        <w:t>. This Indenture shall cease to be of further effect with respect to the Notes and all Note Guarantees and Liens on Collateral securing the Notes will be released, and the Trustee, on demand of and at the expense of the Issuer, shall execute proper instruments acknowledging satisfaction and discharge of this Indenture and release of such Guarantees and Liens, when</w:t>
      </w:r>
    </w:p>
    <w:p>
      <w:pPr>
        <w:spacing w:after="0" w:line="175" w:lineRule="exact"/>
        <w:rPr>
          <w:sz w:val="20"/>
          <w:szCs w:val="20"/>
          <w:color w:val="auto"/>
        </w:rPr>
      </w:pPr>
    </w:p>
    <w:p>
      <w:pPr>
        <w:ind w:left="680" w:hanging="244"/>
        <w:spacing w:after="0"/>
        <w:tabs>
          <w:tab w:leader="none" w:pos="680"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078" w:val="left"/>
        </w:tabs>
        <w:numPr>
          <w:ilvl w:val="1"/>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theretofore authenticated and delivered (other than (i) Notes which have been destroyed, lost or stolen and which have been replaced or paid as provided in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hereof and (ii) Notes for whose payment money has theretofore been deposited with the Trustee in trust or the Paying Agent and thereafter repaid to the Issuer as provided in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hereof) have been delivered to the Trustee for cancellation; or</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28" w:val="left"/>
        </w:tabs>
        <w:numPr>
          <w:ilvl w:val="1"/>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Notes not theretofore delivered to the Trustee for cancellation have become due and payable by reason of the mailing or transmission of a notice of redemption or otherwise or will become due and payable within one year and the Issuer has irrevocably deposited or caused to be irrevocably deposited cash in U.S. dollars, non-callable Government Securities or a combination thereof with the Trustee in trust or a Paying Agent (other than the Issuer or any of their Affiliates) as trust funds in trust for the purpose of and in an amount sufficient, without consideration of any reinvestment of interest, to pay and discharge the entire indebtedness on the Notes not theretofore delivered to the Trustee for cancellation, for principal, premium, if any, and accrued interest to the date of maturity or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redemption that requires the payment of the Applicable Premium, the amount deposited shall be sufficient for purposes of this Indenture to the extent that an amount is deposited with the Trustee equal to the Applicable Premium calculated by the Issuer as of the date of the notice of redemption, with any Applicable Premium deficit only required to be deposited with the Trustee on or prior to the date of redemption;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720" w:name="page721"/>
    <w:bookmarkEnd w:id="720"/>
    <w:p>
      <w:pPr>
        <w:ind w:firstLine="436"/>
        <w:spacing w:after="0" w:line="266" w:lineRule="auto"/>
        <w:tabs>
          <w:tab w:leader="none" w:pos="695" w:val="left"/>
        </w:tabs>
        <w:numPr>
          <w:ilvl w:val="0"/>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Default or Event of Default has occurred and is continuing on the date of the deposit or will occur as a result of the deposit and the deposit will not result in a breach or violation of or constitute a default under, any other instrument to which the Issuer is a party or by which the Issuer is bound, and as to which the rights of the other parties thereto are senior to those of the Holders;</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other sums payable under this Indenture by the Issuer, including without limitation, all amounts due to the Trustee (in each of its capacities hereunder) under this Indenture and the other Note Documents;</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irrevocable instructions to the Trustee to apply the deposited money toward payment of the Notes at maturity or Redemption Date, as the case may be; and</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delivered to the Trustee and the Notes Collateral Agent an Officers’ Certificate and an Opinion of Counsel, each stating that all conditions precedent herein relating to the satisfaction and discharge of this Indenture have been complied with.</w:t>
      </w:r>
    </w:p>
    <w:p>
      <w:pPr>
        <w:spacing w:after="0" w:line="162"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the satisfaction and discharge of this Indenture, the obligations of the Issuer to the Trustee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shall survive and, if cash in U.S. dollars, non-callable Government Securities or a combination thereof shall have been deposited with the Trustee pursuant to </w:t>
      </w:r>
      <w:r>
        <w:rPr>
          <w:rFonts w:ascii="Times New Roman" w:cs="Times New Roman" w:eastAsia="Times New Roman" w:hAnsi="Times New Roman"/>
          <w:sz w:val="18"/>
          <w:szCs w:val="18"/>
          <w:u w:val="single" w:color="auto"/>
          <w:color w:val="auto"/>
        </w:rPr>
        <w:t>Section 8.01(a)(ii)</w:t>
      </w:r>
      <w:r>
        <w:rPr>
          <w:rFonts w:ascii="Times New Roman" w:cs="Times New Roman" w:eastAsia="Times New Roman" w:hAnsi="Times New Roman"/>
          <w:sz w:val="18"/>
          <w:szCs w:val="18"/>
          <w:color w:val="auto"/>
        </w:rPr>
        <w:t xml:space="preserve">, the provisions of Sections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shall survive until the Notes have been paid in full.</w:t>
      </w:r>
    </w:p>
    <w:p>
      <w:pPr>
        <w:spacing w:after="0" w:line="178"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xml:space="preserve">. The Issuer and the Guarantors shall be deemed to have paid and will be discharged from any and all obligations in respect of this Indenture and the Notes and the related Note Guarantees and have Liens on the Collateral securing the Notes released on the date of the deposit referred to in clause (a) of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and the provisions of this Indenture shall no longer be in effect (“</w:t>
      </w:r>
      <w:r>
        <w:rPr>
          <w:rFonts w:ascii="Times New Roman" w:cs="Times New Roman" w:eastAsia="Times New Roman" w:hAnsi="Times New Roman"/>
          <w:sz w:val="18"/>
          <w:szCs w:val="18"/>
          <w:b w:val="1"/>
          <w:bCs w:val="1"/>
          <w:color w:val="auto"/>
        </w:rPr>
        <w:t>Legal Defeasance</w:t>
      </w:r>
      <w:r>
        <w:rPr>
          <w:rFonts w:ascii="Times New Roman" w:cs="Times New Roman" w:eastAsia="Times New Roman" w:hAnsi="Times New Roman"/>
          <w:sz w:val="18"/>
          <w:szCs w:val="18"/>
          <w:color w:val="auto"/>
        </w:rPr>
        <w:t xml:space="preserve">”), and the Trustee, at the expense of the Issuer, shall execute proper instruments acknowledging the same, except for the following provisions, which shall survive until otherwise terminated or discharged hereunder: (i) the rights of Holders of outstanding Notes to receive solely from the trust fund described in clause (a) below payments in respect of the principal of, premium, if any, and interest on the Notes when such payments are due, (ii) the Issuer’s obligations with respect to the Notes under </w:t>
      </w:r>
      <w:r>
        <w:rPr>
          <w:rFonts w:ascii="Times New Roman" w:cs="Times New Roman" w:eastAsia="Times New Roman" w:hAnsi="Times New Roman"/>
          <w:sz w:val="18"/>
          <w:szCs w:val="18"/>
          <w:u w:val="single" w:color="auto"/>
          <w:color w:val="auto"/>
        </w:rPr>
        <w:t>Article 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hereof, (iii) the rights, powers, trusts, duties, protections, privileges, indemnities and immunities of the Trustee and the Notes Collateral Agent hereunder, including, without limitation,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and the Issuer’s obligations in connection therewith and (iv)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Subject to compliance with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 Issuer may exercise its option under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notwithstanding the prior exercise of its option under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hereof. The following conditions shall apply to Legal Defeasance:</w:t>
      </w:r>
    </w:p>
    <w:p>
      <w:pPr>
        <w:spacing w:after="0" w:line="187" w:lineRule="exact"/>
        <w:rPr>
          <w:sz w:val="20"/>
          <w:szCs w:val="20"/>
          <w:color w:val="auto"/>
        </w:rPr>
      </w:pPr>
    </w:p>
    <w:p>
      <w:pPr>
        <w:jc w:val="both"/>
        <w:ind w:right="200" w:firstLine="436"/>
        <w:spacing w:after="0" w:line="258" w:lineRule="auto"/>
        <w:tabs>
          <w:tab w:leader="none" w:pos="685" w:val="left"/>
        </w:tabs>
        <w:numPr>
          <w:ilvl w:val="0"/>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irrevocably deposited with the Trustee, in trust, or the Paying Agent, for the benefit of the Holders of the Notes, cash in U.S. dollars, Government Securities, or a combination thereof, in such amounts as shall be sufficient, in the opinion of a nationally recognized firm of independent public accountants, to pay the principal of, or interest and premium, if any, on the outstanding Notes on the Stated Maturity or on the applicable Redemption Date, as the case may be, and the Issuer must specify whether the Notes are being defeased to their Stated Maturity or to a particular Redemption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721" w:name="page722"/>
    <w:bookmarkEnd w:id="721"/>
    <w:p>
      <w:pPr>
        <w:ind w:firstLine="436"/>
        <w:spacing w:after="0" w:line="258" w:lineRule="auto"/>
        <w:tabs>
          <w:tab w:leader="none" w:pos="695"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have delivered to the Trustee an Opinion of Counsel (based on a ruling received from or published by the United States Internal Revenue Service or a change in the applicable U.S. federal income tax law since the Escrow Release Date) in the United States reasonably acceptable to the Trustee to the effect that the beneficial owners of the outstanding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an Event of Default resulting from the borrowing of funds to be applied to such deposit);</w:t>
      </w:r>
    </w:p>
    <w:p>
      <w:pPr>
        <w:spacing w:after="0" w:line="161"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Defeasance shall not result in a breach or violation of, or constitute a default under, any material agreement or instrument (other than this Indenture) to which the Issuer or any of its Subsidiaries is a party or by which the Issuer or any of its Subsidiaries is bound; and</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65"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each stating that all conditions precedent relating to the Legal Defeasance have been complied with.</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After any such irrevocable deposit, the Trustee upon request shall acknowledge in writing the discharge of the Issuer’s obligations under the Notes and this Indenture except for those surviving obligations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i w:val="1"/>
          <w:iCs w:val="1"/>
          <w:color w:val="auto"/>
        </w:rPr>
        <w:t>Covenant Defeasance</w:t>
      </w:r>
      <w:r>
        <w:rPr>
          <w:rFonts w:ascii="Times New Roman" w:cs="Times New Roman" w:eastAsia="Times New Roman" w:hAnsi="Times New Roman"/>
          <w:sz w:val="18"/>
          <w:szCs w:val="18"/>
          <w:color w:val="auto"/>
        </w:rPr>
        <w:t xml:space="preserve">. The Issuer may omit to comply with any term, provision or condition set forth in clause (iv) of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 xml:space="preserve"> hereof, and the Issuer and its Restricted Subsidiaries may omit to comply with any term, provision or condition set forth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Sections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4.15</w:t>
      </w:r>
      <w:r>
        <w:rPr>
          <w:rFonts w:ascii="Times New Roman" w:cs="Times New Roman" w:eastAsia="Times New Roman" w:hAnsi="Times New Roman"/>
          <w:sz w:val="18"/>
          <w:szCs w:val="18"/>
          <w:color w:val="auto"/>
        </w:rPr>
        <w:t xml:space="preserve"> hereof and any breach of clauses (c), (d), (e), (f) or (g)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or with respect to Significant Subsidiaries only, clauses (i) or (j)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hereof shall be deemed not to be an Event of Default and all Guarantees and Liens shall be released on the date of deposit referred to in clause (a) of this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Covenant Defeasance</w:t>
      </w:r>
      <w:r>
        <w:rPr>
          <w:rFonts w:ascii="Times New Roman" w:cs="Times New Roman" w:eastAsia="Times New Roman" w:hAnsi="Times New Roman"/>
          <w:sz w:val="18"/>
          <w:szCs w:val="18"/>
          <w:color w:val="auto"/>
        </w:rPr>
        <w:t>”), if in each case:</w:t>
      </w:r>
    </w:p>
    <w:p>
      <w:pPr>
        <w:spacing w:after="0" w:line="185" w:lineRule="exact"/>
        <w:rPr>
          <w:sz w:val="20"/>
          <w:szCs w:val="20"/>
          <w:color w:val="auto"/>
        </w:rPr>
      </w:pPr>
    </w:p>
    <w:p>
      <w:pPr>
        <w:jc w:val="both"/>
        <w:ind w:right="200" w:firstLine="436"/>
        <w:spacing w:after="0" w:line="258" w:lineRule="auto"/>
        <w:tabs>
          <w:tab w:leader="none" w:pos="685" w:val="left"/>
        </w:tabs>
        <w:numPr>
          <w:ilvl w:val="0"/>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irrevocably deposited with the Trustee, in trust, or the Paying Agent, for the benefit of the Holders of the Notes, cash in U.S. dollars, Government Securities, or a combination thereof, in such amounts as shall be sufficient, in the opinion of a nationally recognized firm of independent public accountants, to pay the principal of, or interest and premium, if any, on the outstanding Notes on the Stated Maturity or on the applicable Redemption Date, as the case may be, and the Issuer must specify whether the Notes are being defeased to their Stated Maturity or to a particular Redemption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722" w:name="page723"/>
    <w:bookmarkEnd w:id="722"/>
    <w:p>
      <w:pPr>
        <w:jc w:val="both"/>
        <w:ind w:right="40" w:firstLine="436"/>
        <w:spacing w:after="0" w:line="261" w:lineRule="auto"/>
        <w:tabs>
          <w:tab w:leader="none" w:pos="695" w:val="left"/>
        </w:tabs>
        <w:numPr>
          <w:ilvl w:val="0"/>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 shall have delivered to the Trustee an Opinion of Counsel in the United States reasonably acceptable to such Trustee confirming that the beneficial owners of the outstanding Notes will not recognize income, gain or loss for U.S. federal income tax purposes as a result of such Covenant Defeasance and will be subject to U.S. federal income tax on the same amounts, in the same manner and at the same times as would have been the case if the Covenant Defeasance had not occurred;</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380" w:firstLine="436"/>
        <w:spacing w:after="0" w:line="282" w:lineRule="auto"/>
        <w:tabs>
          <w:tab w:leader="none" w:pos="695" w:val="left"/>
        </w:tabs>
        <w:numPr>
          <w:ilvl w:val="0"/>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w:t>
      </w:r>
    </w:p>
    <w:p>
      <w:pPr>
        <w:spacing w:after="0" w:line="161" w:lineRule="exact"/>
        <w:rPr>
          <w:rFonts w:ascii="Times New Roman" w:cs="Times New Roman" w:eastAsia="Times New Roman" w:hAnsi="Times New Roman"/>
          <w:sz w:val="18"/>
          <w:szCs w:val="18"/>
          <w:color w:val="auto"/>
        </w:rPr>
      </w:pPr>
    </w:p>
    <w:p>
      <w:pPr>
        <w:ind w:right="160" w:firstLine="436"/>
        <w:spacing w:after="0" w:line="282" w:lineRule="auto"/>
        <w:tabs>
          <w:tab w:leader="none" w:pos="685" w:val="left"/>
        </w:tabs>
        <w:numPr>
          <w:ilvl w:val="0"/>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 Defeasance shall not result in a breach or violation of, or constitute a default under any material agreement or instrument (other than this Indenture) to which the Issuer or any of its Subsidiaries is a party or by which the Issuer or any of its Subsidiaries is bound; and</w:t>
      </w:r>
    </w:p>
    <w:p>
      <w:pPr>
        <w:spacing w:after="0" w:line="161" w:lineRule="exact"/>
        <w:rPr>
          <w:rFonts w:ascii="Times New Roman" w:cs="Times New Roman" w:eastAsia="Times New Roman" w:hAnsi="Times New Roman"/>
          <w:sz w:val="18"/>
          <w:szCs w:val="18"/>
          <w:color w:val="auto"/>
        </w:rPr>
      </w:pPr>
    </w:p>
    <w:p>
      <w:pPr>
        <w:ind w:right="180" w:firstLine="436"/>
        <w:spacing w:after="0" w:line="282" w:lineRule="auto"/>
        <w:tabs>
          <w:tab w:leader="none" w:pos="665" w:val="left"/>
        </w:tabs>
        <w:numPr>
          <w:ilvl w:val="0"/>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each stating that all conditions precedent relating to the Covenant Defeasance have been complied with.</w:t>
      </w:r>
    </w:p>
    <w:p>
      <w:pPr>
        <w:spacing w:after="0" w:line="162" w:lineRule="exact"/>
        <w:rPr>
          <w:sz w:val="20"/>
          <w:szCs w:val="20"/>
          <w:color w:val="auto"/>
        </w:rPr>
      </w:pPr>
    </w:p>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t>If the funds deposited with the Trustee to effect Covenant Defeasance are insufficient to pay the principal of and interest on the Notes when due, then the obligations of the Issuer and the Guarantors under this Indenture will be revived and no such defeasance will be deemed to have occurred.</w:t>
      </w:r>
    </w:p>
    <w:p>
      <w:pPr>
        <w:spacing w:after="0" w:line="138" w:lineRule="exact"/>
        <w:rPr>
          <w:sz w:val="20"/>
          <w:szCs w:val="20"/>
          <w:color w:val="auto"/>
        </w:rPr>
      </w:pPr>
    </w:p>
    <w:p>
      <w:pPr>
        <w:jc w:val="both"/>
        <w:ind w:right="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i w:val="1"/>
          <w:iCs w:val="1"/>
          <w:color w:val="auto"/>
        </w:rPr>
        <w:t>Application of Trust Money</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hereof, the Trustee or a Paying Agent shall hold in trust, for the benefit of the Holders, all money deposited with it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and shall apply the deposited money in accordance with this Indenture and the Notes to the payment of the principal of and interest on the Notes.</w:t>
      </w:r>
    </w:p>
    <w:p>
      <w:pPr>
        <w:spacing w:after="0" w:line="173" w:lineRule="exact"/>
        <w:rPr>
          <w:sz w:val="20"/>
          <w:szCs w:val="20"/>
          <w:color w:val="auto"/>
        </w:rPr>
      </w:pPr>
    </w:p>
    <w:p>
      <w:pPr>
        <w:ind w:right="5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i w:val="1"/>
          <w:iCs w:val="1"/>
          <w:color w:val="auto"/>
        </w:rPr>
        <w:t>Repayment to the Issuer</w:t>
      </w:r>
      <w:r>
        <w:rPr>
          <w:rFonts w:ascii="Times New Roman" w:cs="Times New Roman" w:eastAsia="Times New Roman" w:hAnsi="Times New Roman"/>
          <w:sz w:val="18"/>
          <w:szCs w:val="18"/>
          <w:color w:val="auto"/>
        </w:rPr>
        <w:t xml:space="preserve">. The Trustee and each Paying Agent shall promptly pay to the Issuer upon request any excess money (i) deposited with them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and (ii) held by them at any time.</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Trustee and each Paying Agent shall pay to the Issuer upon request any money held by them for the payment of principal or interest that remains unclaimed for two years after a right to such money has matured;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Trustee or such Paying Agent, before being required to make any such payment, may at the expense of the Issuer cause to be delivered to each Holder entitled to such money notice that such money remains unclaimed and that after a date specified therein, which shall be at least 30 days from the date of such mailing, any unclaimed balance of such money then remaining will be repaid to the Issuer. After payment to the Issuer, Holders entitled to money must look to the Issuer for payment as general creditors unless an applicable abandoned property law designates another person.</w:t>
      </w:r>
    </w:p>
    <w:p>
      <w:pPr>
        <w:spacing w:after="0" w:line="185" w:lineRule="exact"/>
        <w:rPr>
          <w:sz w:val="20"/>
          <w:szCs w:val="20"/>
          <w:color w:val="auto"/>
        </w:rPr>
      </w:pPr>
    </w:p>
    <w:p>
      <w:pPr>
        <w:jc w:val="both"/>
        <w:ind w:right="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i w:val="1"/>
          <w:iCs w:val="1"/>
          <w:color w:val="auto"/>
        </w:rPr>
        <w:t>Reinstatement</w:t>
      </w:r>
      <w:r>
        <w:rPr>
          <w:rFonts w:ascii="Times New Roman" w:cs="Times New Roman" w:eastAsia="Times New Roman" w:hAnsi="Times New Roman"/>
          <w:sz w:val="18"/>
          <w:szCs w:val="18"/>
          <w:color w:val="auto"/>
        </w:rPr>
        <w:t xml:space="preserve">. If the Trustee or any Paying Agent is unable to apply any money in accordance with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hereof by reason of any legal proceeding or by reason of any order or judgment of any court or governmental authority enjoining, restraining or otherwise prohibiting such application, then the Issuer’s obligations under this Indenture and the Notes shall</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723" w:name="page724"/>
    <w:bookmarkEnd w:id="723"/>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be revived and reinstated as though no deposit had occurred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until such time as the Trustee or such Paying Agent is permitted to apply all such money or Government Securities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has made any payment of the principal of or interest on any Notes because of the reinstatement of its obligations, the Issuer shall be subrogated to the rights of the Holders of such Notes to receive any such payment from the money or Government Securities held by the Trustee or such Paying Agent.</w:t>
      </w: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AMENDMENTS, SUPPLEMENTS AND WAIVERS</w:t>
      </w:r>
    </w:p>
    <w:p>
      <w:pPr>
        <w:spacing w:after="0" w:line="223"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i w:val="1"/>
          <w:iCs w:val="1"/>
          <w:color w:val="auto"/>
        </w:rPr>
        <w:t>Without Consent of Holders</w:t>
      </w:r>
      <w:r>
        <w:rPr>
          <w:rFonts w:ascii="Times New Roman" w:cs="Times New Roman" w:eastAsia="Times New Roman" w:hAnsi="Times New Roman"/>
          <w:sz w:val="18"/>
          <w:szCs w:val="18"/>
          <w:color w:val="auto"/>
        </w:rPr>
        <w:t>. The Issuer, the Trustee, the Agents and the Notes Collateral Agent may amend or supplement this Indenture, the Notes, any Collateral Document with respect to the Notes, the Pari Passu Intercreditor Agreement and any other intercreditor agreement (including any Acceptable Intercreditor Agreement) without notice to or consent of any Holder of Notes:</w:t>
      </w:r>
    </w:p>
    <w:p>
      <w:pPr>
        <w:spacing w:after="0" w:line="175" w:lineRule="exact"/>
        <w:rPr>
          <w:sz w:val="20"/>
          <w:szCs w:val="20"/>
          <w:color w:val="auto"/>
        </w:rPr>
      </w:pPr>
    </w:p>
    <w:p>
      <w:pPr>
        <w:ind w:left="680" w:hanging="244"/>
        <w:spacing w:after="0"/>
        <w:tabs>
          <w:tab w:leader="none" w:pos="680"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comply with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hereof;</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certificated Notes;</w:t>
      </w:r>
    </w:p>
    <w:p>
      <w:pPr>
        <w:spacing w:after="0" w:line="22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Guarantor’s obligations to Holders of Notes in the case of a consolidation or merger or sale of all or substantially all of the Issuer’s or a Guarantor’s assets;</w:t>
      </w:r>
    </w:p>
    <w:p>
      <w:pPr>
        <w:spacing w:after="0" w:line="161" w:lineRule="exact"/>
        <w:rPr>
          <w:rFonts w:ascii="Times New Roman" w:cs="Times New Roman" w:eastAsia="Times New Roman" w:hAnsi="Times New Roman"/>
          <w:sz w:val="18"/>
          <w:szCs w:val="18"/>
          <w:color w:val="auto"/>
        </w:rPr>
      </w:pPr>
    </w:p>
    <w:p>
      <w:pPr>
        <w:ind w:right="560" w:firstLine="436"/>
        <w:spacing w:after="0" w:line="282" w:lineRule="auto"/>
        <w:tabs>
          <w:tab w:leader="none" w:pos="685"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of Notes or that does not adversely affect in any material respect the legal rights under this Indenture of any such Holder of Notes;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this Indenture under the TIA;</w:t>
      </w:r>
    </w:p>
    <w:p>
      <w:pPr>
        <w:spacing w:after="0" w:line="225"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the Notes, the Note Guarantees, the Collateral Documents, the Pari Passu Intercreditor Agreement and any other intercreditor agreement to any provision of the section of the Offering Memorandum captioned “Description of the Notes”;</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Additional Notes in accordance with the limitations set forth in this Indenture as of the date hereof;</w:t>
      </w:r>
    </w:p>
    <w:p>
      <w:pPr>
        <w:spacing w:after="0" w:line="225" w:lineRule="exact"/>
        <w:rPr>
          <w:rFonts w:ascii="Times New Roman" w:cs="Times New Roman" w:eastAsia="Times New Roman" w:hAnsi="Times New Roman"/>
          <w:sz w:val="18"/>
          <w:szCs w:val="18"/>
          <w:color w:val="auto"/>
        </w:rPr>
      </w:pPr>
    </w:p>
    <w:p>
      <w:pPr>
        <w:ind w:right="500" w:firstLine="436"/>
        <w:spacing w:after="0" w:line="282" w:lineRule="auto"/>
        <w:tabs>
          <w:tab w:leader="none" w:pos="655"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additional Note Guarantees with respect to the Notes or to confirm and evidence the release, termination or discharge of any Note Guarantee with respect to such Notes when such release, termination or discharge is not prohibited under this Indenture;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0980"/>
          </w:cols>
          <w:pgMar w:left="440" w:top="270" w:right="479" w:bottom="1440" w:gutter="0" w:footer="0" w:header="0"/>
        </w:sectPr>
      </w:pPr>
    </w:p>
    <w:bookmarkStart w:id="724" w:name="page725"/>
    <w:bookmarkEnd w:id="724"/>
    <w:p>
      <w:pPr>
        <w:ind w:left="660" w:hanging="224"/>
        <w:spacing w:after="0"/>
        <w:tabs>
          <w:tab w:leader="none" w:pos="660"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secure the Notes or the Note Guarantees or to add additional assets as Collateral;</w:t>
      </w:r>
    </w:p>
    <w:p>
      <w:pPr>
        <w:spacing w:after="0" w:line="225"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release Collateral from the Lien pursuant to this Indenture, the Collateral Documents, the Pari Passu Intercreditor Agreement or any other intercreditor agreement when permitted or required by this Indenture, the Collateral Documents or the Pari Passu Intercreditor Agreement or such other intercreditor agreement;</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Acceptable Intercreditor Agreement; or</w:t>
      </w:r>
    </w:p>
    <w:p>
      <w:pPr>
        <w:spacing w:after="0" w:line="225"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appoint a successor Trustee, Agent Notes Collateral Agent.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addition, the Issuer, the Trustee and the Notes Collateral Agent may amend the Pari Passu Intercreditor Agreement. any other intercreditor agreement (including any other Acceptable Intercreditor Agreement) and the Collateral Documents to provide for the addition of any creditors or obligations to such agreements to the extent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lien for the benefit of such creditor is not prohibited by the terms of this Indenture and may enter into an intercreditor agreement (including any Acceptable Intercreditor Agreement) with creditors for whom a junior lien on the Collateral is to be granted,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Issuer delivers an Officers’ Certificate to the Trustee and the Notes Collateral Agent certifying that the terms thereof are customary and that the Trustee and the Notes Collateral Agent are authorized to enter into an intercreditor agreement. Upon delivery of the aforementioned Officers’ Certificate, the Trustee and the Notes Collateral Agent may request an opinion of counsel stating that they are authorized to enter into an intercreditor agreement and that all conditions precedent in this Indenture relating to the execution and delivery of such intercreditor agreement have been complied with.</w:t>
      </w:r>
    </w:p>
    <w:p>
      <w:pPr>
        <w:spacing w:after="0" w:line="18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i w:val="1"/>
          <w:iCs w:val="1"/>
          <w:color w:val="auto"/>
        </w:rPr>
        <w:t>With Consent of Holders</w:t>
      </w:r>
      <w:r>
        <w:rPr>
          <w:rFonts w:ascii="Times New Roman" w:cs="Times New Roman" w:eastAsia="Times New Roman" w:hAnsi="Times New Roman"/>
          <w:sz w:val="18"/>
          <w:szCs w:val="18"/>
          <w:color w:val="auto"/>
        </w:rPr>
        <w:t xml:space="preserve">. The Issuer, the Trustee, the Agents and the Notes Collateral Agent may amend or supplement this Indenture, the Notes, the Collateral Documents, the Pari Passu Intercreditor Agreement and any other intercreditor agreement (including any other Acceptable Intercreditor Agreement) with the written consent of the Holders of at least a majority in aggregate principal amount of the Notes then outstanding (including, without limitation, consents obtained in connection with a purchase of, or tender offer or exchange offer for, Notes). The Holders of at least a majority in aggregate principal amount of the Notes then outstanding may waive existing Defaults or compliance in a particular instance by the Issuer with any provision of this Indenture, such Notes or the Collateral Documents, the Pari Passu Intercreditor Agreement and any other intercreditor agreement (including any other Acceptable Intercreditor Agreement) without notice to any Holder (including, without limitation, consents obtained in connection with a purchase of, or tender offer or exchange offer for, the Notes). However, notwithstanding the foregoing but subject to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hereof, without the written consent of each Holder of Notes affected hereby, an amendment, supplement or waiver, including a waiver pursuant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hereof, may not (with respect to any Notes held by a non-consenting Holder):</w:t>
      </w:r>
    </w:p>
    <w:p>
      <w:pPr>
        <w:spacing w:after="0" w:line="187" w:lineRule="exact"/>
        <w:rPr>
          <w:sz w:val="20"/>
          <w:szCs w:val="20"/>
          <w:color w:val="auto"/>
        </w:rPr>
      </w:pPr>
    </w:p>
    <w:p>
      <w:pPr>
        <w:ind w:left="5360" w:right="2180" w:hanging="4924"/>
        <w:spacing w:after="0" w:line="454" w:lineRule="auto"/>
        <w:tabs>
          <w:tab w:leader="none" w:pos="672" w:val="left"/>
        </w:tabs>
        <w:numPr>
          <w:ilvl w:val="0"/>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 supplement or waiver; 145</w:t>
      </w:r>
    </w:p>
    <w:p>
      <w:pPr>
        <w:sectPr>
          <w:pgSz w:w="11900" w:h="16838" w:orient="portrait"/>
          <w:cols w:equalWidth="0" w:num="1">
            <w:col w:w="11000"/>
          </w:cols>
          <w:pgMar w:left="440" w:top="270" w:right="459" w:bottom="1440" w:gutter="0" w:footer="0" w:header="0"/>
        </w:sectPr>
      </w:pPr>
    </w:p>
    <w:bookmarkStart w:id="725" w:name="page726"/>
    <w:bookmarkEnd w:id="725"/>
    <w:p>
      <w:pPr>
        <w:ind w:right="280" w:firstLine="436"/>
        <w:spacing w:after="0" w:line="282" w:lineRule="auto"/>
        <w:tabs>
          <w:tab w:leader="none" w:pos="695"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reduce the principal of or change the Stated Maturity of any such Note or alter the provisions with respect to the redemption of such Notes (excluding, for the avoidance of doubt, provisions relating to Sections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 (other than as provided in this Indenture);</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money other than U.S. dollars (other than as provided in this Indenture);</w:t>
      </w:r>
    </w:p>
    <w:p>
      <w:pPr>
        <w:spacing w:after="0" w:line="225" w:lineRule="exact"/>
        <w:rPr>
          <w:rFonts w:ascii="Times New Roman" w:cs="Times New Roman" w:eastAsia="Times New Roman" w:hAnsi="Times New Roman"/>
          <w:sz w:val="18"/>
          <w:szCs w:val="18"/>
          <w:color w:val="auto"/>
        </w:rPr>
      </w:pPr>
    </w:p>
    <w:p>
      <w:pPr>
        <w:ind w:right="460" w:firstLine="436"/>
        <w:spacing w:after="0" w:line="282" w:lineRule="auto"/>
        <w:tabs>
          <w:tab w:leader="none" w:pos="685"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this Indenture relating to waivers of past Defaults or the rights of Holders of such Notes to receive payments of principal of, or interest or premium, if any, on such Notes;</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65"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waive a redemption payment with respect to any such Note (excluding, for the avoidance of doubt, a payment required by Sections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hereof);</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expressly permitted by this Indenture, impair the right to institute suit for the enforcement of any payment on or with respect to such</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Notes;</w:t>
      </w:r>
    </w:p>
    <w:p>
      <w:pPr>
        <w:spacing w:after="0" w:line="206"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the Note Guarantees with respect to such Notes in any manner adverse to the Holders of such Notes;</w:t>
      </w:r>
    </w:p>
    <w:p>
      <w:pPr>
        <w:spacing w:after="0" w:line="225" w:lineRule="exact"/>
        <w:rPr>
          <w:rFonts w:ascii="Times New Roman" w:cs="Times New Roman" w:eastAsia="Times New Roman" w:hAnsi="Times New Roman"/>
          <w:sz w:val="18"/>
          <w:szCs w:val="18"/>
          <w:color w:val="auto"/>
        </w:rPr>
      </w:pPr>
    </w:p>
    <w:p>
      <w:pPr>
        <w:ind w:right="460" w:firstLine="436"/>
        <w:spacing w:after="0" w:line="282" w:lineRule="auto"/>
        <w:tabs>
          <w:tab w:leader="none" w:pos="655"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or waive the Issuer’s obligation to redeem the Notes through a Special Mandatory Redemption in a manner that would materially adversely affect the Holders of the Notes (as determined by the Issuer in good faith); or</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preceding amendment and waiver provisions with respect to the Notes.</w:t>
      </w:r>
    </w:p>
    <w:p>
      <w:pPr>
        <w:spacing w:after="0" w:line="8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addition, except as set forth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hereof, without the consent of Holders of at least 66</w:t>
      </w:r>
      <w:r>
        <w:rPr>
          <w:rFonts w:ascii="Times New Roman" w:cs="Times New Roman" w:eastAsia="Times New Roman" w:hAnsi="Times New Roman"/>
          <w:sz w:val="29"/>
          <w:szCs w:val="29"/>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9"/>
          <w:szCs w:val="29"/>
          <w:color w:val="auto"/>
          <w:vertAlign w:val="subscript"/>
        </w:rPr>
        <w:t>3</w:t>
      </w:r>
      <w:r>
        <w:rPr>
          <w:rFonts w:ascii="Times New Roman" w:cs="Times New Roman" w:eastAsia="Times New Roman" w:hAnsi="Times New Roman"/>
          <w:sz w:val="18"/>
          <w:szCs w:val="18"/>
          <w:color w:val="auto"/>
        </w:rPr>
        <w:t>% in principal amount of the Notes then outstanding (including, without limitation, consents obtained in connection with a purchase of, or tender offer or exchange offer for, Notes), (i) no amendment or supplement may release the Note Guarantees with respect to the Notes and (ii) no amendment or supplement may modify any Collateral Documents or the provisions in this Indenture dealing with Collateral or the Collateral Documents to the extent that such amendment or supplement would have the effect of releasing all or substantially all of the Liens securing the Notes (except as permitted by the terms of this Indenture and the Collateral Documents) or change or alter the priority of the security interests in the Collateral (unless otherwise expressly permitted hereunder).</w:t>
      </w:r>
    </w:p>
    <w:p>
      <w:pPr>
        <w:spacing w:after="0" w:line="184"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It shall not be necessary for the consent of the Holders under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to approve the particular form of any proposed amendment, supplement or waiver, but it shall be sufficient if such consent approves the substance thereof.</w:t>
      </w:r>
    </w:p>
    <w:p>
      <w:pPr>
        <w:spacing w:after="0" w:line="16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i w:val="1"/>
          <w:iCs w:val="1"/>
          <w:color w:val="auto"/>
        </w:rPr>
        <w:t>Notice of Amendment, Supplement or Waiver</w:t>
      </w:r>
      <w:r>
        <w:rPr>
          <w:rFonts w:ascii="Times New Roman" w:cs="Times New Roman" w:eastAsia="Times New Roman" w:hAnsi="Times New Roman"/>
          <w:sz w:val="18"/>
          <w:szCs w:val="18"/>
          <w:color w:val="auto"/>
        </w:rPr>
        <w:t xml:space="preserve">. After an amendment, supplement or waiver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becomes effective, the Issuer shall deliver to the Holders affected thereby a notice briefly describing the amendment, supplement or waiver. Any failure of the Issuer to deliver such notice, or any defect therein, shall not, however, in any way impair or affect the validity of any such amendment, supplement or waiver.</w:t>
      </w:r>
    </w:p>
    <w:p>
      <w:pPr>
        <w:spacing w:after="0" w:line="1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0940"/>
          </w:cols>
          <w:pgMar w:left="440" w:top="270" w:right="519" w:bottom="1440" w:gutter="0" w:footer="0" w:header="0"/>
        </w:sectPr>
      </w:pPr>
    </w:p>
    <w:bookmarkStart w:id="726" w:name="page727"/>
    <w:bookmarkEnd w:id="726"/>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i w:val="1"/>
          <w:iCs w:val="1"/>
          <w:color w:val="auto"/>
        </w:rPr>
        <w:t>Revocation and Effect of Consents</w:t>
      </w:r>
      <w:r>
        <w:rPr>
          <w:rFonts w:ascii="Times New Roman" w:cs="Times New Roman" w:eastAsia="Times New Roman" w:hAnsi="Times New Roman"/>
          <w:sz w:val="18"/>
          <w:szCs w:val="18"/>
          <w:color w:val="auto"/>
        </w:rPr>
        <w:t>. Until an amendment, supplement or waiver becomes effective, a consent to it by a Holder is a continuing consent by the Holder and every subsequent Holder of a Note or portion of a Note that evidences the same debt as the consenting Holder’s Note, even if notation of the consent is not made on any Note. However, any such Holder or subsequent Holder may revoke the consent as to its Note or portion of a Note if the Trustee and the Notes Collateral Agent receives the notice of revocation before the date the amendment, supplement or waiver becomes effective.</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After an amendment, supplement or waiver becomes effective, it shall bind every Holder, unless it makes a change described in any of clauses</w:t>
      </w:r>
    </w:p>
    <w:p>
      <w:pPr>
        <w:spacing w:after="0" w:line="27" w:lineRule="exact"/>
        <w:rPr>
          <w:sz w:val="20"/>
          <w:szCs w:val="20"/>
          <w:color w:val="auto"/>
        </w:rPr>
      </w:pPr>
    </w:p>
    <w:p>
      <w:pPr>
        <w:ind w:left="4" w:right="160" w:hanging="4"/>
        <w:spacing w:after="0" w:line="260" w:lineRule="auto"/>
        <w:tabs>
          <w:tab w:leader="none" w:pos="249" w:val="left"/>
        </w:tabs>
        <w:numPr>
          <w:ilvl w:val="0"/>
          <w:numId w:val="96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hereof. In that case the amendment, supplement or waiver shall bind each Holder of a Note who has consented to it and every subsequent Holder of a Note or portion of a Note that evidences the same debt as the consenting Holder’s Note.</w:t>
      </w:r>
    </w:p>
    <w:p>
      <w:pPr>
        <w:spacing w:after="0" w:line="179"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i w:val="1"/>
          <w:iCs w:val="1"/>
          <w:color w:val="auto"/>
        </w:rPr>
        <w:t>Notation on or Exchange of Notes</w:t>
      </w:r>
      <w:r>
        <w:rPr>
          <w:rFonts w:ascii="Times New Roman" w:cs="Times New Roman" w:eastAsia="Times New Roman" w:hAnsi="Times New Roman"/>
          <w:sz w:val="18"/>
          <w:szCs w:val="18"/>
          <w:color w:val="auto"/>
        </w:rPr>
        <w:t>. If an amendment, supplement or waiver changes the terms of a Note, the Trustee may require the Holder of the Note to deliver it to the Trustee. The Trustee may place an appropriate notation on the Note about the changed terms and return it to the Holder. Alternatively, if the Issuer or the Trustee so determines, the Issuer in exchange for the Note shall execute and, upon receipt of an Issuer Order, the Trustee shall authenticate a new Note that reflects the changed terms.</w:t>
      </w:r>
    </w:p>
    <w:p>
      <w:pPr>
        <w:spacing w:after="0" w:line="180"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i w:val="1"/>
          <w:iCs w:val="1"/>
          <w:color w:val="auto"/>
        </w:rPr>
        <w:t>Trustee, Agents and the Notes Collateral Agent to Sign Amendments, Etc</w:t>
      </w:r>
      <w:r>
        <w:rPr>
          <w:rFonts w:ascii="Times New Roman" w:cs="Times New Roman" w:eastAsia="Times New Roman" w:hAnsi="Times New Roman"/>
          <w:sz w:val="18"/>
          <w:szCs w:val="18"/>
          <w:color w:val="auto"/>
        </w:rPr>
        <w:t xml:space="preserve">. The Trustee, Agents and the Notes Collateral Agent shall sign any amendment or supplemental indenture authorized pursuant to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if the amendment or supplemental indenture does not adversely affect the rights, duties, liabilities or immunities of the Trustee, such Agent or the Notes Collateral Agent (as applicable). If it does, the Trustee, such Agent or the Notes Collateral Agent (as applicable) may, in its sole discretion, but need not sign it. In signing or refusing to sign such amendment or supplemental indenture, the Trustee, the Agents or the Notes Collateral Agent (as applicable) shall be provided with and,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hereof, shall be fully protected in relying upon, an Opinion of Counsel and an Officers’ Certificate stating that such amendment or supplemental indenture is authorized or permitted by this Indenture and all conditions precedent in this Indenture to such execution have been complied with. The Issuer may not sign an amendment or supplemental indenture until its Board of Directors approves it in writing.</w:t>
      </w:r>
    </w:p>
    <w:p>
      <w:pPr>
        <w:spacing w:after="0" w:line="185" w:lineRule="exact"/>
        <w:rPr>
          <w:sz w:val="20"/>
          <w:szCs w:val="20"/>
          <w:color w:val="auto"/>
        </w:rPr>
      </w:pPr>
    </w:p>
    <w:p>
      <w:pPr>
        <w:ind w:left="4" w:right="28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i w:val="1"/>
          <w:iCs w:val="1"/>
          <w:color w:val="auto"/>
        </w:rPr>
        <w:t>Effect of Supplemental Indentures</w:t>
      </w:r>
      <w:r>
        <w:rPr>
          <w:rFonts w:ascii="Times New Roman" w:cs="Times New Roman" w:eastAsia="Times New Roman" w:hAnsi="Times New Roman"/>
          <w:sz w:val="18"/>
          <w:szCs w:val="18"/>
          <w:color w:val="auto"/>
        </w:rPr>
        <w:t xml:space="preserve">. Upon the execution of any supplemental indenture under this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this Indenture shall be modified in accordance therewith, and such supplemental indenture shall form a part of this Indenture for all purposes; and every Holder of Notes theretofore or thereafter authenticated and delivered hereunder shall be bound thereby.</w:t>
      </w:r>
    </w:p>
    <w:p>
      <w:pPr>
        <w:spacing w:after="0" w:line="10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0944"/>
          </w:cols>
          <w:pgMar w:left="436" w:top="268" w:right="519" w:bottom="1440" w:gutter="0" w:footer="0" w:header="0"/>
        </w:sectPr>
      </w:pPr>
    </w:p>
    <w:bookmarkStart w:id="727" w:name="page728"/>
    <w:bookmarkEnd w:id="72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10</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NOTE GUARANTEES</w:t>
      </w:r>
    </w:p>
    <w:p>
      <w:pPr>
        <w:spacing w:after="0" w:line="22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i w:val="1"/>
          <w:iCs w:val="1"/>
          <w:color w:val="auto"/>
        </w:rPr>
        <w:t>Note Guarantees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20" w:firstLine="436"/>
        <w:spacing w:after="0" w:line="253" w:lineRule="auto"/>
        <w:tabs>
          <w:tab w:leader="none" w:pos="689" w:val="left"/>
        </w:tabs>
        <w:numPr>
          <w:ilvl w:val="1"/>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Escrow Release Date, each of the Guarantors, jointly and severally, hereby unconditionally Guarantees to each Holder of a Note authenticated and delivered by the Trustee and to the Trustee and its successors and assigns, irrespective of the validity and enforceability of this Indenture, the Notes or the obligations of the Issuer hereunder or thereunder that: (i) the due and punctual payment of principal, premium and interest on the Notes shall be promptly paid in full when due, whether at maturity, by acceleration, redemption or otherwise, (ii) the due and punctual payment of interest on the overdue principal of and interest on the Notes, if any, if lawful, and all other obligations of the Issuer to the Holders, the Agents or the Trustee (in each of its capacities hereunder, including, without limitation, as Notes Collateral Agent) under this Indenture or any Note shall be promptly paid in full or performed, all in accordance with the terms hereof and thereof, and (iii) in case of any extension of time of payment or renewal of any Notes or any of such other obligations, that same shall be promptly paid in full when due or performed in accordance with the terms of the extension or renewal, whether at stated maturity, by acceleration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 or otherwise. Failing payment when due of any amount so guaranteed or any performance so guaranteed for whatever reason, the Guarantors shall be jointly and severally obligated to pay the same immediately. Each Guarantor shall agree that this is a Guarantee of payment and not a Guarantee of collection.</w:t>
      </w:r>
    </w:p>
    <w:p>
      <w:pPr>
        <w:spacing w:after="0" w:line="191"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99" w:val="left"/>
        </w:tabs>
        <w:numPr>
          <w:ilvl w:val="1"/>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Guarantors hereby agrees that its obligations with regard to its Guarantee shall be joint and several, unconditional, irrespective of the validity or enforceability of the Notes or the obligations of the Issuer under this Indenture, the absence of any action to enforce the same, the recovery of any judgment against the Issuer or any other obligor with respect to this Indenture, the Notes or the obligations of the Issuer under this Indenture or the Notes, any action to enforce the same or any other circumstances (other than complete performance) which might otherwise constitute a legal or equitable discharge or defense of a Guarantor. Each Guarantor further, to the extent permitted by law, hereby waives and relinquishes all claims, rights and remedies accorded by applicable law to guarantors and agrees not to assert or take advantage of any such claims, rights or remedies, including but not limited to: (i) any right to require any of the Trustee, the Holders or the Issuer (each a “</w:t>
      </w:r>
      <w:r>
        <w:rPr>
          <w:rFonts w:ascii="Times New Roman" w:cs="Times New Roman" w:eastAsia="Times New Roman" w:hAnsi="Times New Roman"/>
          <w:sz w:val="18"/>
          <w:szCs w:val="18"/>
          <w:b w:val="1"/>
          <w:bCs w:val="1"/>
          <w:color w:val="auto"/>
        </w:rPr>
        <w:t>Benefited Party</w:t>
      </w:r>
      <w:r>
        <w:rPr>
          <w:rFonts w:ascii="Times New Roman" w:cs="Times New Roman" w:eastAsia="Times New Roman" w:hAnsi="Times New Roman"/>
          <w:sz w:val="18"/>
          <w:szCs w:val="18"/>
          <w:color w:val="auto"/>
        </w:rPr>
        <w:t>”), as a condition of payment or performance by such Guarantor, to (A) proceed against the Issuer, any other guarantor (including any other Guarantor) of the obligations under the Note Guarantees or any other person, (B) proceed against or exhaust any security held from the Issuer, any such other guarantor or any other person,</w:t>
      </w:r>
    </w:p>
    <w:p>
      <w:pPr>
        <w:spacing w:after="0" w:line="6" w:lineRule="exact"/>
        <w:rPr>
          <w:rFonts w:ascii="Times New Roman" w:cs="Times New Roman" w:eastAsia="Times New Roman" w:hAnsi="Times New Roman"/>
          <w:sz w:val="18"/>
          <w:szCs w:val="18"/>
          <w:color w:val="auto"/>
        </w:rPr>
      </w:pPr>
    </w:p>
    <w:p>
      <w:pPr>
        <w:ind w:left="4" w:hanging="4"/>
        <w:spacing w:after="0" w:line="251" w:lineRule="auto"/>
        <w:tabs>
          <w:tab w:leader="none" w:pos="289"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 against or have resort to any balance of any deposit account or credit on the books of any Benefited Party in favor of the Issuer or any other person, or (D) pursue any other remedy in the power of any Benefited Party whatsoever; (ii) any defense arising by reason of the incapacity, lack of authority or any disability or other defense of the Issuer including any defense based on or arising out of the lack of validity or the unenforceability of the obligations under the Note Guarantees or any agreement or instrument relating thereto or by reason of the cessation of the liability of the Issuer from any cause other than payment in full of the obligations under the Note Guarantees; (iii) any defense based upon any statute or rule of law which provides that the obligation of a surety must be neither larger in amount nor in other respects more burdensome than that of the principal; (iv) any defense based upon any Benefited Party’s errors or omissions in the administration of the obligations under the Note Guarantees, except behavior which amounts to bad faith; (v) (A) any principles or provisions of law, statutory or otherwise, which are or might be in conflict with the terms of the Note Guarantees and any legal or equitable discharge of such Guarantor’s obligations hereunder and under its Note Guarantee, (B) the benefit of any statute of limitations affecting such</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4"/>
          </w:cols>
          <w:pgMar w:left="436" w:top="270" w:right="459" w:bottom="1440" w:gutter="0" w:footer="0" w:header="0"/>
        </w:sectPr>
      </w:pPr>
    </w:p>
    <w:bookmarkStart w:id="728" w:name="page729"/>
    <w:bookmarkEnd w:id="728"/>
    <w:p>
      <w:pPr>
        <w:ind w:left="4"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 liability hereunder and under its Note Guarantee or the enforcement hereof and thereof, (C) any rights to set-offs, recoupments and counterclaims and (D) promptness, diligence and any requirement that any Benefited Party protect, secure, perfect or insure any security interest or lien or any property subject thereto; (vi) notices, demands, presentations, protests, notices of protest, notices of dishonor and notices of any action or inaction, including acceptance of the Note Guarantees, notices of default under the Notes or any agreement or instrument related thereto, notices of any renewal, extension or modification of the obligations under the Note Guarantees or any agreement related thereto, and notices of any extension of credit to the Issuer and any right to consent to any thereof; (vii) to the extent permitted under applicable law, the benefits of any “One Action” rule; and</w:t>
      </w:r>
    </w:p>
    <w:p>
      <w:pPr>
        <w:spacing w:after="0" w:line="5" w:lineRule="exact"/>
        <w:rPr>
          <w:sz w:val="20"/>
          <w:szCs w:val="20"/>
          <w:color w:val="auto"/>
        </w:rPr>
      </w:pPr>
    </w:p>
    <w:p>
      <w:pPr>
        <w:ind w:left="4" w:right="80" w:hanging="4"/>
        <w:spacing w:after="0" w:line="255" w:lineRule="auto"/>
        <w:tabs>
          <w:tab w:leader="none" w:pos="409" w:val="left"/>
        </w:tabs>
        <w:numPr>
          <w:ilvl w:val="0"/>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defenses or benefits that may be derived from or afforded by law which limit the liability of or exonerate guarantors or sureties, or which may conflict with the terms of the Note Guarantees. Except as set forth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hereof, each Guarantor covenants that its Note Guarantee shall not be discharged except by complete performance of the obligations contained in its Note Guarantee and this Indenture.</w:t>
      </w:r>
    </w:p>
    <w:p>
      <w:pPr>
        <w:spacing w:after="0" w:line="185" w:lineRule="exact"/>
        <w:rPr>
          <w:rFonts w:ascii="Times New Roman" w:cs="Times New Roman" w:eastAsia="Times New Roman" w:hAnsi="Times New Roman"/>
          <w:sz w:val="18"/>
          <w:szCs w:val="18"/>
          <w:color w:val="auto"/>
        </w:rPr>
      </w:pPr>
    </w:p>
    <w:p>
      <w:pPr>
        <w:jc w:val="both"/>
        <w:ind w:left="4" w:right="80" w:firstLine="436"/>
        <w:spacing w:after="0" w:line="266" w:lineRule="auto"/>
        <w:tabs>
          <w:tab w:leader="none" w:pos="689" w:val="left"/>
        </w:tabs>
        <w:numPr>
          <w:ilvl w:val="1"/>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Holder or the Trustee is required by any court or otherwise to return to the Issuer, the Guarantors or any custodian, trustee, liquidator or other similar official acting in relation to either the Issuer or the Guarantors, any amount paid to either the Trustee or such Holder, any Guarantee, to the extent theretofore discharged, shall be reinstated in full force and effect.</w:t>
      </w:r>
    </w:p>
    <w:p>
      <w:pPr>
        <w:spacing w:after="0" w:line="175" w:lineRule="exact"/>
        <w:rPr>
          <w:rFonts w:ascii="Times New Roman" w:cs="Times New Roman" w:eastAsia="Times New Roman" w:hAnsi="Times New Roman"/>
          <w:sz w:val="18"/>
          <w:szCs w:val="18"/>
          <w:color w:val="auto"/>
        </w:rPr>
      </w:pPr>
    </w:p>
    <w:p>
      <w:pPr>
        <w:ind w:left="4" w:right="20" w:firstLine="436"/>
        <w:spacing w:after="0" w:line="254" w:lineRule="auto"/>
        <w:tabs>
          <w:tab w:leader="none" w:pos="699" w:val="left"/>
        </w:tabs>
        <w:numPr>
          <w:ilvl w:val="1"/>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Guarantor agrees that it shall not be entitled to any right of subrogation in relation to the Holders in respect of any obligations guaranteed hereby until payment in full of all obligations guaranteed hereby. Each Guarantor shall further agree that, as between the Guarantors, on the one hand, and the Holders and the Trustee, on the other hand, (i) the maturity of the obligations guaranteed hereby may be accelerated as provided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 for the purposes of any Guarantee, notwithstanding any stay, injunction or other prohibition preventing such acceleration in respect of the obligations guaranteed hereby and (ii) in the event of any declaration of acceleration of such obligations as provided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hereof, such obligations (whether or not due and payable) shall forthwith become due and payable by the Guarantors for the purpose of any such Guarantee. The Guarantors shall have the right to seek contribution from any non-paying Guarantor so long as the exercise of such right does not impair the rights of the Holders under the applicable Guarantee.</w:t>
      </w:r>
    </w:p>
    <w:p>
      <w:pPr>
        <w:spacing w:after="0" w:line="190"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i w:val="1"/>
          <w:iCs w:val="1"/>
          <w:color w:val="auto"/>
        </w:rPr>
        <w:t>Execution and Delivery of Note Guarantees</w:t>
      </w:r>
      <w:r>
        <w:rPr>
          <w:rFonts w:ascii="Times New Roman" w:cs="Times New Roman" w:eastAsia="Times New Roman" w:hAnsi="Times New Roman"/>
          <w:sz w:val="18"/>
          <w:szCs w:val="18"/>
          <w:color w:val="auto"/>
        </w:rPr>
        <w:t xml:space="preserve">. To evidence its Guarantee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hereof, each Guarantor hereby agrees that this Indenture or a supplemental indenture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shall be signed on behalf of such Guarantor by an Officer of such Guarantor. Each of the Guarantors, jointly and severally, hereby agrees that its Guarantee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hereof shall remain in full force and effect notwithstanding any failure to endorse a notation of such Note Guarantee. If an officer or Officer whose signature is on this Indenture or on the Note Guarantee of a Guarantor no longer holds that office at the time the Trustee authenticates a Note, the Note Guarantee of such Guarantor shall be valid nevertheless. The delivery of any Note by the Trustee, after the authentication thereof hereunder, shall constitute due delivery of the Note Guarantees set forth in this Indenture on behalf of the Guarantors.</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04"/>
          </w:cols>
          <w:pgMar w:left="436" w:top="270" w:right="459" w:bottom="1440" w:gutter="0" w:footer="0" w:header="0"/>
        </w:sectPr>
      </w:pPr>
    </w:p>
    <w:bookmarkStart w:id="729" w:name="page730"/>
    <w:bookmarkEnd w:id="729"/>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10.03 </w:t>
      </w:r>
      <w:r>
        <w:rPr>
          <w:rFonts w:ascii="Times New Roman" w:cs="Times New Roman" w:eastAsia="Times New Roman" w:hAnsi="Times New Roman"/>
          <w:sz w:val="18"/>
          <w:szCs w:val="18"/>
          <w:i w:val="1"/>
          <w:iCs w:val="1"/>
          <w:color w:val="auto"/>
        </w:rPr>
        <w:t>Limitation on Guarantor Liability</w:t>
      </w:r>
      <w:r>
        <w:rPr>
          <w:rFonts w:ascii="Times New Roman" w:cs="Times New Roman" w:eastAsia="Times New Roman" w:hAnsi="Times New Roman"/>
          <w:sz w:val="18"/>
          <w:szCs w:val="18"/>
          <w:color w:val="auto"/>
        </w:rPr>
        <w:t xml:space="preserve">. Each Guarantor confirms, and by its acceptance of Notes, each Holder hereby confirms, that it is the intention of all such parties that any Guarantee of such Guarantor not constitute a fraudulent transfer or conveyance for purposes of the Bankruptcy Code, the Uniform Fraudulent Conveyance Act, the Uniform Fraudulent Transfer Act or any similar applicable law to the extent applicable to any Note Guarantee. To effectuate the foregoing intention, the Trustee and the Holders irrevocably agree, and the Guarantors irrevocably agree, that the obligations of such Guarantor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shall be limited to the maximum amount as will, after giving effect to such maximum amount and all other contingent and fixed liabilities of such Guarantor that are relevant under such laws, and after giving effect to any collections from, rights to receive contribution from or payments made by or on behalf of any other Guarantor in respect of the obligations of such other Guarantor under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result in the obligations of such Guarantor under its Note Guarantee not constituting a fraudulent transfer or conveyance.</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i w:val="1"/>
          <w:iCs w:val="1"/>
          <w:color w:val="auto"/>
        </w:rPr>
        <w:t>Merger and Consolidation of Guarantors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4" w:lineRule="auto"/>
        <w:tabs>
          <w:tab w:leader="none" w:pos="685"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of any sale or other disposition, consolidation, amalgamation, merger, sale or conveyance and upon the assumption by the successor person, by supplemental indenture, executed and delivered to the Trustee and satisfactory in form to the Trustee, of the Note Guarantee endorsed upon the Notes and the due and punctual performance of all of the covenants and conditions of this Indenture to be performed by the Guarantor, such successor person shall succeed to and be substituted for the Guarantor with the same effect as if it had been named herein as a Guarantor. Such successor person thereupon may cause to be signed any or all of the Note Guarantees to be endorsed upon all of the Notes available hereunder which theretofore shall not have been signed by the Issuer and delivered to the Trustee. All the Note Guarantees so issued shall in all respects have the same legal rank and benefit under this Indenture as the Note Guarantees theretofore and thereafter issued in accordance with the terms of this Indenture as though all of such Note Guarantees had been issued at the date of the execution hereof.</w:t>
      </w:r>
    </w:p>
    <w:p>
      <w:pPr>
        <w:spacing w:after="0" w:line="191"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Articles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hereof, and notwithstanding </w:t>
      </w:r>
      <w:r>
        <w:rPr>
          <w:rFonts w:ascii="Times New Roman" w:cs="Times New Roman" w:eastAsia="Times New Roman" w:hAnsi="Times New Roman"/>
          <w:sz w:val="18"/>
          <w:szCs w:val="18"/>
          <w:u w:val="single" w:color="auto"/>
          <w:color w:val="auto"/>
        </w:rPr>
        <w:t>Section 10.04(a)</w:t>
      </w:r>
      <w:r>
        <w:rPr>
          <w:rFonts w:ascii="Times New Roman" w:cs="Times New Roman" w:eastAsia="Times New Roman" w:hAnsi="Times New Roman"/>
          <w:sz w:val="18"/>
          <w:szCs w:val="18"/>
          <w:color w:val="auto"/>
        </w:rPr>
        <w:t>, nothing contained in this Indenture or in any of the Notes shall prevent any consolidation, amalgamation or merger of a Guarantor with or into another Person, or shall prevent any sale or conveyance of the property of a Guarantor as an entirety or substantially as an entirety.</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36"/>
        <w:spacing w:after="0" w:line="254" w:lineRule="auto"/>
        <w:tabs>
          <w:tab w:leader="none" w:pos="685"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(i) of a sale or other disposition of all or substantially all of the assets of any Guarantor, by way of merger, amalgamation, consolidation or otherwise, or a sale or other disposition of all the Equity Interests of any Guarantor, then held by the Issuer and its Restricted Subsidiaries to a person that is not (either before or after giving effect to such transactions) a Restricted Subsidiary of the Issuer, in each case so long as such sale or other disposition is permitted by this Indenture, including without limitation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hereof, (ii) of a designation by the Issuer of any Restricted Subsidiary that is a Guarantor as an Unrestricted Subsidiary in accordance with the definition thereof or in the event that such Guarantor ceases to be a Restricted Subsidiary, in each case, in accordance with the provisions of this Indenture, upon effectiveness of such designation or when it first ceases to be a Restricted Subsidiary, respectively, or becomes an Excluded Subsidiary (other than solely by reason of such Guarantor becoming an Excluded Subsidiary of the type described in clause (a) of the definition thereof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68" w:right="459" w:bottom="1440" w:gutter="0" w:footer="0" w:header="0"/>
        </w:sectPr>
      </w:pPr>
    </w:p>
    <w:bookmarkStart w:id="730" w:name="page731"/>
    <w:bookmarkEnd w:id="73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unless either (x) it is no longer a direct or indirect Subsidiary of the Issuer or (y) such Guarantor ceases to be a Wholly-Owned Subsidiary as a result of a sale, issuance or transfer of Capital Stock to (A) a third party that is not an Affiliate of the Issuer or (B) an Affiliate of the Issuer if, in the case of this clause (B), such sale or transfer is made for a bona fide business purpose of the Issuer and its Subsidiaries and not for the primary purpose of causing such release (as determined by the Issuer in good faith)), (iii) in the case of any Note Guarantee issued on the Escrow Release Date, or thereafter pursuant to the terms of this Indenture, upon the release or discharge of the Note Guarantee by such Guarantor in respect of (1) the Credit Agreements and (2) in any other case, upon the release or discharge of any Note Guarantee in respect of any Indebtedness that resulted in the issuance after the Escrow Release Date of the Note Guarantee by such Guarantor, (iv) of the occurrence of a Suspension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such Note Guarantee would not otherwise have been released pursuant to the foregoing clauses (i) through (iii) or the subsequent clause (v) during such period from the Suspension Event to the Reinstatement date, the Note Guarantees shall be reinstated upon a Reinstatement Date; or (v) the Issuer discharges the Notes and its Obligations under this Indenture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 or exercises its legal or covenant defeasance options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respectively, with respect to the Notes, such Guarantor shall be released and relieved of any obligations under its Note Guarantee without any further action being required by the Trustee or any Holder. If the Issuer discharges this Indenture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 or exercises its legal or covenant defeasance options under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respectively, the Issuer and each Guarantor shall be released and relieved of any obligations under its Note Guarantee without any further action being required by the Trustee or any Holder.</w:t>
      </w:r>
    </w:p>
    <w:p>
      <w:pPr>
        <w:spacing w:after="0" w:line="197" w:lineRule="exact"/>
        <w:rPr>
          <w:sz w:val="20"/>
          <w:szCs w:val="20"/>
          <w:color w:val="auto"/>
        </w:rPr>
      </w:pPr>
    </w:p>
    <w:p>
      <w:pPr>
        <w:jc w:val="both"/>
        <w:ind w:right="40" w:firstLine="436"/>
        <w:spacing w:after="0" w:line="266" w:lineRule="auto"/>
        <w:tabs>
          <w:tab w:leader="none" w:pos="695"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delivery by the Issuer to the Trustee of an Officers’ Certificate and an Opinion of Counsel to the effect that such sale or other disposition was made by the Issuer in accordance with the provisions of this Indenture, including without limitation Sections </w:t>
      </w:r>
      <w:r>
        <w:rPr>
          <w:rFonts w:ascii="Times New Roman" w:cs="Times New Roman" w:eastAsia="Times New Roman" w:hAnsi="Times New Roman"/>
          <w:sz w:val="18"/>
          <w:szCs w:val="18"/>
          <w:u w:val="single" w:color="auto"/>
          <w:color w:val="auto"/>
        </w:rPr>
        <w:t>4.08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hereof, the Trustee shall execute any documents reasonably required in order to evidence the release of any Guarantor from its obligations under its Guarantee.</w:t>
      </w:r>
    </w:p>
    <w:p>
      <w:pPr>
        <w:spacing w:after="0" w:line="175" w:lineRule="exact"/>
        <w:rPr>
          <w:rFonts w:ascii="Times New Roman" w:cs="Times New Roman" w:eastAsia="Times New Roman" w:hAnsi="Times New Roman"/>
          <w:sz w:val="18"/>
          <w:szCs w:val="18"/>
          <w:color w:val="auto"/>
        </w:rPr>
      </w:pPr>
    </w:p>
    <w:p>
      <w:pPr>
        <w:ind w:right="80" w:firstLine="436"/>
        <w:spacing w:after="0" w:line="282" w:lineRule="auto"/>
        <w:tabs>
          <w:tab w:leader="none" w:pos="685"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Guarantor not released from its obligations under its Note Guarantee shall remain liable for the full amount of principal of and interest on the Notes and for the other obligations of any Guarantor under this Indenture as provided in this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3" w:lineRule="exact"/>
        <w:rPr>
          <w:sz w:val="20"/>
          <w:szCs w:val="20"/>
          <w:color w:val="auto"/>
        </w:rPr>
      </w:pPr>
    </w:p>
    <w:p>
      <w:pPr>
        <w:ind w:right="4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i w:val="1"/>
          <w:iCs w:val="1"/>
          <w:color w:val="auto"/>
        </w:rPr>
        <w:t>Certain Trust Indenture Act Sections</w:t>
      </w:r>
      <w:r>
        <w:rPr>
          <w:rFonts w:ascii="Times New Roman" w:cs="Times New Roman" w:eastAsia="Times New Roman" w:hAnsi="Times New Roman"/>
          <w:sz w:val="18"/>
          <w:szCs w:val="18"/>
          <w:color w:val="auto"/>
        </w:rPr>
        <w:t>. The Issuer shall comply with Sections 314(a)(4), 314(c) and 314(e) of the TIA. No other provision of the TIA shall apply except where otherwise specifically provided.</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731" w:name="page732"/>
    <w:bookmarkEnd w:id="731"/>
    <w:p>
      <w:pPr>
        <w:jc w:val="both"/>
        <w:ind w:right="14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11.02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Any demand, authorization notice, request, consent or communication shall be given in writing and delivered in person or mailed by first-class mail, postage prepaid, addressed as follows or transmitted by electronic transmission or email (confirmed by delivery in person or mail by first-class mail, postage prepaid, or by guaranteed overnight courier) to the following emails: If to the Issuer, to:</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904 Sylvan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Englewood Cliffs,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New Jersey 07632</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Davis Polk &amp; Wardwell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450 Lexington Avenue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John B. Meade and Stephen A. Byeff</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john.meade@davispolk.com and stephen.byeff@davispolk.com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 Paying Agent, Transfer Agent, Registrar, Notes Custodian or the Notes Collateral Agent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Citibank, N.A. Agency &amp; Trust</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388 Greenwich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New York, New York 10013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SPAG Debt Administration; Miriam Molina</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 [***]</w:t>
      </w:r>
    </w:p>
    <w:p>
      <w:pPr>
        <w:spacing w:after="0" w:line="9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Nixon Peabody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53 State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Boston, Massachusetts 02109</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J. Tentindo and Jonathan R. Winnick</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mtentindo@nixonpeabody.com and jwinnick@nixonpeabody.com</w:t>
      </w:r>
    </w:p>
    <w:p>
      <w:pPr>
        <w:spacing w:after="0" w:line="20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All notices and communications (other than those sent to Holders) shall be deemed to have been duly given: at the time delivered by hand, if personally delivered; five calendar days after being deposited in the mail, postage prepaid, if mailed by first-class mail; when receipt is acknowledged, if faxed or sent electronically; the next Business Day after timely delivery to the courier, if sent by overnight air courier guaranteeing next-day delivery; and on the date sent to DTC if otherwise given in accordance with the procedures of DTC; provided that any notice or communication delivered to the Trustee shall be deemed effective upon actual receipt thereof and on the first date on which publication is made, if given by publication (including by posting of information on the website or online data system maintained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The Issuer, the Notes Collateral Agent, the Agents or the Trustee by notice to the other may designate additional or different addresses for subsequent notices or communications.</w:t>
      </w:r>
    </w:p>
    <w:p>
      <w:pPr>
        <w:spacing w:after="0" w:line="162" w:lineRule="exact"/>
        <w:rPr>
          <w:sz w:val="20"/>
          <w:szCs w:val="20"/>
          <w:color w:val="auto"/>
        </w:rPr>
      </w:pPr>
    </w:p>
    <w:p>
      <w:pPr>
        <w:jc w:val="both"/>
        <w:ind w:right="56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mailed to a Holder shall be mailed by first-class mail or delivered by an overnight delivery service to it at its address shown on the register kept by the Registrar, or, in the case of DTC (including its nominee, as applicable), transmitted in accordance with applicable procedures of DTC.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68" w:right="459" w:bottom="1440" w:gutter="0" w:footer="0" w:header="0"/>
        </w:sectPr>
      </w:pPr>
    </w:p>
    <w:bookmarkStart w:id="732" w:name="page733"/>
    <w:bookmarkEnd w:id="732"/>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Failure to mail a notice or communication to a Holder or any defect in it shall not affect its sufficiency with respect to other Holders. If a notice or communication to a Holder is mailed in the manner provided above, it is duly given, whether or not the addressee receives it.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Trustee (in each of its capacities hereunder, including without limitation, as Notes Collateral Agent) and each Agent shall have the right to accept and act upon instructions, including funds transfer instructions (“</w:t>
      </w:r>
      <w:r>
        <w:rPr>
          <w:rFonts w:ascii="Times New Roman" w:cs="Times New Roman" w:eastAsia="Times New Roman" w:hAnsi="Times New Roman"/>
          <w:sz w:val="18"/>
          <w:szCs w:val="18"/>
          <w:b w:val="1"/>
          <w:bCs w:val="1"/>
          <w:color w:val="auto"/>
        </w:rPr>
        <w:t>Instructions</w:t>
      </w:r>
      <w:r>
        <w:rPr>
          <w:rFonts w:ascii="Times New Roman" w:cs="Times New Roman" w:eastAsia="Times New Roman" w:hAnsi="Times New Roman"/>
          <w:sz w:val="18"/>
          <w:szCs w:val="18"/>
          <w:color w:val="auto"/>
        </w:rPr>
        <w:t>”), given pursuant to this Indenture and related documents and delivered using Electronic Means; provided, however, that the Issuer shall provide to the Trustee or the Agents an incumbency certificate listing officers with the authority to provide such Instructions (“</w:t>
      </w:r>
      <w:r>
        <w:rPr>
          <w:rFonts w:ascii="Times New Roman" w:cs="Times New Roman" w:eastAsia="Times New Roman" w:hAnsi="Times New Roman"/>
          <w:sz w:val="18"/>
          <w:szCs w:val="18"/>
          <w:b w:val="1"/>
          <w:bCs w:val="1"/>
          <w:color w:val="auto"/>
        </w:rPr>
        <w:t>Authorized Officers</w:t>
      </w:r>
      <w:r>
        <w:rPr>
          <w:rFonts w:ascii="Times New Roman" w:cs="Times New Roman" w:eastAsia="Times New Roman" w:hAnsi="Times New Roman"/>
          <w:sz w:val="18"/>
          <w:szCs w:val="18"/>
          <w:color w:val="auto"/>
        </w:rPr>
        <w:t>”) and containing specimen signatures of such Authorized Officers, which incumbency certificate shall be amended by the Issuer whenever a person is to be added or deleted from the listing. If the Issuer elects to give the Trustee Instructions using Electronic Means and the Trustee in its discretion elects to act upon such Instructions, the Trustee’s understanding of such Instructions shall be deemed controlling. The Issuer understands and agrees that the Trustee cannot determine the identity of the actual sender of such Instructions and that the Trustee shall conclusively presume that directions that purport to have been sent by an Authorized Officer listed on the incumbency certificate provided to the Trustee have been sent by such Authorized Officer. The Issuer shall be responsible for ensuring that only Authorized Officers transmit such Instructions to the Trustee and that the Issuer and all Authorized Officers are solely responsible to safeguard the use and confidentiality of applicable user and authorization codes, passwords and/or authentication keys upon receipt by the Issuer. The Trustee shall not be liable for any losses, costs or expenses arising directly or indirectly from their reliance upon and compliance with such Instructions notwithstanding such directions conflict or are inconsistent with a subsequent written instruction. The Issuer agrees: (i) to assume all risks arising out of the use of Electronic Means to submit Instructions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method(s) selected by the Issuer; (iii) that the security procedures (if any) to be followed in connection with its transmission of Instructions provide to it a commercially reasonable degree of protection in light of its particular needs and circumstances; and (iv) to notify the Trustee immediately upon learning of any compromise or unauthorized use of the security procedures. “</w:t>
      </w:r>
      <w:r>
        <w:rPr>
          <w:rFonts w:ascii="Times New Roman" w:cs="Times New Roman" w:eastAsia="Times New Roman" w:hAnsi="Times New Roman"/>
          <w:sz w:val="18"/>
          <w:szCs w:val="18"/>
          <w:b w:val="1"/>
          <w:bCs w:val="1"/>
          <w:color w:val="auto"/>
        </w:rPr>
        <w:t>Electronic Means</w:t>
      </w:r>
      <w:r>
        <w:rPr>
          <w:rFonts w:ascii="Times New Roman" w:cs="Times New Roman" w:eastAsia="Times New Roman" w:hAnsi="Times New Roman"/>
          <w:sz w:val="18"/>
          <w:szCs w:val="18"/>
          <w:color w:val="auto"/>
        </w:rPr>
        <w:t>” shall mean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18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as long as the Notes are in the form of a Global Note, notice to the Holders of such Notes may be made electronically in accordance with procedures of the Depositary.</w:t>
      </w:r>
    </w:p>
    <w:p>
      <w:pPr>
        <w:spacing w:after="0" w:line="160" w:lineRule="exact"/>
        <w:rPr>
          <w:sz w:val="20"/>
          <w:szCs w:val="20"/>
          <w:color w:val="auto"/>
        </w:rPr>
      </w:pPr>
    </w:p>
    <w:p>
      <w:pPr>
        <w:ind w:right="4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i w:val="1"/>
          <w:iCs w:val="1"/>
          <w:color w:val="auto"/>
        </w:rPr>
        <w:t>Communications by Holders With Other Holders</w:t>
      </w:r>
      <w:r>
        <w:rPr>
          <w:rFonts w:ascii="Times New Roman" w:cs="Times New Roman" w:eastAsia="Times New Roman" w:hAnsi="Times New Roman"/>
          <w:sz w:val="18"/>
          <w:szCs w:val="18"/>
          <w:color w:val="auto"/>
        </w:rPr>
        <w:t>. Noteholders may communicate pursuant to TIA Section 312(b) with other Noteholders with respect to their rights under this Indenture or the Notes. The Issuer, the Trustee, the Registrar and any other person shall have the protection of TIA Section 312(c).</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20"/>
          </w:cols>
          <w:pgMar w:left="440" w:top="270" w:right="439" w:bottom="1440" w:gutter="0" w:footer="0" w:header="0"/>
        </w:sectPr>
      </w:pPr>
    </w:p>
    <w:bookmarkStart w:id="733" w:name="page734"/>
    <w:bookmarkEnd w:id="7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11.04 </w:t>
      </w:r>
      <w:r>
        <w:rPr>
          <w:rFonts w:ascii="Times New Roman" w:cs="Times New Roman" w:eastAsia="Times New Roman" w:hAnsi="Times New Roman"/>
          <w:sz w:val="18"/>
          <w:szCs w:val="18"/>
          <w:i w:val="1"/>
          <w:iCs w:val="1"/>
          <w:color w:val="auto"/>
        </w:rPr>
        <w:t>Certificate and Opinion of Counsel as to Conditions Precedent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right="20" w:firstLine="436"/>
        <w:spacing w:after="0" w:line="261" w:lineRule="auto"/>
        <w:tabs>
          <w:tab w:leader="none" w:pos="685" w:val="left"/>
        </w:tabs>
        <w:numPr>
          <w:ilvl w:val="0"/>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request or application by the Issuer to the Trustee, the Agents or the Notes Collateral Agent to take any action under this Indenture, other than the initial issuance of the Notes and the Note Guarantees or under the Pari Passu Intercreditor Agreement, any other intercreditor agreement or the Collateral Documents, the Issuer shall furnish to the Trustee, the Agents or the Notes Collateral Agent at the request of the Trustee, the Agents or the Notes Collateral Agent (as applicable):</w:t>
      </w:r>
    </w:p>
    <w:p>
      <w:pPr>
        <w:spacing w:after="0" w:line="71" w:lineRule="exact"/>
        <w:rPr>
          <w:rFonts w:ascii="Times New Roman" w:cs="Times New Roman" w:eastAsia="Times New Roman" w:hAnsi="Times New Roman"/>
          <w:sz w:val="18"/>
          <w:szCs w:val="18"/>
          <w:color w:val="auto"/>
        </w:rPr>
      </w:pPr>
    </w:p>
    <w:p>
      <w:pPr>
        <w:ind w:left="440" w:right="320" w:firstLine="419"/>
        <w:spacing w:after="0" w:line="312" w:lineRule="auto"/>
        <w:tabs>
          <w:tab w:leader="none" w:pos="1078" w:val="left"/>
        </w:tabs>
        <w:numPr>
          <w:ilvl w:val="1"/>
          <w:numId w:val="9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Officers’ Certificate stating that, in the opinion of the signers, all conditions precedent (including any covenants, compliance with which constitutes a condition precedent), if any, provided for in this Indenture relating to the proposed action have been complied with; and</w:t>
      </w:r>
    </w:p>
    <w:p>
      <w:pPr>
        <w:spacing w:after="0" w:line="31" w:lineRule="exact"/>
        <w:rPr>
          <w:rFonts w:ascii="Times New Roman" w:cs="Times New Roman" w:eastAsia="Times New Roman" w:hAnsi="Times New Roman"/>
          <w:sz w:val="17"/>
          <w:szCs w:val="17"/>
          <w:color w:val="auto"/>
        </w:rPr>
      </w:pPr>
    </w:p>
    <w:p>
      <w:pPr>
        <w:ind w:left="440" w:right="140" w:firstLine="419"/>
        <w:spacing w:after="0" w:line="282" w:lineRule="auto"/>
        <w:tabs>
          <w:tab w:leader="none" w:pos="1128" w:val="left"/>
        </w:tabs>
        <w:numPr>
          <w:ilvl w:val="1"/>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stating that, in the opinion of such counsel, all such conditions precedent (including any covenants, compliance with which constitutes a condition precedent) have been complied with.</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Officers’ Certificate and Opinion of Counsel with respect to compliance with a condition or covenant provided for in this Indenture shall</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include:</w:t>
      </w:r>
    </w:p>
    <w:p>
      <w:pPr>
        <w:spacing w:after="0" w:line="98"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1"/>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1"/>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78" w:val="left"/>
        </w:tabs>
        <w:numPr>
          <w:ilvl w:val="1"/>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person, such condition or covenant has been complied with;</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with respect to matters of fact an Opinion of Counsel may rely on an Officers’ Certificate or certificates of public officials.</w:t>
      </w:r>
    </w:p>
    <w:p>
      <w:pPr>
        <w:spacing w:after="0" w:line="225"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i w:val="1"/>
          <w:iCs w:val="1"/>
          <w:color w:val="auto"/>
        </w:rPr>
        <w:t>Record Date for Vote or Consent of Holders</w:t>
      </w:r>
      <w:r>
        <w:rPr>
          <w:rFonts w:ascii="Times New Roman" w:cs="Times New Roman" w:eastAsia="Times New Roman" w:hAnsi="Times New Roman"/>
          <w:sz w:val="18"/>
          <w:szCs w:val="18"/>
          <w:color w:val="auto"/>
        </w:rPr>
        <w:t xml:space="preserve">. The Issuer (or, in the event deposits have been made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the Trustee) may set a record date for purposes of determining the identity of Holders of Notes entitled to vote or consent to any action by vote or consent authorized or permitted under this Indenture, which record date shall not be more than thirty (30) days prior to the date of the commencement of solicitation of such action. Notwithstanding the provisions of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hereof, if a record date is fixed, those persons who were Holders of Notes at the close of business on such record date (or their duly designated proxies), and only those persons, shall be entitled to take such action with respect to the Notes by vote or consent or to revoke any vote or consent previously given, whether or not such persons continue to be Holders of Notes after such record date.</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0940"/>
          </w:cols>
          <w:pgMar w:left="440" w:top="268" w:right="519" w:bottom="1440" w:gutter="0" w:footer="0" w:header="0"/>
        </w:sectPr>
      </w:pPr>
    </w:p>
    <w:bookmarkStart w:id="734" w:name="page735"/>
    <w:bookmarkEnd w:id="734"/>
    <w:p>
      <w:pPr>
        <w:ind w:right="46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11.06 </w:t>
      </w:r>
      <w:r>
        <w:rPr>
          <w:rFonts w:ascii="Times New Roman" w:cs="Times New Roman" w:eastAsia="Times New Roman" w:hAnsi="Times New Roman"/>
          <w:sz w:val="18"/>
          <w:szCs w:val="18"/>
          <w:i w:val="1"/>
          <w:iCs w:val="1"/>
          <w:color w:val="auto"/>
        </w:rPr>
        <w:t>Rules by Trustee, Paying Agent and Registrar</w:t>
      </w:r>
      <w:r>
        <w:rPr>
          <w:rFonts w:ascii="Times New Roman" w:cs="Times New Roman" w:eastAsia="Times New Roman" w:hAnsi="Times New Roman"/>
          <w:sz w:val="18"/>
          <w:szCs w:val="18"/>
          <w:color w:val="auto"/>
        </w:rPr>
        <w:t>. The Trustee may make reasonable rules (not inconsistent with the terms of this Indenture) for action by or at a meeting of Holders. Any Registrar or Paying Agent may make reasonable rules for its functions.</w:t>
      </w:r>
    </w:p>
    <w:p>
      <w:pPr>
        <w:spacing w:after="0" w:line="158" w:lineRule="exact"/>
        <w:rPr>
          <w:sz w:val="20"/>
          <w:szCs w:val="20"/>
          <w:color w:val="auto"/>
        </w:rPr>
      </w:pPr>
    </w:p>
    <w:p>
      <w:pPr>
        <w:jc w:val="both"/>
        <w:ind w:right="3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i w:val="1"/>
          <w:iCs w:val="1"/>
          <w:color w:val="auto"/>
        </w:rPr>
        <w:t>Payment Dates</w:t>
      </w:r>
      <w:r>
        <w:rPr>
          <w:rFonts w:ascii="Times New Roman" w:cs="Times New Roman" w:eastAsia="Times New Roman" w:hAnsi="Times New Roman"/>
          <w:sz w:val="18"/>
          <w:szCs w:val="18"/>
          <w:color w:val="auto"/>
        </w:rPr>
        <w:t>. If a payment date, including any Redemption Date, Purchase Date, Change of Control Purchase Date and Final Maturity Date, is not a Business Day, payment shall be made on the next succeeding day that is a Business Day, and no interest shall accrue for the intervening period on such payment. If an interest record date is not a Business Day, the record date shall not be affected.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i w:val="1"/>
          <w:iCs w:val="1"/>
          <w:color w:val="auto"/>
        </w:rPr>
        <w:t>Governing Law; Submission to Jurisdiction; Waiver of Jury Trial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00" w:firstLine="436"/>
        <w:spacing w:after="0" w:line="282" w:lineRule="auto"/>
        <w:tabs>
          <w:tab w:leader="none" w:pos="685"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specifically noted herein, this Indenture and the Notes shall be governed by, and construed in accordance with, the laws of the State of New York, without regard to principles of conflicts of laws.</w:t>
      </w:r>
    </w:p>
    <w:p>
      <w:pPr>
        <w:spacing w:after="0" w:line="161"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irrevocably submits to the non-exclusive jurisdiction of any New York State or United States Federal court sitting in The City of New York over any suit, action or proceeding arising out of or relating to this Indenture. The Issuer irrevocably waives, to the fullest extent permitted by law, any objection which it may now or hereafter have to the laying of venue of any such suit, action or proceeding brought in such a court and any claim that any such suit, action or proceeding brought in such a court has been brought in an inconvenient forum.</w:t>
      </w:r>
    </w:p>
    <w:p>
      <w:pPr>
        <w:spacing w:after="0" w:line="179" w:lineRule="exact"/>
        <w:rPr>
          <w:rFonts w:ascii="Times New Roman" w:cs="Times New Roman" w:eastAsia="Times New Roman" w:hAnsi="Times New Roman"/>
          <w:sz w:val="18"/>
          <w:szCs w:val="18"/>
          <w:color w:val="auto"/>
        </w:rPr>
      </w:pPr>
    </w:p>
    <w:p>
      <w:pPr>
        <w:ind w:right="280" w:firstLine="436"/>
        <w:spacing w:after="0" w:line="261" w:lineRule="auto"/>
        <w:tabs>
          <w:tab w:leader="none" w:pos="685" w:val="left"/>
        </w:tabs>
        <w:numPr>
          <w:ilvl w:val="0"/>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ISSUER, THE TRUSTEE, THE AGENTS AND THE NOTES COLLATERAL AGENT HEREBY IRREVOCABLY WAIVES, TO THE FULLEST EXTENT PERMITTED BY APPLICABLE LAW, ANY AND ALL RIGHT TO TRIAL BY JURY IN ANY LEGAL PROCEEDING ARISING OUT OF OR RELATING TO THIS INDENTURE, THE NOTES, OR THE TRANSACTIONS CONTEMPLATED HEREBY.</w:t>
      </w:r>
    </w:p>
    <w:p>
      <w:pPr>
        <w:spacing w:after="0" w:line="178" w:lineRule="exact"/>
        <w:rPr>
          <w:sz w:val="20"/>
          <w:szCs w:val="20"/>
          <w:color w:val="auto"/>
        </w:rPr>
      </w:pPr>
    </w:p>
    <w:p>
      <w:pPr>
        <w:ind w:right="640" w:firstLine="440"/>
        <w:spacing w:after="0" w:line="315" w:lineRule="auto"/>
        <w:rPr>
          <w:sz w:val="20"/>
          <w:szCs w:val="20"/>
          <w:color w:val="auto"/>
        </w:rPr>
      </w:pPr>
      <w:r>
        <w:rPr>
          <w:rFonts w:ascii="Times New Roman" w:cs="Times New Roman" w:eastAsia="Times New Roman" w:hAnsi="Times New Roman"/>
          <w:sz w:val="17"/>
          <w:szCs w:val="17"/>
          <w:color w:val="auto"/>
        </w:rPr>
        <w:t xml:space="preserve">Section 11.09 </w:t>
      </w:r>
      <w:r>
        <w:rPr>
          <w:rFonts w:ascii="Times New Roman" w:cs="Times New Roman" w:eastAsia="Times New Roman" w:hAnsi="Times New Roman"/>
          <w:sz w:val="17"/>
          <w:szCs w:val="17"/>
          <w:i w:val="1"/>
          <w:iCs w:val="1"/>
          <w:color w:val="auto"/>
        </w:rPr>
        <w:t>No Adverse Interpretation of Other Agreements</w:t>
      </w:r>
      <w:r>
        <w:rPr>
          <w:rFonts w:ascii="Times New Roman" w:cs="Times New Roman" w:eastAsia="Times New Roman" w:hAnsi="Times New Roman"/>
          <w:sz w:val="17"/>
          <w:szCs w:val="17"/>
          <w:color w:val="auto"/>
        </w:rPr>
        <w:t>. This Indenture may not be used to interpret another indenture, loan or debt agreement of the Issuer or a Subsidiary of the Issuer. Any such indenture, loan or debt agreement may not be used to interpret this Indenture.</w:t>
      </w:r>
    </w:p>
    <w:p>
      <w:pPr>
        <w:spacing w:after="0" w:line="135"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i w:val="1"/>
          <w:iCs w:val="1"/>
          <w:color w:val="auto"/>
        </w:rPr>
        <w:t>No Recourse Against Others</w:t>
      </w:r>
      <w:r>
        <w:rPr>
          <w:rFonts w:ascii="Times New Roman" w:cs="Times New Roman" w:eastAsia="Times New Roman" w:hAnsi="Times New Roman"/>
          <w:sz w:val="18"/>
          <w:szCs w:val="18"/>
          <w:color w:val="auto"/>
        </w:rPr>
        <w:t xml:space="preserve">. All liability described in paragraph 14 of the Form of the Notes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any director, officer, incorporator, employee or shareholder, as such, of the Issuer or any Guarantor is waived and released.</w:t>
      </w:r>
    </w:p>
    <w:p>
      <w:pPr>
        <w:spacing w:after="0" w:line="158"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i w:val="1"/>
          <w:iCs w:val="1"/>
          <w:color w:val="auto"/>
        </w:rPr>
        <w:t>Successors</w:t>
      </w:r>
      <w:r>
        <w:rPr>
          <w:rFonts w:ascii="Times New Roman" w:cs="Times New Roman" w:eastAsia="Times New Roman" w:hAnsi="Times New Roman"/>
          <w:sz w:val="18"/>
          <w:szCs w:val="18"/>
          <w:color w:val="auto"/>
        </w:rPr>
        <w:t>. All agreements of the Issuer in this Indenture and the Notes shall bind their successors. All agreements of the Trustee in this Indenture shall bind its successor.</w:t>
      </w:r>
    </w:p>
    <w:p>
      <w:pPr>
        <w:spacing w:after="0" w:line="158"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i w:val="1"/>
          <w:iCs w:val="1"/>
          <w:color w:val="auto"/>
        </w:rPr>
        <w:t>Multiple Counterparts; Execution</w:t>
      </w:r>
      <w:r>
        <w:rPr>
          <w:rFonts w:ascii="Times New Roman" w:cs="Times New Roman" w:eastAsia="Times New Roman" w:hAnsi="Times New Roman"/>
          <w:sz w:val="18"/>
          <w:szCs w:val="18"/>
          <w:color w:val="auto"/>
        </w:rPr>
        <w:t>. The parties may sign multiple counterparts of this Indenture. Each signed counterpart shall be deemed an original, but all of them together represent the same agreement. The words “execution,” “signed,” “signature,” and words of like import in this Indenture or in any other certificate, agreement or document related to this Indenture shall include images of manually executed signatures transmitted by facsimile or other electronic format (including, without limitation, “pdf”, “tif” or “jpg”) and other electronic signatures (including, without limitation, DocuSign). The use of electronic signatures and electronic records (including, without limitation, any contract or other record created, generated,</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0980"/>
          </w:cols>
          <w:pgMar w:left="440" w:top="268" w:right="479" w:bottom="1440" w:gutter="0" w:footer="0" w:header="0"/>
        </w:sectPr>
      </w:pPr>
    </w:p>
    <w:bookmarkStart w:id="735" w:name="page736"/>
    <w:bookmarkEnd w:id="735"/>
    <w:p>
      <w:pPr>
        <w:ind w:left="4"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8" w:lineRule="exact"/>
        <w:rPr>
          <w:sz w:val="20"/>
          <w:szCs w:val="20"/>
          <w:color w:val="auto"/>
        </w:rPr>
      </w:pPr>
    </w:p>
    <w:p>
      <w:pPr>
        <w:ind w:left="4" w:right="8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i w:val="1"/>
          <w:iCs w:val="1"/>
          <w:color w:val="auto"/>
        </w:rPr>
        <w:t>Separability</w:t>
      </w:r>
      <w:r>
        <w:rPr>
          <w:rFonts w:ascii="Times New Roman" w:cs="Times New Roman" w:eastAsia="Times New Roman" w:hAnsi="Times New Roman"/>
          <w:sz w:val="18"/>
          <w:szCs w:val="18"/>
          <w:color w:val="auto"/>
        </w:rPr>
        <w:t>. In case any provisions in this Indenture or in the Notes shall be invalid, illegal or unenforceable, the validity, legality and enforceability of the remaining provisions shall not in any way be affected or impaired thereby.</w:t>
      </w:r>
    </w:p>
    <w:p>
      <w:pPr>
        <w:spacing w:after="0" w:line="158" w:lineRule="exact"/>
        <w:rPr>
          <w:sz w:val="20"/>
          <w:szCs w:val="20"/>
          <w:color w:val="auto"/>
        </w:rPr>
      </w:pPr>
    </w:p>
    <w:p>
      <w:pPr>
        <w:ind w:left="4"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i w:val="1"/>
          <w:iCs w:val="1"/>
          <w:color w:val="auto"/>
        </w:rPr>
        <w:t>Table of Contents, Headings, etc</w:t>
      </w:r>
      <w:r>
        <w:rPr>
          <w:rFonts w:ascii="Times New Roman" w:cs="Times New Roman" w:eastAsia="Times New Roman" w:hAnsi="Times New Roman"/>
          <w:sz w:val="18"/>
          <w:szCs w:val="18"/>
          <w:color w:val="auto"/>
        </w:rPr>
        <w:t>. The table of contents and headings of the Articles and Sections of this Indenture have been inserted for convenience of reference only, are not to be considered a part hereof, and shall in no way modify or restrict any of the terms or provisions hereof.</w:t>
      </w:r>
    </w:p>
    <w:p>
      <w:pPr>
        <w:spacing w:after="0" w:line="17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i w:val="1"/>
          <w:iCs w:val="1"/>
          <w:color w:val="auto"/>
        </w:rPr>
        <w:t>Calculations in Respect of the Notes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 w:right="180" w:firstLine="436"/>
        <w:spacing w:after="0" w:line="261" w:lineRule="auto"/>
        <w:tabs>
          <w:tab w:leader="none" w:pos="689" w:val="left"/>
        </w:tabs>
        <w:numPr>
          <w:ilvl w:val="1"/>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to be delivered pursuant to this Indenture shall be prepared in accordance with GAAP and, except as otherwise expressly provided herein, all terms of an accounting or financial nature that are used in calculating the Total Net Leverage Ratio, the Secured Net Leverage Ratio, the Consolidated Coverage Ratio, Consolidated Adjusted EBITDA or Consolidated Net Income shall be construed and interpreted in accordance with GAAP.</w:t>
      </w:r>
    </w:p>
    <w:p>
      <w:pPr>
        <w:spacing w:after="0" w:line="179" w:lineRule="exact"/>
        <w:rPr>
          <w:rFonts w:ascii="Times New Roman" w:cs="Times New Roman" w:eastAsia="Times New Roman" w:hAnsi="Times New Roman"/>
          <w:sz w:val="18"/>
          <w:szCs w:val="18"/>
          <w:color w:val="auto"/>
        </w:rPr>
      </w:pPr>
    </w:p>
    <w:p>
      <w:pPr>
        <w:ind w:left="4" w:firstLine="436"/>
        <w:spacing w:after="0" w:line="270" w:lineRule="auto"/>
        <w:tabs>
          <w:tab w:leader="none" w:pos="699" w:val="left"/>
        </w:tabs>
        <w:numPr>
          <w:ilvl w:val="1"/>
          <w:numId w:val="9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terms of an accounting or financial nature used herein shall be construed, and all computations of amounts and ratios referred to herein shall be made, without giving effect to (i) any election under Accounting Standards Codification 825-10-25 (previously referred to as Statement of Financial Accounting Standards 159) (or any other Accounting Standards Codification, International Accounting Standard or Financial Accounting Standard having a similar result or effect) to value any Indebtedness or other liabilities of the Issuer or any subsidiary at “fair value,” as defined therein,</w:t>
      </w:r>
    </w:p>
    <w:p>
      <w:pPr>
        <w:spacing w:after="0" w:line="2" w:lineRule="exact"/>
        <w:rPr>
          <w:rFonts w:ascii="Times New Roman" w:cs="Times New Roman" w:eastAsia="Times New Roman" w:hAnsi="Times New Roman"/>
          <w:sz w:val="17"/>
          <w:szCs w:val="17"/>
          <w:color w:val="auto"/>
        </w:rPr>
      </w:pPr>
    </w:p>
    <w:p>
      <w:pPr>
        <w:ind w:left="4" w:right="20" w:hanging="4"/>
        <w:spacing w:after="0" w:line="252" w:lineRule="auto"/>
        <w:tabs>
          <w:tab w:leader="none" w:pos="269" w:val="left"/>
        </w:tabs>
        <w:numPr>
          <w:ilvl w:val="0"/>
          <w:numId w:val="9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treatment of Indebtedness in respect of convertible debt instruments under Accounting Standards Codification 470-20 (or any other Accounting Standards Codification, International Accounting Standard or Financial Accounting Standard having a similar result or effect) to value any such Indebtedness in a reduced or bifurcated manner as described therein, and such Indebtedness shall at all times be valued at the full stated principal amount thereof and (iii) the application of Accounting Standards Codification 480, 815, 805 and 718 (to the extent these pronouncements under Accounting Standards Codification 718 result in recording an equity award as a liability on the consolidated balance sheet of the Issuer and its Restricted Subsidiaries in the circumstance where, but for the application of the pronouncements, such award would have been classified as equity).</w:t>
      </w:r>
    </w:p>
    <w:p>
      <w:pPr>
        <w:spacing w:after="0" w:line="12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0924"/>
          </w:cols>
          <w:pgMar w:left="436" w:top="270" w:right="539" w:bottom="1440" w:gutter="0" w:footer="0" w:header="0"/>
        </w:sectPr>
      </w:pPr>
    </w:p>
    <w:bookmarkStart w:id="736" w:name="page737"/>
    <w:bookmarkEnd w:id="736"/>
    <w:p>
      <w:pPr>
        <w:ind w:left="4" w:right="40" w:firstLine="436"/>
        <w:spacing w:after="0" w:line="254" w:lineRule="auto"/>
        <w:tabs>
          <w:tab w:leader="none" w:pos="689" w:val="left"/>
        </w:tabs>
        <w:numPr>
          <w:ilvl w:val="1"/>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herein, but subject to clauses (d), (e), (g) and (h) of this </w:t>
      </w:r>
      <w:r>
        <w:rPr>
          <w:rFonts w:ascii="Times New Roman" w:cs="Times New Roman" w:eastAsia="Times New Roman" w:hAnsi="Times New Roman"/>
          <w:sz w:val="18"/>
          <w:szCs w:val="18"/>
          <w:u w:val="single" w:color="auto"/>
          <w:color w:val="auto"/>
        </w:rPr>
        <w:t>Section 11.15</w:t>
      </w:r>
      <w:r>
        <w:rPr>
          <w:rFonts w:ascii="Times New Roman" w:cs="Times New Roman" w:eastAsia="Times New Roman" w:hAnsi="Times New Roman"/>
          <w:sz w:val="18"/>
          <w:szCs w:val="18"/>
          <w:color w:val="auto"/>
        </w:rPr>
        <w:t>, all financial ratios and tests based on the Total Net Leverage Ratio, the Secured Net Leverage Ratio, the Consolidated Coverage Ratio and Consolidated Adjusted EBITDA contained in this Indenture that are calculated with respect to any period during which any Subject Transaction occurs shall be calculated with respect to such period and such Subject Transaction on a Pro Forma Basis. Further, if since the beginning of any such period and on or prior to the date of any required calculation of any financial ratio, test or amount (1) any Subject Transaction has occurred or (2) any Person that subsequently became a Restricted Subsidiary or was merged, amalgamated or consolidated with or into the Issuer or any of its Restricted Subsidiaries since the beginning of such period has consummated any Subject Transaction, then, in each case, any applicable financial ratio, test or amount shall be calculated on a Pro Forma Basis for such period as if such Subject Transaction had occurred at the beginning of the applicable period (or, in the case of any determination pertaining to the balance sheet, including the acquisition of Cash and Cash Equivalents, as of the last day of such period).</w:t>
      </w:r>
    </w:p>
    <w:p>
      <w:pPr>
        <w:spacing w:after="0" w:line="188" w:lineRule="exact"/>
        <w:rPr>
          <w:rFonts w:ascii="Times New Roman" w:cs="Times New Roman" w:eastAsia="Times New Roman" w:hAnsi="Times New Roman"/>
          <w:sz w:val="18"/>
          <w:szCs w:val="18"/>
          <w:color w:val="auto"/>
        </w:rPr>
      </w:pPr>
    </w:p>
    <w:p>
      <w:pPr>
        <w:ind w:left="4" w:right="180" w:firstLine="436"/>
        <w:spacing w:after="0" w:line="254" w:lineRule="auto"/>
        <w:tabs>
          <w:tab w:leader="none" w:pos="699" w:val="left"/>
        </w:tabs>
        <w:numPr>
          <w:ilvl w:val="1"/>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w:t>
      </w:r>
      <w:r>
        <w:rPr>
          <w:rFonts w:ascii="Times New Roman" w:cs="Times New Roman" w:eastAsia="Times New Roman" w:hAnsi="Times New Roman"/>
          <w:sz w:val="18"/>
          <w:szCs w:val="18"/>
          <w:u w:val="single" w:color="auto"/>
          <w:color w:val="auto"/>
        </w:rPr>
        <w:t>Section 11.15(a)</w:t>
      </w:r>
      <w:r>
        <w:rPr>
          <w:rFonts w:ascii="Times New Roman" w:cs="Times New Roman" w:eastAsia="Times New Roman" w:hAnsi="Times New Roman"/>
          <w:sz w:val="18"/>
          <w:szCs w:val="18"/>
          <w:color w:val="auto"/>
        </w:rPr>
        <w:t xml:space="preserve"> or in the definition of “Finance Lease”, unless the Issuer elects otherwise, all obligations of any Person that are or would have been treated as operating leases for purposes of GAAP prior to the issuance by the Financial Accounting Standards Board on February 25, 2016 of an Accounting Standards Update (the “ASU”) shall continue to be accounted for as operating leases (and not be treated as financing or capital lease obligations or Indebtedness) for purposes of all financial definitions, calculations and deliverables under this Indenture and any Collateral Document (including the calculation of Consolidated Net Income and Consolidated Adjusted EBITDA) (whether or not such operating lease obligations were in effect on such date) notwithstanding the fact that such obligations are required in accordance with the ASU or any other change in accounting treatment or otherwise (on a prospective or retroactive basis or otherwise) to be treated as or to be recharacterized as financing or capital lease obligations or otherwise accounted for as liabilities in financial statements.</w:t>
      </w:r>
    </w:p>
    <w:p>
      <w:pPr>
        <w:spacing w:after="0" w:line="191"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permissibility of any action, change, transaction or event that requires a calculation of any financial ratio or financial test (including any Secured Net Leverage Ratio test, any Total Net Leverage Ratio test and/or any Consolidated Coverage Ratio test) and/or the amount of Consolidated Adjusted EBITDA, Consolidated Net Income, such financial ratio, financial test or amount shall, subject to the next paragraph below, be calculated at the time such action is taken, such change is made, such transaction is consummated or such event occurs, as the case may be, and no Default or Event of Default shall be deemed to have occurred solely as a result of a change in such financial ratio, financial test or amount occurring after the time such action is taken, such change is made, such transaction is consummated or such event occurs, as the case may be.</w:t>
      </w:r>
    </w:p>
    <w:p>
      <w:pPr>
        <w:spacing w:after="0" w:line="187" w:lineRule="exact"/>
        <w:rPr>
          <w:rFonts w:ascii="Times New Roman" w:cs="Times New Roman" w:eastAsia="Times New Roman" w:hAnsi="Times New Roman"/>
          <w:sz w:val="18"/>
          <w:szCs w:val="18"/>
          <w:color w:val="auto"/>
        </w:rPr>
      </w:pPr>
    </w:p>
    <w:p>
      <w:pPr>
        <w:ind w:left="4" w:right="60" w:firstLine="436"/>
        <w:spacing w:after="0" w:line="266" w:lineRule="auto"/>
        <w:tabs>
          <w:tab w:leader="none" w:pos="669" w:val="left"/>
        </w:tabs>
        <w:numPr>
          <w:ilvl w:val="1"/>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make all calculations under this Indenture and the Notes in good faith. In the absence of manifest error, such calculations shall be final and binding on all Holders. The Issuer shall provide a copy of such calculations to the Trustee as required hereunder or if required by the Trustee.</w:t>
      </w:r>
    </w:p>
    <w:p>
      <w:pPr>
        <w:spacing w:after="0" w:line="175" w:lineRule="exact"/>
        <w:rPr>
          <w:rFonts w:ascii="Times New Roman" w:cs="Times New Roman" w:eastAsia="Times New Roman" w:hAnsi="Times New Roman"/>
          <w:sz w:val="18"/>
          <w:szCs w:val="18"/>
          <w:color w:val="auto"/>
        </w:rPr>
      </w:pPr>
    </w:p>
    <w:p>
      <w:pPr>
        <w:ind w:left="4" w:right="160" w:firstLine="436"/>
        <w:spacing w:after="0" w:line="270" w:lineRule="auto"/>
        <w:tabs>
          <w:tab w:leader="none" w:pos="699" w:val="left"/>
        </w:tabs>
        <w:numPr>
          <w:ilvl w:val="1"/>
          <w:numId w:val="9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(including in connection with any calculation made on a Pro Forma Basis), to the extent that the terms of this Indenture require (1) compliance with any financial ratio or financial test (including, without limitation, any Secured Net Leverage Ratio test, any Total Net Leverage Ratio test and/or any Consolidated Coverage Ratio test) and/or any cap expressed as a percentage of Consolidated Net Income or Consolidated Adjusted EBITDA, (2) the absence of a Default or Event of Default (or any type of default or event of default) or</w:t>
      </w:r>
    </w:p>
    <w:p>
      <w:pPr>
        <w:spacing w:after="0" w:line="2" w:lineRule="exact"/>
        <w:rPr>
          <w:rFonts w:ascii="Times New Roman" w:cs="Times New Roman" w:eastAsia="Times New Roman" w:hAnsi="Times New Roman"/>
          <w:sz w:val="17"/>
          <w:szCs w:val="17"/>
          <w:color w:val="auto"/>
        </w:rPr>
      </w:pPr>
    </w:p>
    <w:p>
      <w:pPr>
        <w:ind w:left="4" w:right="720" w:hanging="4"/>
        <w:spacing w:after="0" w:line="260" w:lineRule="auto"/>
        <w:tabs>
          <w:tab w:leader="none" w:pos="259" w:val="left"/>
        </w:tabs>
        <w:numPr>
          <w:ilvl w:val="0"/>
          <w:numId w:val="9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any basket or other condition, as a condition to (a) the consummation of any transaction (including in connection with any acquisition, consolidation,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4"/>
          </w:cols>
          <w:pgMar w:left="436" w:top="270" w:right="459" w:bottom="1440" w:gutter="0" w:footer="0" w:header="0"/>
        </w:sectPr>
      </w:pPr>
    </w:p>
    <w:bookmarkStart w:id="737" w:name="page738"/>
    <w:bookmarkEnd w:id="737"/>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business combination or similar Investment or the assumption or incurrence of Indebtedness), and/or (b) the making of any Restricted Payment, the determination of whether the relevant condition is satisfied may be made, at the election of the Issuer, (i) in the case of any acquisition, consolidation, business combination or similar Investment, any disposition, any incurrence of Indebtedness or any transaction relating thereto, at the time of (or on the basis of the financial statements for the most recently ended four quarter period available at the time of) either (x) the execution of a letter of intent or the definitive agreement with respect to such acquisition, consolidation, business combination, similar Investment or disposition (or, solely in connection with an acquisition, consolidation or business combination to which the United Kingdom City Code on Takeovers and Mergers applies, the date on which a “Rule 2.7 Announcement” of a firm intention to make an offer is made) or the establishment of a commitment with respect to such Indebtedness or (y) the consummation of such acquisition, consolidation, business combination, Investment or disposition or the incurrence of such Indebtedness,</w:t>
      </w:r>
    </w:p>
    <w:p>
      <w:pPr>
        <w:ind w:left="4" w:right="40" w:hanging="4"/>
        <w:spacing w:after="0" w:line="251" w:lineRule="auto"/>
        <w:tabs>
          <w:tab w:leader="none" w:pos="269"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Restricted Payment, at the time of (or on the basis of the financial statements for the most recently ended four quarter period available at the time of) (x) the declaration of, or delivery of notice with respect to, as applicable, such Restricted Payment or (y) the making of such Restricted Payment, in each case, after giving effect on a Pro Forma Basis to the relevant acquisition, consolidation, business combination or similar Investment, incurrence of Indebtedness and/or Restricted Payment or other transaction (including the intended use of proceeds of any Indebtedness to be incurred in connection therewith) and, at the election of the Issuer, any other acquisition, consolidation, business combination or similar Investment, Restricted Payment, incurrence of Indebtedness or other transaction that has not been consummated but with respect to which the Issuer has elected to test any applicable condition prior to the date of consummation in accordance with this </w:t>
      </w:r>
      <w:r>
        <w:rPr>
          <w:rFonts w:ascii="Times New Roman" w:cs="Times New Roman" w:eastAsia="Times New Roman" w:hAnsi="Times New Roman"/>
          <w:sz w:val="18"/>
          <w:szCs w:val="18"/>
          <w:u w:val="single" w:color="auto"/>
          <w:color w:val="auto"/>
        </w:rPr>
        <w:t>Section 11.15(g)</w:t>
      </w:r>
      <w:r>
        <w:rPr>
          <w:rFonts w:ascii="Times New Roman" w:cs="Times New Roman" w:eastAsia="Times New Roman" w:hAnsi="Times New Roman"/>
          <w:sz w:val="18"/>
          <w:szCs w:val="18"/>
          <w:color w:val="auto"/>
        </w:rPr>
        <w:t xml:space="preserve">, and no Default or Event of Default shall be deemed to have occurred solely as a result of an adverse change in such ratio, test or condition occurring after the time such election is made (but any subsequent improvement in the applicable ratio, test or amount may be utilized by the Issuer or any Restricted Subsidiary). For the avoidance of doubt, if the Issuer shall have elected any option set forth in this </w:t>
      </w:r>
      <w:r>
        <w:rPr>
          <w:rFonts w:ascii="Times New Roman" w:cs="Times New Roman" w:eastAsia="Times New Roman" w:hAnsi="Times New Roman"/>
          <w:sz w:val="18"/>
          <w:szCs w:val="18"/>
          <w:u w:val="single" w:color="auto"/>
          <w:color w:val="auto"/>
        </w:rPr>
        <w:t>Section 11.15(g)</w:t>
      </w:r>
      <w:r>
        <w:rPr>
          <w:rFonts w:ascii="Times New Roman" w:cs="Times New Roman" w:eastAsia="Times New Roman" w:hAnsi="Times New Roman"/>
          <w:sz w:val="18"/>
          <w:szCs w:val="18"/>
          <w:color w:val="auto"/>
        </w:rPr>
        <w:t xml:space="preserve"> in respect of any transaction, then the Issuer or its applicable Restricted Subsidiary shall be permitted to consummate such transaction even if any applicable test or condition shall cease to be satisfied subsequent to the Issuer’s election of such option. In addition and without limiting the foregoing, for purposes of calculating any ratio under </w:t>
      </w:r>
      <w:r>
        <w:rPr>
          <w:rFonts w:ascii="Times New Roman" w:cs="Times New Roman" w:eastAsia="Times New Roman" w:hAnsi="Times New Roman"/>
          <w:sz w:val="18"/>
          <w:szCs w:val="18"/>
          <w:u w:val="single" w:color="auto"/>
          <w:color w:val="auto"/>
        </w:rPr>
        <w:t>Section 4.09(b)(xxxiv)</w:t>
      </w:r>
      <w:r>
        <w:rPr>
          <w:rFonts w:ascii="Times New Roman" w:cs="Times New Roman" w:eastAsia="Times New Roman" w:hAnsi="Times New Roman"/>
          <w:sz w:val="18"/>
          <w:szCs w:val="18"/>
          <w:color w:val="auto"/>
        </w:rPr>
        <w:t xml:space="preserve"> hereof, such ratio shall be calculated on a Pro Forma Basis for the most recently ended four quarter period available at such time (a) assuming that the full amount of any revolving facility being established at such time is fully drawn, (b) treating, at the option of the Issuer, any Indebtedness constituting delayed draw term loan commitments then being incurred as (i) fully drawn, (ii) disregarded for purpose of testing such financial ratio so long as, upon funding, such Indebtedness would satisfy the applicable financial ratio test or (iii) a combination of being partially drawn and otherwise subject to the foregoing clause (ii) and (c) deducting in calculating the numerator of such ratio the cash proceeds thereof to the extent such proceeds are not promptly applied, but without giving effect to any simultaneous incurrence of any Indebtedness incurred under </w:t>
      </w:r>
      <w:r>
        <w:rPr>
          <w:rFonts w:ascii="Times New Roman" w:cs="Times New Roman" w:eastAsia="Times New Roman" w:hAnsi="Times New Roman"/>
          <w:sz w:val="18"/>
          <w:szCs w:val="18"/>
          <w:u w:val="single" w:color="auto"/>
          <w:color w:val="auto"/>
        </w:rPr>
        <w:t>Section 4.09(b)(i)</w:t>
      </w:r>
      <w:r>
        <w:rPr>
          <w:rFonts w:ascii="Times New Roman" w:cs="Times New Roman" w:eastAsia="Times New Roman" w:hAnsi="Times New Roman"/>
          <w:sz w:val="18"/>
          <w:szCs w:val="18"/>
          <w:color w:val="auto"/>
        </w:rPr>
        <w:t>(b) hereof.</w:t>
      </w:r>
    </w:p>
    <w:p>
      <w:pPr>
        <w:spacing w:after="0" w:line="189"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699" w:val="left"/>
        </w:tabs>
        <w:numPr>
          <w:ilvl w:val="1"/>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unless the Issuer otherwise elects in its sole discretion, with respect to any amounts incurred or transactions entered into (or consummated) in reliance on a provision of this Indenture that does not require compliance with a financial ratio or financial test (including any Secured Net Leverage Ratio test, any Total Net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24"/>
          </w:cols>
          <w:pgMar w:left="436" w:top="270" w:right="439" w:bottom="1440" w:gutter="0" w:footer="0" w:header="0"/>
        </w:sectPr>
      </w:pPr>
    </w:p>
    <w:bookmarkStart w:id="738" w:name="page739"/>
    <w:bookmarkEnd w:id="73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Leverage Ratio test and/or any Consolidated Coverage Ratio test) (any such amounts, and any cap expressed as a percentage of Consolidated Net Income or Consolidated Adjusted EBITDA, the “</w:t>
      </w:r>
      <w:r>
        <w:rPr>
          <w:rFonts w:ascii="Times New Roman" w:cs="Times New Roman" w:eastAsia="Times New Roman" w:hAnsi="Times New Roman"/>
          <w:sz w:val="18"/>
          <w:szCs w:val="18"/>
          <w:b w:val="1"/>
          <w:bCs w:val="1"/>
          <w:color w:val="auto"/>
        </w:rPr>
        <w:t>Fixed Amounts</w:t>
      </w:r>
      <w:r>
        <w:rPr>
          <w:rFonts w:ascii="Times New Roman" w:cs="Times New Roman" w:eastAsia="Times New Roman" w:hAnsi="Times New Roman"/>
          <w:sz w:val="18"/>
          <w:szCs w:val="18"/>
          <w:color w:val="auto"/>
        </w:rPr>
        <w:t>”) substantially concurrently with any amounts incurred or transactions entered into (or consummated) in reliance on a provision of this Indenture that requires compliance with a financial ratio or financial test (including any Secured Net Leverage Ratio test, any Total Net Leverage Ratio test and/or any Consolidated Coverage Ratio test) (any such amounts, the “</w:t>
      </w:r>
      <w:r>
        <w:rPr>
          <w:rFonts w:ascii="Times New Roman" w:cs="Times New Roman" w:eastAsia="Times New Roman" w:hAnsi="Times New Roman"/>
          <w:sz w:val="18"/>
          <w:szCs w:val="18"/>
          <w:b w:val="1"/>
          <w:bCs w:val="1"/>
          <w:color w:val="auto"/>
        </w:rPr>
        <w:t>Incurrence-Based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Amounts</w:t>
      </w:r>
      <w:r>
        <w:rPr>
          <w:rFonts w:ascii="Times New Roman" w:cs="Times New Roman" w:eastAsia="Times New Roman" w:hAnsi="Times New Roman"/>
          <w:sz w:val="18"/>
          <w:szCs w:val="18"/>
          <w:color w:val="auto"/>
        </w:rPr>
        <w:t>”), it is understood and agreed that (1) the incurrence or other utilization of the Incurrence-Based Amount shall be calculated first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giving effect to any Fixed Amount but giving full pro forma effect to the use of proceeds of such Fixed Amount and the related transactions and (2) the incurrence or other utilization of the Fixed Amount shall be calculated thereafter. Unless the Issuer elects otherwise, the Issuer or the applicable Restricted Subsidiary shall be deemed to have used amounts under an Incurrence-Based Amount then available to the Issuer or the applicable Restricted Subsidiary prior to utilization of any amount under a Fixed Amount then available to the Issuer.</w:t>
      </w:r>
    </w:p>
    <w:p>
      <w:pPr>
        <w:spacing w:after="0" w:line="188" w:lineRule="exact"/>
        <w:rPr>
          <w:sz w:val="20"/>
          <w:szCs w:val="20"/>
          <w:color w:val="auto"/>
        </w:rPr>
      </w:pPr>
    </w:p>
    <w:p>
      <w:pPr>
        <w:ind w:right="380" w:firstLine="436"/>
        <w:spacing w:after="0" w:line="282" w:lineRule="auto"/>
        <w:tabs>
          <w:tab w:leader="none" w:pos="655"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Indebtedness or other discount security constituting Indebtedness at any date shall be the principal amount thereof that would be shown on a balance sheet of the Issuer dated such date prepared in accordance with GAAP.</w:t>
      </w:r>
    </w:p>
    <w:p>
      <w:pPr>
        <w:spacing w:after="0" w:line="161" w:lineRule="exact"/>
        <w:rPr>
          <w:rFonts w:ascii="Times New Roman" w:cs="Times New Roman" w:eastAsia="Times New Roman" w:hAnsi="Times New Roman"/>
          <w:sz w:val="18"/>
          <w:szCs w:val="18"/>
          <w:color w:val="auto"/>
        </w:rPr>
      </w:pPr>
    </w:p>
    <w:p>
      <w:pPr>
        <w:ind w:right="40" w:firstLine="436"/>
        <w:spacing w:after="0" w:line="258" w:lineRule="auto"/>
        <w:tabs>
          <w:tab w:leader="none" w:pos="655"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increase in any amount of Indebtedness or any increase in any amount secured by any Lien by virtue of the accrual of interest, the accretion of accreted value, the payment of interest or a dividend in the form of additional Indebtedness, amortization of original issue discount and/or any increase in the amount of Indebtedness outstanding solely as a result of any fluctuation in the exchange rate of any applicable currency shall be deemed to be permitted Indebtedness for purposes of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without utilizing any basket thereunder and will be deemed not to be the granting of a Lien for purposes of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if any Indebtedness or Lien is incurred in reliance on a basket measured by reference to a percentage of Consolidated Adjusted EBITDA (including a ratio based on Consolidated Adjusted EBITDA), and any refinancing or replacement thereof would cause the percentage of Consolidated Adjusted EBITDA to be exceeded if calculated based on the Consolidated Adjusted EBITDA on the date of such refinancing or replacement, such percentage of Consolidated Adjusted EBITDA will be deemed not to be exceeded so long as the principal amount of such refinancing or replacement Indebtedness or other obligation does not exceed an amount sufficient to repay the principal amount of such Indebtedness or other obligation being refinanced or replaced, except by an amount equal to (1) unpaid accrued dividends, interest, penalties and premiums (including tender, prepayment or repayment premiums) thereon plus underwriting discounts and other customary fees, commissions and expenses (including upfront fees, original issue discount or initial yield payment) incurred in connection with such refinancing or replacement and (2) additional amounts permitted to be incurred under </w:t>
      </w:r>
      <w:r>
        <w:rPr>
          <w:rFonts w:ascii="Times New Roman" w:cs="Times New Roman" w:eastAsia="Times New Roman" w:hAnsi="Times New Roman"/>
          <w:sz w:val="18"/>
          <w:szCs w:val="18"/>
          <w:u w:val="single" w:color="auto"/>
          <w:color w:val="auto"/>
        </w:rPr>
        <w:t>Section 4.09</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right="80" w:firstLine="436"/>
        <w:spacing w:after="0" w:line="266" w:lineRule="auto"/>
        <w:tabs>
          <w:tab w:leader="none" w:pos="655"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financial ratios required to satisfied in order for a specific action to be permitted under this Indenture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739" w:name="page740"/>
    <w:bookmarkEnd w:id="739"/>
    <w:p>
      <w:pPr>
        <w:ind w:right="20" w:firstLine="436"/>
        <w:spacing w:after="0" w:line="261" w:lineRule="auto"/>
        <w:tabs>
          <w:tab w:leader="none" w:pos="745" w:val="left"/>
        </w:tabs>
        <w:numPr>
          <w:ilvl w:val="0"/>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any determination to be made with respect to the Issuer and any of its Subsidiaries on a consolidated basis, with respect to any account period prior to the first delivery of financial statements pursuant to Section 4.03, such determination may be made with respect to the Issuer and its Subsidiaries on a combined basis based on the combined financial statements of the Versant businesses of Comcast filed with the Form 10 for such accounting period.</w:t>
      </w:r>
    </w:p>
    <w:p>
      <w:pPr>
        <w:spacing w:after="0" w:line="17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i w:val="1"/>
          <w:iCs w:val="1"/>
          <w:color w:val="auto"/>
        </w:rPr>
        <w:t>Foreign Currency Equivalent</w:t>
      </w:r>
      <w:r>
        <w:rPr>
          <w:rFonts w:ascii="Times New Roman" w:cs="Times New Roman" w:eastAsia="Times New Roman" w:hAnsi="Times New Roman"/>
          <w:sz w:val="18"/>
          <w:szCs w:val="18"/>
          <w:color w:val="auto"/>
        </w:rPr>
        <w:t xml:space="preserve">. For purposes of determining compliance with any U.S. dollar denominated restriction or amount, the U.S. dollar equivalent principal amount of any amount denominated in a foreign currency will be the Dollar Equivalent calculated on the date the Indebtedness was incurred or other transaction was entered into;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any Refinancing Indebtedness denominated in a currency other than U.S. dollars is incurred to refinance Indebtedness denominated in the same currency, and such refinancing would cause the applicable U.S. dollar denominated restriction to be exceeded if calculated on the date of such refinancing, such Refinancing Indebtedness shall be deemed not to exceed the principal amount of such Indebtedness being refinanced. Notwithstanding any other provision in this Indenture, no restriction or amount will be exceeded solely as a result of fluctuations in the exchange rate of currencies. In no event will the Trustee or the Paying Agent be responsible for obtaining exchange rates or otherwise effecting or verifying currency conversions or calculations.</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Section 11.19 Tax Matters. Each of the parties hereto agree to cooperate and to provide the other with such information as each may have in its possession to enable the determination of whether any payments pursuant to this Indenture are subject to the withholding requirements described in Section 1471(b) of the Code or otherwise imposed pursuant to Sections 1471 through 1474 of the Code and any regulations, or agreements thereunder or official interpretations thereof or any intergovernmental agreement, treaty or convention implementing such law or any such law or regulation (“Applicable Law”). The Trustee or the Paying Agent shall be entitled to make any withholding or deduction from payments under this Indenture to the extent necessary to comply with Applicable Law, in which event the Trustee or the Paying Agent shall make such payment after such deduction or withholding has been made and shall account to the relevant Authority within the time allowed for the amount so deducted or withheld or, at its option, shall reasonably promptly after making such payment return to the Issuer the amount so deducted or withheld, in which case, the Issuer shall so account to the relevant Authority for such amount. The terms of this Section shall survive the termination of this Indenture. For the avoidance of doubt, FATCA Withholding is a deduction or withholding which is deemed to be required by Applicable Law for the purposes of this Section 11.19.</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740" w:name="page741"/>
    <w:bookmarkEnd w:id="740"/>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11.20. Issuer’s Right to Redirect. In the event that the Issuer determine in its sole discretion that any deduction or withholding for or on account of any Tax will be required by Applicable Law in connection with any payment due to any of the Agent on any Notes, then the Issuer will be entitled to redirect or reorganise any such payment in any way that it sees fit in order that the payment may be made without such deduction or withholding provided that, any such redirected or reorganised payment is made through a recognised institution of international standing and otherwise made in accordance with this Indenture. The Issuer will promptly notify the Agents and the Trustee of any such redirection or reorganisation. For the avoidance of doubt, FATCA Withholding is a deduction or withholding which is deemed to be required by Applicable Law for the purposes of this Section 11.20.</w:t>
      </w: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12</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COLLATERAL</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i w:val="1"/>
          <w:iCs w:val="1"/>
          <w:color w:val="auto"/>
        </w:rPr>
        <w:t>Collateral Documents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52" w:lineRule="auto"/>
        <w:tabs>
          <w:tab w:leader="none" w:pos="685" w:val="left"/>
        </w:tabs>
        <w:numPr>
          <w:ilvl w:val="0"/>
          <w:numId w:val="9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Obligations of the Issuer and the Guarantors to the Holders or the Trustee or the Notes Collateral Agent under this Indenture, the Notes, the Note Guarantees and the Collateral Documents, according to the terms hereunder or thereunder, shall be secured as provided in the Collateral Documents, which define the terms of the Liens that secure the Obligations, subject to the terms of the Pari Passu Intercreditor Agreement. The Trustee and the Issuer hereby acknowledge and agree that the Notes Collateral Agent holds the Collateral in trust for the benefit of the Holders and the Trustee or the Notes Collateral Agent and pursuant to the terms of this Indenture, the Collateral Documents and the Pari Passu Intercreditor Agreement. Each Holder, by accepting a Note, and each beneficial owner of an interest in a Note, consents and agrees to the terms of the Collateral Documents (including the provisions providing for the possession, use, release and foreclosure of Collateral) and the Pari Passu Intercreditor Agreement as the same may be in effect or may be amended from time to time in accordance with their terms and this Indenture and the Pari Passu Intercreditor Agreement, and authorizes and directs the Notes Collateral Agent to enter into the Collateral Documents and the Pari Passu Intercreditor Agreement and to perform its obligations and exercise its rights thereunder in accordance therewith. Subject to the Applicable Collateral Limitations, the Issuer shall deliver to the Notes Collateral Agent copies of all documents required to be filed pursuant to the Collateral Documents to which the Notes Collateral Agent is a party, and will do or cause to be done all such acts and things as may be reasonably required by the next sentence of this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to provide to the Notes Collateral Agent the security interest in the Collateral contemplated hereby and/or by the Collateral Documents or any part thereof, as from time to time constituted, so as to render the same available for the security and benefit of this Indenture and of the Notes secured hereby, according to the intent and purposes herein expressed. Subject to the Applicable Collateral Limitations, the Issuer shall, and shall cause the Subsidiaries of the Issuer to, take any and all actions and make all filings (including the filing of UCC financing statements, continuation statements and amendments thereto) required to cause the Collateral Documents to create and maintain, as security for the First Priority Notes Obligations of the Issuer and the Guarantors to the First Lien Notes Secured Parties, a valid and enforceable perfected Lien and security interest in and on all of the Collateral (subject to the terms of the Pari Passu Intercreditor Agreement and the Collateral Documents), in favor of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0"/>
          </w:cols>
          <w:pgMar w:left="440" w:top="270" w:right="479" w:bottom="1440" w:gutter="0" w:footer="0" w:header="0"/>
        </w:sectPr>
      </w:pPr>
    </w:p>
    <w:bookmarkStart w:id="741" w:name="page742"/>
    <w:bookmarkEnd w:id="741"/>
    <w:p>
      <w:pPr>
        <w:ind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Notes Collateral Agent for the benefit of the Holders and the Trustee subject to no Liens other than Permitted Liens. The terms of the Pari Passu Intercreditor Agreement are hereby ratified and approved by the Trustee on its own behalf and on behalf of the First Lien Notes Secured Parties in all respects and the Trustee on its own behalf and on behalf of the First Lien Notes Secured Parties directs the Notes Collateral Agent and the Trustee to bind themselves to the terms thereof on behalf of the Trustee and the First Lien Notes Secured Parties.</w:t>
      </w:r>
    </w:p>
    <w:p>
      <w:pPr>
        <w:spacing w:after="0" w:line="180" w:lineRule="exact"/>
        <w:rPr>
          <w:sz w:val="20"/>
          <w:szCs w:val="20"/>
          <w:color w:val="auto"/>
        </w:rPr>
      </w:pPr>
    </w:p>
    <w:p>
      <w:pPr>
        <w:ind w:right="100" w:firstLine="436"/>
        <w:spacing w:after="0" w:line="255" w:lineRule="auto"/>
        <w:tabs>
          <w:tab w:leader="none" w:pos="695"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assets owned by the Issuer or any Guarantor on the Escrow Release Date (other than Excluded Assets) are not subject to a valid Lien in favor of the Notes Collateral Agent on the Escrow Release Date or are subject to a Lien in favor of the Notes Collateral Agent that is not perfected on the Escrow Release Date (other than a Lien on Collateral of the Issuer or any Guarantor that may be perfected solely by the filing of a financing statement under the UCC), the Issuer and the Guarantors shall use their commercially reasonable efforts to enter into Collateral Documents to create such Liens and have all such Liens perfected (including by appropriate filings with the United States Patent and Trademark Office and United States Copyright Office), subject to any limitations set forth in this Indenture and the Collateral Documents, including the Applicable Collateral Limitations, within 90 days (or, in the case of real property and related fixtures, 120 days) after the Escrow Release Date.</w:t>
      </w:r>
    </w:p>
    <w:p>
      <w:pPr>
        <w:spacing w:after="0" w:line="188" w:lineRule="exact"/>
        <w:rPr>
          <w:rFonts w:ascii="Times New Roman" w:cs="Times New Roman" w:eastAsia="Times New Roman" w:hAnsi="Times New Roman"/>
          <w:sz w:val="18"/>
          <w:szCs w:val="18"/>
          <w:color w:val="auto"/>
        </w:rPr>
      </w:pPr>
    </w:p>
    <w:p>
      <w:pPr>
        <w:ind w:right="480" w:firstLine="436"/>
        <w:spacing w:after="0" w:line="266" w:lineRule="auto"/>
        <w:tabs>
          <w:tab w:leader="none" w:pos="685"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hereof to the contrary, the provisions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are qualified in their entirety by the Applicable Collateral Limitations and neither the Issuer nor any Guarantor shall be required pursuant to this Indenture or any Collateral Document to take any action limited by the Applicable Collateral Limitations.</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i w:val="1"/>
          <w:iCs w:val="1"/>
          <w:color w:val="auto"/>
        </w:rPr>
        <w:t>Release of Collateral</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40" w:firstLine="436"/>
        <w:spacing w:after="0" w:line="256" w:lineRule="auto"/>
        <w:tabs>
          <w:tab w:leader="none" w:pos="685" w:val="left"/>
        </w:tabs>
        <w:numPr>
          <w:ilvl w:val="0"/>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Liens securing the Notes will be automatically released, all without delivery of any instrument or performance of any act by any party, at any time and from time to time as provided by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Upon such release, subject to the terms of the Collateral Documents, all rights in the released Collateral securing First Priority Notes Obligations shall revert to the Issuer and the Guarantors, as applicable. The Collateral shall be released from the Lien and security interest created by the Collateral Documents and the Trustee (subject to its receipt of an Officers’ Certificate and Opinion of Counsel as provided below) shall execute documents evidencing such release, and instruct the Notes Collateral Agent in writing to execute, as applicable, the same at the Issuer’s sole cost and expense, under one or more of the following circumstances:</w:t>
      </w:r>
    </w:p>
    <w:p>
      <w:pPr>
        <w:spacing w:after="0" w:line="7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w:t>
      </w:r>
    </w:p>
    <w:p>
      <w:pPr>
        <w:spacing w:after="0" w:line="117" w:lineRule="exact"/>
        <w:rPr>
          <w:rFonts w:ascii="Times New Roman" w:cs="Times New Roman" w:eastAsia="Times New Roman" w:hAnsi="Times New Roman"/>
          <w:sz w:val="18"/>
          <w:szCs w:val="18"/>
          <w:color w:val="auto"/>
        </w:rPr>
      </w:pPr>
    </w:p>
    <w:p>
      <w:pPr>
        <w:jc w:val="both"/>
        <w:ind w:left="1420" w:firstLine="391"/>
        <w:spacing w:after="0" w:line="261" w:lineRule="auto"/>
        <w:tabs>
          <w:tab w:leader="none" w:pos="2098" w:val="left"/>
        </w:tabs>
        <w:numPr>
          <w:ilvl w:val="2"/>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in full of the principal of, together with accrued and unpaid interest (including additional amounts, if any) on, the Notes and all other Obligations under this Indenture, the Note Guarantees and the Collateral Documents (for the avoidance of doubt, other than contingent Obligations in respect of which no claims have been made) that are due and payable at or prior to the time such principal, together with accrued and unpaid interest, are paid;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20"/>
          </w:cols>
          <w:pgMar w:left="440" w:top="270" w:right="439" w:bottom="1440" w:gutter="0" w:footer="0" w:header="0"/>
        </w:sectPr>
      </w:pPr>
    </w:p>
    <w:bookmarkStart w:id="742" w:name="page743"/>
    <w:bookmarkEnd w:id="742"/>
    <w:p>
      <w:pPr>
        <w:ind w:left="2100" w:hanging="289"/>
        <w:spacing w:after="0"/>
        <w:tabs>
          <w:tab w:leader="none" w:pos="2100" w:val="left"/>
        </w:tabs>
        <w:numPr>
          <w:ilvl w:val="1"/>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satisfaction and discharge of this Indenture with respect to the Notes as set forth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1420" w:right="80" w:firstLine="391"/>
        <w:spacing w:after="0" w:line="282" w:lineRule="auto"/>
        <w:tabs>
          <w:tab w:leader="none" w:pos="2088" w:val="left"/>
        </w:tabs>
        <w:numPr>
          <w:ilvl w:val="1"/>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Legal Defeasance or Covenant Defeasance of this Indenture with respect to the Notes as set forth under Sections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applicable;</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28" w:val="left"/>
        </w:tabs>
        <w:numPr>
          <w:ilvl w:val="0"/>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whole or in part, with the consent of Holders of the Notes in accordance with </w:t>
      </w:r>
      <w:r>
        <w:rPr>
          <w:rFonts w:ascii="Times New Roman" w:cs="Times New Roman" w:eastAsia="Times New Roman" w:hAnsi="Times New Roman"/>
          <w:sz w:val="18"/>
          <w:szCs w:val="18"/>
          <w:u w:val="single" w:color="auto"/>
          <w:color w:val="auto"/>
        </w:rPr>
        <w:t>Article 9</w:t>
      </w:r>
      <w:r>
        <w:rPr>
          <w:rFonts w:ascii="Times New Roman" w:cs="Times New Roman" w:eastAsia="Times New Roman" w:hAnsi="Times New Roman"/>
          <w:sz w:val="18"/>
          <w:szCs w:val="18"/>
          <w:color w:val="auto"/>
        </w:rPr>
        <w:t xml:space="preserve"> of this Indenture, including consents obtained in connection with a tender offer or exchange offer for, or purchase of, Notes;</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upon the occurrence of a Suspension Event; and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part, as to any asset:</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61" w:lineRule="auto"/>
        <w:tabs>
          <w:tab w:leader="none" w:pos="2098" w:val="left"/>
        </w:tabs>
        <w:numPr>
          <w:ilvl w:val="1"/>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constituting Collateral that is sold, transferred or otherwise disposed of by the Issuer or any of the Guarantors to any Person that is not the Issuer or a Guarantor (or, if to the Issuer or a Guarantor, if such transferee Issuer or Guarantor grants perfected liens on such property to the Notes Collateral Agent in compliance with this Indenture) in a transaction not prohibited by this Indenture (to the extent of the interest sold or disposed of), or</w:t>
      </w:r>
    </w:p>
    <w:p>
      <w:pPr>
        <w:spacing w:after="0" w:line="71" w:lineRule="exact"/>
        <w:rPr>
          <w:rFonts w:ascii="Times New Roman" w:cs="Times New Roman" w:eastAsia="Times New Roman" w:hAnsi="Times New Roman"/>
          <w:sz w:val="18"/>
          <w:szCs w:val="18"/>
          <w:color w:val="auto"/>
        </w:rPr>
      </w:pPr>
    </w:p>
    <w:p>
      <w:pPr>
        <w:ind w:left="1420" w:right="40" w:firstLine="871"/>
        <w:spacing w:after="0" w:line="266" w:lineRule="auto"/>
        <w:tabs>
          <w:tab w:leader="none" w:pos="2567" w:val="left"/>
        </w:tabs>
        <w:numPr>
          <w:ilvl w:val="2"/>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constituting Shared Collateral, in connection with the taking of an enforcement action by the Applicable Authorized Representative and Applicable Collateral Agent (as defined in the Pari Passu Intercreditor Agreement) in respect of any First Lien Obligations in accordance with the Pari Passu Intercreditor Agreement;</w:t>
      </w:r>
    </w:p>
    <w:p>
      <w:pPr>
        <w:spacing w:after="0" w:line="67" w:lineRule="exact"/>
        <w:rPr>
          <w:rFonts w:ascii="Times New Roman" w:cs="Times New Roman" w:eastAsia="Times New Roman" w:hAnsi="Times New Roman"/>
          <w:sz w:val="18"/>
          <w:szCs w:val="18"/>
          <w:color w:val="auto"/>
        </w:rPr>
      </w:pPr>
    </w:p>
    <w:p>
      <w:pPr>
        <w:ind w:left="2100" w:hanging="289"/>
        <w:spacing w:after="0"/>
        <w:tabs>
          <w:tab w:leader="none" w:pos="2100" w:val="left"/>
        </w:tabs>
        <w:numPr>
          <w:ilvl w:val="1"/>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held by a Guarantor that ceases to be a Guarantor,</w:t>
      </w:r>
    </w:p>
    <w:p>
      <w:pPr>
        <w:spacing w:after="0" w:line="117" w:lineRule="exact"/>
        <w:rPr>
          <w:rFonts w:ascii="Times New Roman" w:cs="Times New Roman" w:eastAsia="Times New Roman" w:hAnsi="Times New Roman"/>
          <w:sz w:val="18"/>
          <w:szCs w:val="18"/>
          <w:color w:val="auto"/>
        </w:rPr>
      </w:pPr>
    </w:p>
    <w:p>
      <w:pPr>
        <w:ind w:left="1420" w:firstLine="391"/>
        <w:spacing w:after="0" w:line="266" w:lineRule="auto"/>
        <w:tabs>
          <w:tab w:leader="none" w:pos="2088" w:val="left"/>
        </w:tabs>
        <w:numPr>
          <w:ilvl w:val="1"/>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becomes an Excluded Asset, including so long as any Credit Agreement is outstanding, any asset that is not pledged to secure obligations arising in respect of all such Credit Agreement (whether pursuant to the terms of such Credit Agreements (and any related documents) or as a result of any determination made thereunder, or by amendment, waiver or otherwise), or</w:t>
      </w:r>
    </w:p>
    <w:p>
      <w:pPr>
        <w:spacing w:after="0" w:line="67" w:lineRule="exact"/>
        <w:rPr>
          <w:rFonts w:ascii="Times New Roman" w:cs="Times New Roman" w:eastAsia="Times New Roman" w:hAnsi="Times New Roman"/>
          <w:sz w:val="18"/>
          <w:szCs w:val="18"/>
          <w:color w:val="auto"/>
        </w:rPr>
      </w:pPr>
    </w:p>
    <w:p>
      <w:pPr>
        <w:ind w:left="1420" w:right="120" w:firstLine="391"/>
        <w:spacing w:after="0" w:line="282" w:lineRule="auto"/>
        <w:tabs>
          <w:tab w:leader="none" w:pos="2098" w:val="left"/>
        </w:tabs>
        <w:numPr>
          <w:ilvl w:val="1"/>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otherwise released in accordance with, and as expressly provided for by the terms of, this Indenture, the Pari Passu Intercreditor Agreement, any other Acceptable Intercreditor Agreement and the Collateral Documents,</w:t>
      </w:r>
    </w:p>
    <w:p>
      <w:pPr>
        <w:spacing w:after="0" w:line="16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clause (iv)(A)(II), the proceeds of such Shared Collateral shall be applied in accordance with the Pari Passu Intercreditor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w:t>
      </w:r>
    </w:p>
    <w:p>
      <w:pPr>
        <w:spacing w:after="0" w:line="9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0960"/>
          </w:cols>
          <w:pgMar w:left="440" w:top="270" w:right="499" w:bottom="1440" w:gutter="0" w:footer="0" w:header="0"/>
        </w:sectPr>
      </w:pPr>
    </w:p>
    <w:bookmarkStart w:id="743" w:name="page744"/>
    <w:bookmarkEnd w:id="743"/>
    <w:p>
      <w:pPr>
        <w:ind w:firstLine="436"/>
        <w:spacing w:after="0" w:line="253" w:lineRule="auto"/>
        <w:tabs>
          <w:tab w:leader="none" w:pos="695" w:val="left"/>
        </w:tabs>
        <w:numPr>
          <w:ilvl w:val="0"/>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release of Collateral or release of the Notes from the Liens securing the Notes, upon receipt of an Officers’ Certificate and an Opinion of Counsel stating that all conditions precedent under this Indenture and the Collateral Documents and the Pari Passu Intercreditor Agreement, as applicable, to such release have been met and that it is permitted for the Trustee and/or the Notes Collateral Agent to execute and deliver the documents requested by the Issuer in connection with such release, and any necessary or proper instruments of termination, satisfaction, discharge or release prepared by the Issuer, the Trustee shall, or shall cause the Notes Collateral Agent to, execute, deliver or acknowledge (at the Issuer’s expense) such instruments or releases (whether electronically or in writing) to evidence, and shall do or cause to be done all other acts reasonably necessary to effect, in each case as soon as reasonably practicable, the release, without recourse, representation or warranty of any kind, and discharge of any Collateral or any Notes permitted to be released pursuant to this Indenture or the Collateral Documents or the Pari Passu Intercreditor Agreement. Neither the Trustee nor the Notes Collateral Agent shall be liable for any such release undertaken in reliance upon any such Officers’ Certificate or Opinion of Counsel, and notwithstanding any term hereof or in any Collateral Document or in the Pari Passu Intercreditor Agreement to the contrary, but without limiting any automatic release provided hereunder or under any Collateral Document, the Trustee and the Notes Collateral Agent shall not be under any obligation to release any such Lien and security interest, or execute and deliver any such instrument of release, satisfaction, discharge or termination, unless and until it receives such Officers’ Certificate and Opinion of Counsel.</w:t>
      </w:r>
    </w:p>
    <w:p>
      <w:pPr>
        <w:spacing w:after="0" w:line="185"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i w:val="1"/>
          <w:iCs w:val="1"/>
          <w:color w:val="auto"/>
        </w:rPr>
        <w:t>Suits to Protect the Collateral</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7</w:t>
      </w:r>
      <w:r>
        <w:rPr>
          <w:rFonts w:ascii="Times New Roman" w:cs="Times New Roman" w:eastAsia="Times New Roman" w:hAnsi="Times New Roman"/>
          <w:sz w:val="18"/>
          <w:szCs w:val="18"/>
          <w:color w:val="auto"/>
        </w:rPr>
        <w:t xml:space="preserve"> hereof and the Collateral Documents and the Pari Passu Intercreditor Agreement, the Trustee, without the consent of the Holders, on behalf of the Holders, following the occurrence of an Event of Default that is continuing, may or may instruct the Notes Collateral Agent in writing to take all actions it reasonably determines are necessary in order to:</w:t>
      </w:r>
    </w:p>
    <w:p>
      <w:pPr>
        <w:spacing w:after="0" w:line="175" w:lineRule="exact"/>
        <w:rPr>
          <w:sz w:val="20"/>
          <w:szCs w:val="20"/>
          <w:color w:val="auto"/>
        </w:rPr>
      </w:pPr>
    </w:p>
    <w:p>
      <w:pPr>
        <w:ind w:left="680" w:hanging="244"/>
        <w:spacing w:after="0"/>
        <w:tabs>
          <w:tab w:leader="none" w:pos="680" w:val="left"/>
        </w:tabs>
        <w:numPr>
          <w:ilvl w:val="0"/>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terms of the Collateral Documents; and</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any and all amounts payable in respect of the Obligations hereunder.</w:t>
      </w:r>
    </w:p>
    <w:p>
      <w:pPr>
        <w:spacing w:after="0" w:line="225"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Subject to the provisions of the Collateral Documents and the Pari Passu Intercreditor Agreement, the Trustee and the Notes Collateral Agent shall have power to institute and to maintain such suits and proceedings as the Trustee and the Notes Collateral Agent may deem expedient to prevent any impairment of the Collateral by any acts which may be unlawful or in violation of any of the Collateral Documents or this Indenture, and such suits and proceedings as the Trustee and the Notes Collateral Agent may determine to preserve or protect their respective interests and the interests of the Holders in the Collateral. Nothing in this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considered to impose any such duty or obligation to act on the part of the Trustee or the Notes Collateral Agent.</w:t>
      </w:r>
    </w:p>
    <w:p>
      <w:pPr>
        <w:spacing w:after="0" w:line="185" w:lineRule="exact"/>
        <w:rPr>
          <w:sz w:val="20"/>
          <w:szCs w:val="20"/>
          <w:color w:val="auto"/>
        </w:rPr>
      </w:pPr>
    </w:p>
    <w:p>
      <w:pPr>
        <w:ind w:right="10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i w:val="1"/>
          <w:iCs w:val="1"/>
          <w:color w:val="auto"/>
        </w:rPr>
        <w:t>Authorization of Receipt of Funds by the Trustee Under the Collateral Documents</w:t>
      </w:r>
      <w:r>
        <w:rPr>
          <w:rFonts w:ascii="Times New Roman" w:cs="Times New Roman" w:eastAsia="Times New Roman" w:hAnsi="Times New Roman"/>
          <w:sz w:val="18"/>
          <w:szCs w:val="18"/>
          <w:color w:val="auto"/>
        </w:rPr>
        <w:t>. Subject to the provisions of the Pari Passu Intercreditor Agreement, the Trustee is authorized to receive any funds for the benefit of the Holders distributed under the Collateral Documents, and to make further distributions of such funds to the Holders according to the provisions of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1020"/>
          </w:cols>
          <w:pgMar w:left="440" w:top="270" w:right="439" w:bottom="1440" w:gutter="0" w:footer="0" w:header="0"/>
        </w:sectPr>
      </w:pPr>
    </w:p>
    <w:bookmarkStart w:id="744" w:name="page745"/>
    <w:bookmarkEnd w:id="744"/>
    <w:p>
      <w:pPr>
        <w:ind w:right="10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12.05 </w:t>
      </w:r>
      <w:r>
        <w:rPr>
          <w:rFonts w:ascii="Times New Roman" w:cs="Times New Roman" w:eastAsia="Times New Roman" w:hAnsi="Times New Roman"/>
          <w:sz w:val="17"/>
          <w:szCs w:val="17"/>
          <w:i w:val="1"/>
          <w:iCs w:val="1"/>
          <w:color w:val="auto"/>
        </w:rPr>
        <w:t>Purchaser Protected</w:t>
      </w:r>
      <w:r>
        <w:rPr>
          <w:rFonts w:ascii="Times New Roman" w:cs="Times New Roman" w:eastAsia="Times New Roman" w:hAnsi="Times New Roman"/>
          <w:sz w:val="17"/>
          <w:szCs w:val="17"/>
          <w:color w:val="auto"/>
        </w:rPr>
        <w:t xml:space="preserve">. In no event shall any purchaser or other transferee in good faith of any property or asset purported to be released hereunder be bound to ascertain the authority of the Notes Collateral Agent or the Trustee to execute the release or to inquire as to the satisfaction of any conditions required by the provisions hereof for the exercise of such authority or to see to the application of any consideration given by such purchaser or other transferee; nor shall any purchaser or other transferee of any property, asset or rights permitted by this </w:t>
      </w:r>
      <w:r>
        <w:rPr>
          <w:rFonts w:ascii="Times New Roman" w:cs="Times New Roman" w:eastAsia="Times New Roman" w:hAnsi="Times New Roman"/>
          <w:sz w:val="17"/>
          <w:szCs w:val="17"/>
          <w:u w:val="single" w:color="auto"/>
          <w:color w:val="auto"/>
        </w:rPr>
        <w:t>Article 12</w:t>
      </w:r>
      <w:r>
        <w:rPr>
          <w:rFonts w:ascii="Times New Roman" w:cs="Times New Roman" w:eastAsia="Times New Roman" w:hAnsi="Times New Roman"/>
          <w:sz w:val="17"/>
          <w:szCs w:val="17"/>
          <w:color w:val="auto"/>
        </w:rPr>
        <w:t xml:space="preserve"> to be sold be under any obligation to ascertain or inquire into the authority of the Issuer or the applicable Guarantor to make any such sale or other transfer.</w:t>
      </w:r>
    </w:p>
    <w:p>
      <w:pPr>
        <w:spacing w:after="0" w:line="168"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i w:val="1"/>
          <w:iCs w:val="1"/>
          <w:color w:val="auto"/>
        </w:rPr>
        <w:t>Powers Exercisable by Receiver or Trustee</w:t>
      </w:r>
      <w:r>
        <w:rPr>
          <w:rFonts w:ascii="Times New Roman" w:cs="Times New Roman" w:eastAsia="Times New Roman" w:hAnsi="Times New Roman"/>
          <w:sz w:val="18"/>
          <w:szCs w:val="18"/>
          <w:color w:val="auto"/>
        </w:rPr>
        <w:t xml:space="preserve">. In case the Collateral shall be in the possession of a receiver or trustee, lawfully appointed, the powers conferred in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upon the Issuer or a Guarantor with respect to the release, sale or other disposition of such property or asset may be exercised by such receiver or trustee, and an instrument signed by such receiver or trustee shall be deemed the equivalent of any similar instrument of the Issuer or a Guarantor or of any Officer or Officers thereof required by the provisions of this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and if the Trustee and the Notes Collateral Agent shall be in the possession of the Collateral under any provision of this Indenture, then such powers may be exercised by the Trustee and the Notes Collateral Agent.</w:t>
      </w:r>
    </w:p>
    <w:p>
      <w:pPr>
        <w:spacing w:after="0" w:line="18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i w:val="1"/>
          <w:iCs w:val="1"/>
          <w:color w:val="auto"/>
        </w:rPr>
        <w:t>Release Upon Termination of the Issuer’s Obligations</w:t>
      </w:r>
      <w:r>
        <w:rPr>
          <w:rFonts w:ascii="Times New Roman" w:cs="Times New Roman" w:eastAsia="Times New Roman" w:hAnsi="Times New Roman"/>
          <w:sz w:val="18"/>
          <w:szCs w:val="18"/>
          <w:color w:val="auto"/>
        </w:rPr>
        <w:t xml:space="preserve">. In the event that the Issuer delivers to the Trustee an Officers’ Certificate certifying that (i) payment in full of the principal of, together with accrued and unpaid interest on, the Notes and all other First Priority Notes Obligations that are due and payable at or prior to the time such principal, together with accrued and unpaid interest, are paid or (ii) the Issuer shall have exercised its Legal Defeasance option or their Covenant Defeasance option, in each case in compliance with the provisions of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applicable, and an Opinion of Counsel stating that all conditions precedent to the execution and delivery of such notice by the Trustee have been satisfied, the Trustee shall deliver to the Issuer and the Notes Collateral Agent a notice, in form reasonably satisfactory to the Notes Collateral Agent, stating that the Trustee, on behalf of the Holders, disclaims and gives up any and all rights it has in or to the Collateral solely on behalf of the Holders of the Notes without representation, warranty or recourse (other than with respect to funds held by the Trustee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applicable), and any rights it has under the Collateral Documents solely on behalf of the Holders of the Notes and upon receipt by the Notes Collateral Agent of such notice, the Notes Collateral Agent shall be deemed not to hold a Lien in the Collateral on behalf of the Trustee and shall execute and deliver all documents and do or cause to be done (at the expense of the Issuer) all acts reasonably requested by the Issuer to release, without recourse, representation or warranty of any kind, and discharge such Lien as soon as is reasonably practicable.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12.08 </w:t>
      </w:r>
      <w:r>
        <w:rPr>
          <w:rFonts w:ascii="Times New Roman" w:cs="Times New Roman" w:eastAsia="Times New Roman" w:hAnsi="Times New Roman"/>
          <w:sz w:val="18"/>
          <w:szCs w:val="18"/>
          <w:i w:val="1"/>
          <w:iCs w:val="1"/>
          <w:color w:val="auto"/>
        </w:rPr>
        <w:t>Notes Collateral Agent</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firstLine="436"/>
        <w:spacing w:after="0" w:line="261" w:lineRule="auto"/>
        <w:tabs>
          <w:tab w:leader="none" w:pos="685" w:val="left"/>
        </w:tabs>
        <w:numPr>
          <w:ilvl w:val="0"/>
          <w:numId w:val="9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each of the Holders by acceptance of the Notes, and each beneficial owner of an interest in a Note, hereby designates and appoints the Notes Collateral Agent as its agent under this Indenture, the Collateral Documents, the Pari Passu Intercreditor Agreement and/or any other Acceptable Intercreditor Agreement, and each of the Issuer and the Trustee directs and authorizes and each of the Holders by acceptance of the Notes hereby irrevocably authorizes the Notes Collateral Agent to take such action on its behalf under the provisions of this</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0960"/>
          </w:cols>
          <w:pgMar w:left="440" w:top="268" w:right="499" w:bottom="1440" w:gutter="0" w:footer="0" w:header="0"/>
        </w:sectPr>
      </w:pPr>
    </w:p>
    <w:bookmarkStart w:id="745" w:name="page746"/>
    <w:bookmarkEnd w:id="74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Indenture, the Collateral Documents, the Pari Passu Intercreditor Agreement and/or any other Acceptable Intercreditor Agreement and to exercise such powers and perform such duties as are expressly delegated to the Notes Collateral Agent by the terms of this Indenture, the Collateral Documents, the Pari Passu Intercreditor Agreement and/or any other Acceptable Intercreditor Agreement, and consents and agrees to the terms of the Pari Passu Intercreditor Agreement and/or any other Acceptable Intercreditor Agreement and each Collateral Document, as the same may be in effect or may be amended, restated, supplemented or otherwise modified from time to time in accordance with their respective terms or the terms of this Indenture. The Notes Collateral Agent agrees to act as such on the express conditions contained in this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are solely for the benefit of the Notes Collateral Agent and the Trustee (as applicable) and none of any of the Holders nor any of the Grantors shall have any rights as a third-party beneficiary of any of the provisions contained herein unless expressly extended to them. Each Holder agrees that any action taken by the Notes Collateral Agent in accordance with the provision of this Indenture, the Pari Passu Intercreditor Agreement and/or any other Acceptable Intercreditor Agreement, and/or the applicable Collateral Documents, and the exercise by the Notes Collateral Agent of any rights or remedies set forth herein and therein shall be authorized and binding upon all Holders. Notwithstanding any provision to the contrary contained elsewhere in this Indenture, the Collateral Documents, the Pari Passu Intercreditor Agreement and any other Acceptable Intercreditor Agreement, the duties of the Notes Collateral Agent shall be ministerial and administrative in nature, and the Notes Collateral Agent shall not have any duties or responsibilities, except those expressly set forth herein and in the Collateral Documents, the Pari Passu Intercreditor Agreement and any other Acceptable Intercreditor Agreement to which the Notes Collateral Agent is a party, nor shall the Notes Collateral Agent have or be deemed to have any trust or other fiduciary relationship with the Trustee, any Holder or any Grantor, and no implied covenants, functions, responsibilities, duties, obligations or liabilities shall be read into this Indenture, the Collateral Documents, the Pari Passu Intercreditor Agreement or any other Acceptable Intercreditor Agreement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188" w:lineRule="exact"/>
        <w:rPr>
          <w:sz w:val="20"/>
          <w:szCs w:val="20"/>
          <w:color w:val="auto"/>
        </w:rPr>
      </w:pPr>
    </w:p>
    <w:p>
      <w:pPr>
        <w:ind w:right="20" w:firstLine="436"/>
        <w:spacing w:after="0" w:line="255" w:lineRule="auto"/>
        <w:tabs>
          <w:tab w:leader="none" w:pos="695"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may perform any of its duties under this Indenture, the Collateral Documents, the Pari Passu Intercreditor Agreement or any other Acceptable Intercreditor Agreement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18"/>
          <w:szCs w:val="18"/>
          <w:b w:val="1"/>
          <w:bCs w:val="1"/>
          <w:color w:val="auto"/>
        </w:rPr>
        <w:t>Related Person</w:t>
      </w:r>
      <w:r>
        <w:rPr>
          <w:rFonts w:ascii="Times New Roman" w:cs="Times New Roman" w:eastAsia="Times New Roman" w:hAnsi="Times New Roman"/>
          <w:sz w:val="18"/>
          <w:szCs w:val="18"/>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attorney-in-fact or Related Person that it selects as long as such selection was made in good faith.</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746" w:name="page747"/>
    <w:bookmarkEnd w:id="746"/>
    <w:p>
      <w:pPr>
        <w:ind w:firstLine="436"/>
        <w:spacing w:after="0" w:line="252" w:lineRule="auto"/>
        <w:tabs>
          <w:tab w:leader="none" w:pos="685" w:val="left"/>
        </w:tabs>
        <w:numPr>
          <w:ilvl w:val="0"/>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Notes Collateral Agent nor any of its Related Persons shall (i) be liable for any action taken or omitted to be taken by any of them under or in connection with this Indenture or the transactions contemplated hereby (except for its own gross negligence or willful misconduct, as determined by a court of competent jurisdiction in final non-appealable decision) or under or in connection with any Collateral Document, the Pari Passu Intercreditor Agreement or any other Acceptable Intercreditor Agreement, or the transactions contemplated thereby (except for its own gross negligence or willful misconduct, as determined by a court of competent jurisdiction in a final non-appealable decision), or (ii) be responsible in any manner to any of the Trustee or any Holder for any recital, statement, representation, warranty, covenant or agreement made by the Issuer or any other Grantor or Affiliate of any Grantor, or any Officer or Related Person thereof, contained in this Indenture, any Collateral Documents, the Pari Passu Intercreditor Agreement and/or any other Acceptable Intercreditor Agreement, or in any certificate, report, statement or other document referred to or provided for in, or received by the Notes Collateral Agent under or in connection with, this Indenture, the Collateral Documents, the Pari Passu Intercreditor Agreement or any other Acceptable Intercreditor Agreement, or the validity, effectiveness, genuineness, enforceability or sufficiency of this Indenture, the Collateral Documents, the Pari Passu Intercreditor Agreement or any other Acceptable Intercreditor Agreement, or for any failure of any Grantor or any other party to this Indenture, the Collateral Documents, the Pari Passu Intercreditor Agreement and/or any other Acceptable Intercreditor Agreement to perform its obligations hereunder or thereunder. Neither the Notes Collateral Agent nor any of its Related Persons shall be under any obligation to the Trustee or any Holder to ascertain or to inquire as to the observance or performance of any of the agreements contained in, or conditions of, this Indenture, the Collateral Documents, the Pari Passu Intercreditor Agreement or any other Acceptable Intercreditor Agreement or to inspect the properties, books, or records of any Grantor or any Grantor’s Affiliates.</w:t>
      </w:r>
    </w:p>
    <w:p>
      <w:pPr>
        <w:spacing w:after="0" w:line="194" w:lineRule="exact"/>
        <w:rPr>
          <w:rFonts w:ascii="Times New Roman" w:cs="Times New Roman" w:eastAsia="Times New Roman" w:hAnsi="Times New Roman"/>
          <w:sz w:val="18"/>
          <w:szCs w:val="18"/>
          <w:color w:val="auto"/>
        </w:rPr>
      </w:pPr>
    </w:p>
    <w:p>
      <w:pPr>
        <w:ind w:right="80" w:firstLine="436"/>
        <w:spacing w:after="0" w:line="252" w:lineRule="auto"/>
        <w:tabs>
          <w:tab w:leader="none" w:pos="695" w:val="left"/>
        </w:tabs>
        <w:numPr>
          <w:ilvl w:val="0"/>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be entitled (in the absence of gross negligence or willful misconduct) to rely, and shall be fully protected in relying, upon any writing, resolution, notice, consent, certificate, affidavit, letter, telegram,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other Grantor), independent accountants and/or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The Notes Collateral Agent shall be fully justified in failing or refusing to take any discretionary action under this Indenture, the Collateral Documents, the Pari Passu Intercreditor Agreement or any other Acceptable Intercreditor Agreement unless it shall first receive such written advice or concurrence of the Trustee or the Holders of a majority in aggregate principal amount of the Notes as it determines and, if it so requests in the case of such written advice or concurrence of the Holders, it shall first be indemnified and/or provided with security to its satisfaction by the Holders against any and all liability and expense which may be incurred by it by reason of taking or continuing to take any such action. The Notes Collateral Agent shall in all cases be fully protected from claims by any Holders in acting, or in refraining from acting, under the Notes Documents, the Pari Passu Intercreditor Agreement or any other Acceptable Intercreditor Agreement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747" w:name="page748"/>
    <w:bookmarkEnd w:id="747"/>
    <w:p>
      <w:pPr>
        <w:ind w:left="-20" w:right="40" w:firstLine="436"/>
        <w:spacing w:after="0" w:line="258" w:lineRule="auto"/>
        <w:tabs>
          <w:tab w:leader="none" w:pos="665"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Notes Collateral Agent shall be deemed to have knowledge or notice of the occurrence of any Default or Event of Default, unless a Trust Officer of the Notes Collateral Agent shall have received written notice from the Trustee or the Issuer referring to this Indenture, the Notes or the Issuer, describing such Default or Event of Default and stating that such notice is a “notice of default.” The Notes Collateral Agent shall take such action with respect to such Default or Event of Default as may be requested by the Trustee in accordance with </w:t>
      </w:r>
      <w:r>
        <w:rPr>
          <w:rFonts w:ascii="Times New Roman" w:cs="Times New Roman" w:eastAsia="Times New Roman" w:hAnsi="Times New Roman"/>
          <w:sz w:val="18"/>
          <w:szCs w:val="18"/>
          <w:u w:val="single" w:color="auto"/>
          <w:color w:val="auto"/>
        </w:rPr>
        <w:t>Article 6</w:t>
      </w:r>
      <w:r>
        <w:rPr>
          <w:rFonts w:ascii="Times New Roman" w:cs="Times New Roman" w:eastAsia="Times New Roman" w:hAnsi="Times New Roman"/>
          <w:sz w:val="18"/>
          <w:szCs w:val="18"/>
          <w:color w:val="auto"/>
        </w:rPr>
        <w:t xml:space="preserve"> or the Holders of a majority in aggregate principal amount of the Notes (subject to this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left="-20" w:firstLine="436"/>
        <w:spacing w:after="0" w:line="252" w:lineRule="auto"/>
        <w:tabs>
          <w:tab w:leader="none" w:pos="645"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Trustee, at the written direction of the Holders of a majority of the aggregate principal amount of the Notes then outstanding, may appoint, subject to the consent of the Issuer (which shall not be unreasonably withheld and which shall not be required during a continuing Event of Default), a successor collateral agent.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(at the expense of the Issuer).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the Notes Collateral Agent shall be terminated. After the retiring Notes Collateral Agent’s resignation hereunder, the provisions of this </w:t>
      </w:r>
      <w:r>
        <w:rPr>
          <w:rFonts w:ascii="Times New Roman" w:cs="Times New Roman" w:eastAsia="Times New Roman" w:hAnsi="Times New Roman"/>
          <w:sz w:val="18"/>
          <w:szCs w:val="18"/>
          <w:u w:val="single" w:color="auto"/>
          <w:color w:val="auto"/>
        </w:rPr>
        <w:t>Section 12.08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197" w:lineRule="exact"/>
        <w:rPr>
          <w:rFonts w:ascii="Times New Roman" w:cs="Times New Roman" w:eastAsia="Times New Roman" w:hAnsi="Times New Roman"/>
          <w:sz w:val="18"/>
          <w:szCs w:val="18"/>
          <w:color w:val="auto"/>
        </w:rPr>
      </w:pPr>
    </w:p>
    <w:p>
      <w:pPr>
        <w:ind w:left="-20" w:right="40" w:firstLine="436"/>
        <w:spacing w:after="0" w:line="253" w:lineRule="auto"/>
        <w:tabs>
          <w:tab w:leader="none" w:pos="675"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Citibank, N.A., acting through its Agency &amp; Trust division, shall initially act as Notes Collateral Agent and the Issuer and each of the Holders by its acceptance of the Notes, and each beneficial owner of an interest in a Note, hereby authorizes the Trustee and the Notes Collateral Agent, respectively, to appoint co-Notes Collateral Agents, sub-agents and other additional Notes Collateral Agents (and, in each case, appointment of such person shall be reflected in documentation, which the Trustee and the Notes Collateral Agent are hereby authorized to enter into). Except as otherwise explicitly provided herein or in the Collateral Documents, the Pari Passu Intercreditor Agreement or any other Acceptable Intercreditor Agreement, neither the Notes Collateral Agent nor any of its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officers, directors, employees or agents shall be responsible for any act or failure to act hereunder, except for its own gross negligence or willful misconduct, as determined by a court of competent jurisdiction in a final non-appealable decision.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0980"/>
          </w:cols>
          <w:pgMar w:left="460" w:top="270" w:right="459" w:bottom="1440" w:gutter="0" w:footer="0" w:header="0"/>
        </w:sectPr>
      </w:pPr>
    </w:p>
    <w:bookmarkStart w:id="748" w:name="page749"/>
    <w:bookmarkEnd w:id="748"/>
    <w:p>
      <w:pPr>
        <w:ind w:left="-20" w:firstLine="436"/>
        <w:spacing w:after="0" w:line="256" w:lineRule="auto"/>
        <w:tabs>
          <w:tab w:leader="none" w:pos="675"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Collateral Agent is authorized and directed to (i) enter into the Collateral Documents to which it is party, whether executed on or after the Escrow Release Date, (ii) enter into the Pari Passu Intercreditor Agreement and any other Acceptable Intercreditor Agreement, (iii) make the representations of the Holders set forth in the Collateral Documents, the Pari Passu Intercreditor Agreement and any other Acceptable Intercreditor Agreement, (iv) bind the Holders on the terms as set forth in the Collateral Documents, the Pari Passu Intercreditor Agreement and any other Acceptable Intercreditor Agreement and (v) perform and observe its obligations under the Collateral Documents, the Pari Passu Intercreditor Agreement and any other Acceptable Intercreditor Agreement.</w:t>
      </w:r>
    </w:p>
    <w:p>
      <w:pPr>
        <w:spacing w:after="0" w:line="187"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left="-20" w:right="60" w:firstLine="436"/>
        <w:spacing w:after="0" w:line="261" w:lineRule="auto"/>
        <w:tabs>
          <w:tab w:leader="none" w:pos="635"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Notes Collateral Agent is each Holder’s agent for the purpose of perfecting the Holders’ security interest in assets which, in accordance with Article 9 of the UCC can be perfected only by possession or control. Should the Trustee obtain possession or control of any such Collateral, upon written request from the Issuer, the Trustee shall notify the Notes Collateral Agent thereof and promptly shall deliver such Collateral to the Notes Collateral Agent or otherwise deal with such Collateral in accordance with the Notes Collateral Agent’s instructions.</w:t>
      </w:r>
    </w:p>
    <w:p>
      <w:pPr>
        <w:spacing w:after="0" w:line="179"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have any obligation whatsoever to the Trustee or any of the Holders to assure that the Collateral exists or is owned by any Grantor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the Grantor’s property constituting collateral intended to be subject to the Lien and security interest of the Collateral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any Collateral Document, the Pari Passu Intercreditor Agreement or any other Acceptable Intercreditor Agreement other than pursuant to the instructions of the Trustee or the Holders of a majority in aggregate principal amount of the Notes or as otherwise provided in the Collateral Documents, it being understood and agreed that in respect of the Collateral, or any act, omission, or event related thereto, the Notes Collateral Agent shall not have any other duty or liability whatsoever to the Trustee or any Holder, or any other Notes Collateral Agents (if any), as to any of the foregoing.</w:t>
      </w:r>
    </w:p>
    <w:p>
      <w:pPr>
        <w:spacing w:after="0" w:line="191" w:lineRule="exact"/>
        <w:rPr>
          <w:rFonts w:ascii="Times New Roman" w:cs="Times New Roman" w:eastAsia="Times New Roman" w:hAnsi="Times New Roman"/>
          <w:sz w:val="18"/>
          <w:szCs w:val="18"/>
          <w:color w:val="auto"/>
        </w:rPr>
      </w:pPr>
    </w:p>
    <w:p>
      <w:pPr>
        <w:ind w:left="-20" w:right="140" w:firstLine="436"/>
        <w:spacing w:after="0" w:line="261" w:lineRule="auto"/>
        <w:tabs>
          <w:tab w:leader="none" w:pos="635" w:val="left"/>
        </w:tabs>
        <w:numPr>
          <w:ilvl w:val="0"/>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 incurs any obligations in respect of First Priority Obligations at any time when no Pari Passu Intercreditor Agreement or other applicable Acceptable Intercreditor Agreement is in effect or at any time when Indebtedness constituting First Priority Obligations entitled to the benefit of an existing Pari Passu Intercreditor Agreement or other applicable Acceptable Intercreditor Agreement is concurrently retired, or incurs 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0960"/>
          </w:cols>
          <w:pgMar w:left="460" w:top="270" w:right="479" w:bottom="1440" w:gutter="0" w:footer="0" w:header="0"/>
        </w:sectPr>
      </w:pPr>
    </w:p>
    <w:bookmarkStart w:id="749" w:name="page750"/>
    <w:bookmarkEnd w:id="749"/>
    <w:p>
      <w:pPr>
        <w:ind w:left="4"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obligations permitted hereunder and required or permitted to be subject to an intercreditor agreement, and (ii) delivers to the Trustee and/or the Notes Collateral Agent an Officers’ Certificate so stating and requesting the Trustee and/or the Notes Collateral Agent to enter into an intercreditor agreement (on substantially the same terms as the Pari Passu Intercreditor Agreement and/or any other applicable Acceptable Intercreditor Agreement) in favor of a designated agent or representative for the Holders of the First Priority Obligations or other applicable obligations so incurred, or on reasonable and customary terms with respect to any other such intercreditor agreement, the Notes Collateral Agent and the Trustee (as applicable) shall (and are hereby authorized and directed to) enter into such intercreditor agreement (at the sole expense and cost of the Issuer, including legal fees and expenses of the Trustee and/or the Notes Collateral Agent), bind the Holders on the terms set forth therein and perform and observe its obligations thereunder.</w:t>
      </w:r>
    </w:p>
    <w:p>
      <w:pPr>
        <w:spacing w:after="0" w:line="192" w:lineRule="exact"/>
        <w:rPr>
          <w:sz w:val="20"/>
          <w:szCs w:val="20"/>
          <w:color w:val="auto"/>
        </w:rPr>
      </w:pPr>
    </w:p>
    <w:p>
      <w:pPr>
        <w:ind w:left="744" w:hanging="304"/>
        <w:spacing w:after="0"/>
        <w:tabs>
          <w:tab w:leader="none" w:pos="744" w:val="left"/>
        </w:tabs>
        <w:numPr>
          <w:ilvl w:val="1"/>
          <w:numId w:val="9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Issuer or any Guarantor (i) incurs any obligations in respect of Indebtedness on which a junior lien on the Collateral is to be granted, and</w:t>
      </w:r>
    </w:p>
    <w:p>
      <w:pPr>
        <w:spacing w:after="0" w:line="38" w:lineRule="exact"/>
        <w:rPr>
          <w:rFonts w:ascii="Times New Roman" w:cs="Times New Roman" w:eastAsia="Times New Roman" w:hAnsi="Times New Roman"/>
          <w:sz w:val="17"/>
          <w:szCs w:val="17"/>
          <w:color w:val="auto"/>
        </w:rPr>
      </w:pPr>
    </w:p>
    <w:p>
      <w:pPr>
        <w:ind w:left="4" w:right="40" w:hanging="4"/>
        <w:spacing w:after="0" w:line="252" w:lineRule="auto"/>
        <w:tabs>
          <w:tab w:leader="none" w:pos="269" w:val="left"/>
        </w:tabs>
        <w:numPr>
          <w:ilvl w:val="0"/>
          <w:numId w:val="9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delivers to the Trustee and/or the Notes Collateral Agent an Officers’ Certificate so stating and requesting the Trustee and/or the Notes Collateral Agent to enter into an intercreditor agreement (including any Acceptable Intercreditor Agreement) with a designated agent or representative for the Holders of such Indebtedness or other obligations so incurred, and stating that such intercreditor agreement is on customary terms (as determined by the Issuer) (or on substantially the same terms as any applicable Acceptable Intercreditor Agreement), the Notes Collateral Agent and the Trustee (as applicable) shall (and are hereby authorized and directed to) enter into such intercreditor agreement (at the sole expense and cost of the Issuer, including legal fees and expenses of the Trustee and/or the Notes Collateral Agent), bind the Holders on the terms set forth therein and perform and observe its obligations thereunder.</w:t>
      </w:r>
    </w:p>
    <w:p>
      <w:pPr>
        <w:spacing w:after="0" w:line="188" w:lineRule="exact"/>
        <w:rPr>
          <w:rFonts w:ascii="Times New Roman" w:cs="Times New Roman" w:eastAsia="Times New Roman" w:hAnsi="Times New Roman"/>
          <w:sz w:val="18"/>
          <w:szCs w:val="18"/>
          <w:color w:val="auto"/>
        </w:rPr>
      </w:pPr>
    </w:p>
    <w:p>
      <w:pPr>
        <w:ind w:left="4" w:right="20" w:firstLine="436"/>
        <w:spacing w:after="0" w:line="267" w:lineRule="auto"/>
        <w:tabs>
          <w:tab w:leader="none" w:pos="699" w:val="left"/>
        </w:tabs>
        <w:numPr>
          <w:ilvl w:val="1"/>
          <w:numId w:val="9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provision of this Indenture, the Pari Passu Intercreditor Agreement or any other Acceptable Intercreditor Agreement or any Collateral Document shall require the Notes Collateral Agent (or the Trustee) to expend or risk its own funds or otherwise incur any financial liability in the performance of any of its duties hereunder or thereunder or to take or omit to take any action hereunder or thereunder or take any action at the request or direction of Holders (or the Trustee in the case of the Notes Collateral Agent) unless it shall have first received indemnity and/or security satisfactory to the Notes Collateral Agent and the Trustee against potential costs and liabilities incurred by the Notes Collateral Agent relating thereto. Notwithstanding anything to the contrary contained in this Indenture, the Pari Passu Intercreditor Agreement or any other Acceptable Intercreditor Agreement or the Collateral Documents, in the event the Notes Collateral Agent is entitled or required to commence an action to foreclose or otherwise exercise its remedies to acquire control or possession of the Collateral, the Notes Collateral Agent shall not be required to commence any such action or exercise any remedy or to inspect or conduct any studies of any property under the mortgages or take any such other action if the Notes Collateral Agent has determined that the Notes Collateral Agent may incur personal liability as a result of the presence at, or release on or from, the Collateral or such property, of any hazardous substances. The Notes Collateral Agent shall at any time be entitled to cease taking any action described in this paragraph</w:t>
      </w:r>
    </w:p>
    <w:p>
      <w:pPr>
        <w:spacing w:after="0" w:line="2"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it no longer reasonably deems any indemnity, security or undertaking from the Issuer, the Notes Guarantors, or the Holders to be sufficient.</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1004"/>
          </w:cols>
          <w:pgMar w:left="436" w:top="270" w:right="459" w:bottom="1440" w:gutter="0" w:footer="0" w:header="0"/>
        </w:sectPr>
      </w:pPr>
    </w:p>
    <w:bookmarkStart w:id="750" w:name="page751"/>
    <w:bookmarkEnd w:id="750"/>
    <w:p>
      <w:pPr>
        <w:ind w:left="-20" w:right="20" w:firstLine="436"/>
        <w:spacing w:after="0" w:line="253" w:lineRule="auto"/>
        <w:tabs>
          <w:tab w:leader="none" w:pos="675"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Notes Collateral Agent (i) shall not be liable for any action taken or omitted to be taken by it in connection with this Indenture, the Pari Passu Intercreditor Agreement or any other Acceptable Intercreditor Agreement and the Collateral Documents or instrument referred to herein or therein, except to the extent that any of the foregoing are found by a final, non-appealable judgment of a court of competent jurisdiction to have resulted from its own gross negligence or willful misconduct (as determined by a court of competent jurisdiction in a final non-appealable decision), (ii) shall not be liable for interest on any money received by it except as the Notes Collateral Agent may agree in writing with the Issuer (and money held in trust by the Notes Collateral Agent need (a) shall be held uninvested without liability for interest, unless otherwise agreed in writing, (b) shall be held in a non-interest bearing trust account and (c)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194" w:lineRule="exact"/>
        <w:rPr>
          <w:rFonts w:ascii="Times New Roman" w:cs="Times New Roman" w:eastAsia="Times New Roman" w:hAnsi="Times New Roman"/>
          <w:sz w:val="18"/>
          <w:szCs w:val="18"/>
          <w:color w:val="auto"/>
        </w:rPr>
      </w:pPr>
    </w:p>
    <w:p>
      <w:pPr>
        <w:ind w:left="-20" w:right="20" w:firstLine="436"/>
        <w:spacing w:after="0" w:line="258" w:lineRule="auto"/>
        <w:tabs>
          <w:tab w:leader="none" w:pos="675"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Notes Collateral Agent nor the Trustee shall be liable for delays or failures in performance resulting from acts beyond its control. Such acts shall include but not be limited to acts of God, strikes, lockouts, riots, acts of war, epidemics, governmental regulations superimposed after the fact, fire, communication line failures, computer viruses, power failures, earthquakes or other disasters. Neither the Notes Collateral Agent nor the Trustee shall be liable for any indirect, special, punitive, incidental or consequential damages (included but not limited to lost profits) whatsoever, even if it has been informed of the likelihood thereof and regardless of the form of action.</w:t>
      </w:r>
    </w:p>
    <w:p>
      <w:pPr>
        <w:spacing w:after="0" w:line="183"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assume any responsibility for any failure or delay in performance or any breach by the Issuer or any other Grantor under this Indenture, the Pari Passu Intercreditor Agreement or any other Acceptable Intercreditor Agreement and the Collateral Documents. The Notes Collateral Agent shall not be responsible to the Holders or any other Person for any recitals, statements, information, representations or warranties contained in this Indenture, any Collateral Documents, the Pari Passu Intercreditor Agreement or any other Acceptable Intercreditor Agreement or in any certificate, report, statement, or other document referred to or provided for in, or received by the Notes Collateral Agent under or in connection with, this Indenture, any Collateral Document, the Pari Passu Intercreditor Agreement or any other Acceptable Intercreditor Agreement; the execution, validity, genuineness, effectiveness or enforceability of the Pari Passu Intercreditor Agreement or any other Acceptable Intercreditor Agreement, and any Collateral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the Notes, the Pari Passu Intercreditor Agreement or any other Acceptable Intercreditor Agreement,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0980"/>
          </w:cols>
          <w:pgMar w:left="460" w:top="270" w:right="459" w:bottom="1440" w:gutter="0" w:footer="0" w:header="0"/>
        </w:sectPr>
      </w:pPr>
    </w:p>
    <w:bookmarkStart w:id="751" w:name="page752"/>
    <w:bookmarkEnd w:id="751"/>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and the Collateral Documents. The Notes Collateral Agent shall not have any obligation to any Holder or any other Person to ascertain or inquire into the existence of any Default or Event of Default, the observance or performance by any obligor of any terms of this Indenture, the Notes, the Pari Passu Intercreditor Agreement or any other Acceptable Intercreditor Agreement, the Credit Agreements or the Collateral Documents, or the satisfaction of any conditions precedent contained in this Indenture, the Notes, the Pari Passu Intercreditor Agreement or any other Acceptable Intercreditor Agreement or any Collateral Documents. The Notes Collateral Agent shall not be required to initiate or conduct any litigation or collection or other proceeding under this Indenture, the Notes, the Pari Passu Intercreditor Agreement or any other Acceptable Intercreditor Agreement, and the Collateral Documents unless expressly set forth hereunder or thereunder. Without limiting its obligations as expressly set forth herein, the Notes Collateral Agent shall have the right at any time to seek instructions from the Trustee (acting at the written instruction of the Holders) or the Holders with respect to the administration of the Notes Documents.</w:t>
      </w:r>
    </w:p>
    <w:p>
      <w:pPr>
        <w:spacing w:after="0" w:line="188" w:lineRule="exact"/>
        <w:rPr>
          <w:sz w:val="20"/>
          <w:szCs w:val="20"/>
          <w:color w:val="auto"/>
        </w:rPr>
      </w:pPr>
    </w:p>
    <w:p>
      <w:pPr>
        <w:ind w:firstLine="436"/>
        <w:spacing w:after="0" w:line="267" w:lineRule="auto"/>
        <w:tabs>
          <w:tab w:leader="none" w:pos="665" w:val="left"/>
        </w:tabs>
        <w:numPr>
          <w:ilvl w:val="0"/>
          <w:numId w:val="9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and the Holders hereby agree and acknowledge that neither the Notes Collateral Agent nor the Trustee shall assume, be responsible for or otherwise be obligated for any liabilities, claims, causes of action, suits, losses, allegations, requests, demands, penalties, fines, settlements, damages (including foreseeable and unforeseeable), judgments, expenses and costs (including but not limited to, any remediation, corrective action, response, removal or remedial action, or investigation, operations and maintenance or monitoring costs, for personal injury or property damages, real or personal) of any kind whatsoever, pursuant to any environmental law as a result of this Indenture, the Pari Passu Intercreditor Agreement or any other Acceptable Intercreditor Agreement, the Collateral Documents or any actions taken pursuant hereto or thereto. Further, the parties hereto and the Holders hereby agree and acknowledge that in the exercise of its rights under this Indenture, the Pari Passu Intercreditor Agreement or any other Acceptable Intercreditor Agreement, and the Collateral Documents, the Notes Collateral Agent may hold or obtain indicia of ownership primarily to protect the security interest of the Notes Collateral Agent in the Collateral and that any such actions taken by the Notes Collateral Agent shall not be construed as or otherwise constitute any participation in the management of such Collateral. However, if the Notes Collateral Agent or the Trustee is required to acquire title to an asset for any reason, or take any managerial action of any kind in regard thereto, in order to care out any fiduciary or trust obligation for the benefit of another or pursuant to this Indenture which in the Trustee’s or the Notes Collateral Agent’s reasonable discretion may cause the Trustee or the Notes Collateral Agent to be considered an “owner or operator” under the provisions of the Comprehensive Environmental Response, Compensation and Liability Act (“</w:t>
      </w:r>
      <w:r>
        <w:rPr>
          <w:rFonts w:ascii="Times New Roman" w:cs="Times New Roman" w:eastAsia="Times New Roman" w:hAnsi="Times New Roman"/>
          <w:sz w:val="17"/>
          <w:szCs w:val="17"/>
          <w:b w:val="1"/>
          <w:bCs w:val="1"/>
          <w:color w:val="auto"/>
        </w:rPr>
        <w:t>CERCLA</w:t>
      </w:r>
      <w:r>
        <w:rPr>
          <w:rFonts w:ascii="Times New Roman" w:cs="Times New Roman" w:eastAsia="Times New Roman" w:hAnsi="Times New Roman"/>
          <w:sz w:val="17"/>
          <w:szCs w:val="17"/>
          <w:color w:val="auto"/>
        </w:rPr>
        <w:t>”), 42 U.S.C. §9601, et seq., or otherwise cause the Trustee or the Notes Collateral Agent to incur liability under CERCLA or any equivalent federal, state or local law, the Trustee and the Notes Collateral Agent reserves the right, instead of taking such action, to either resign as the Trustee or the Notes Collateral Agent or arrange for the transfer of the title or control of the asset to a court-appointed receiver. Neither the Notes Collateral Agent nor the Trustee shall be liable to the Issuer, the Guarantors or any other Person for any environmental claims or contribution actions under any federal, state or local law, rule or regulation by reason of the Notes Collateral Agent’s or the Trustee’s actions and conduct as authorized, empowered and directed hereunder or relating to the discharge, release or threatened release of hazardous materials into the environment. If at any time it is necessary, in connection with an exercise of remedies, for property to be possessed, owned, operated or managed by any Person (including the Notes Collateral Agent or the Trustee) other than the Issuer or the Guarantors, Holders of a majority in aggregate principal amount of the then outstanding Notes shall direct the Notes Collateral Agent or the Trustee in writing to appoint an appropriately qualified Person (excluding the Notes Collateral Agent or the Trustee) who they shall designate to possess, own, operate or manage, as the case may be, the property.</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70" w:right="459" w:bottom="1440" w:gutter="0" w:footer="0" w:header="0"/>
        </w:sectPr>
      </w:pPr>
    </w:p>
    <w:bookmarkStart w:id="752" w:name="page753"/>
    <w:bookmarkEnd w:id="752"/>
    <w:p>
      <w:pPr>
        <w:ind w:right="60" w:firstLine="436"/>
        <w:spacing w:after="0" w:line="253" w:lineRule="auto"/>
        <w:tabs>
          <w:tab w:leader="none" w:pos="675"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the receipt by the Notes Collateral Agent of an Officers’ Certificate and an Opinion of Counsel, the Notes Collateral Agent is hereby authorized to execute and enter into, and shall execute and enter into, without the further consent of any Holder or the Trustee, any Collateral Document to be executed after the Issue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Notes Collateral Agent shall not be required to execute or enter into any such Collateral Document which, in the Notes Collateral Agent’s reasonable opinion adversely affects the rights, duties, liabilities, privileges, protections, indemnities or immunities of the Notes Collateral Agent or that the Notes Collateral Agent reasonably determines involves the Notes Collateral Agent in personal liability. Such Officers’ Certificate and an Opinion of Counsel shall (i) state that it is being delivered to the Notes Collateral Agent pursuant to this </w:t>
      </w:r>
      <w:r>
        <w:rPr>
          <w:rFonts w:ascii="Times New Roman" w:cs="Times New Roman" w:eastAsia="Times New Roman" w:hAnsi="Times New Roman"/>
          <w:sz w:val="18"/>
          <w:szCs w:val="18"/>
          <w:u w:val="single" w:color="auto"/>
          <w:color w:val="auto"/>
        </w:rPr>
        <w:t>Section 12.08(s)</w:t>
      </w:r>
      <w:r>
        <w:rPr>
          <w:rFonts w:ascii="Times New Roman" w:cs="Times New Roman" w:eastAsia="Times New Roman" w:hAnsi="Times New Roman"/>
          <w:sz w:val="18"/>
          <w:szCs w:val="18"/>
          <w:color w:val="auto"/>
        </w:rPr>
        <w:t>, and (ii) instruct the Notes Collateral Agent to execute and enter into such Collateral Document. Any such execution of a Collateral Document shall be at the written direction and expense of the Issuer, upon delivery to the Notes Collateral Agent of an Officers’ Certificate and an Opinion of Counsel stating that all conditions precedent (if any) to the execution and delivery of the Collateral Document have been satisfied. The Holders, by their acceptance of the Notes, hereby authorize and direct the Notes Collateral Agent to execute such Collateral Documents.</w:t>
      </w:r>
    </w:p>
    <w:p>
      <w:pPr>
        <w:spacing w:after="0" w:line="194"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Collateral Documents, the Pari Passu Intercreditor Agreement and any other Acceptable Intercreditor Agreement, each Holder, by acceptance of the Notes, agrees that the Notes Collateral Agent shall execute and deliver the Pari Passu Intercreditor Agreement, any other Acceptable Intercreditor Agreement and the Collateral Documents, or joinder or similar agreements in respect thereof, to which it is (or is to be) a party and all agreements, documents and instruments incidental thereto (including any releases permitted hereunder), and act in accordance with the terms thereof. For the avoidance of doubt, the Notes Collateral Agent shall not be required to exercise discretion under this Indenture, the Collateral Documents, the Pari Passu Intercreditor Agreement or any other Acceptable Intercreditor Agreement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Collateral Document, the Pari Passu Intercreditor Agreement or any other Acceptable Intercreditor Agreement. Each Holder, by acceptance of the Notes, authorizes and directs the Trustee to execute and deliver the Pari Passu Intercreditor Agreement, in its capacity as Authorized Representative (as defined therein) and any other Acceptable Intercreditor Agreement in similar capacity and, in each case, all agreements, documents and instruments incidental to each of the foregoing, and act in accordance with the respective terms thereof.</w:t>
      </w:r>
    </w:p>
    <w:p>
      <w:pPr>
        <w:spacing w:after="0" w:line="189"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the Trustee, acting at the direction of the Holders of a majority of the aggregate principal amount of the Notes then outstanding, may direct the Notes Collateral Agent in connection with any action required or permitted by this Indenture, the Collateral Documents, the Pari Passu Intercreditor Agreement or any other Acceptable Intercreditor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753" w:name="page754"/>
    <w:bookmarkEnd w:id="753"/>
    <w:p>
      <w:pPr>
        <w:ind w:firstLine="436"/>
        <w:spacing w:after="0" w:line="261" w:lineRule="auto"/>
        <w:tabs>
          <w:tab w:leader="none" w:pos="695"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Notes Collateral Agent is authorized to receive any funds for the benefit of itself, the Trustee and the Holders distributed under the Collateral Documents, the Pari Passu Intercreditor Agreement and any other Acceptable Intercreditor Agreement and to the extent not prohibited under the Pari Passu Intercreditor Agreement or any other Acceptable Intercreditor Agreement, for turnover to the Trustee to make further distributions of such funds to itself, the Trustee and the Holders in accordance with the provisions of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hereof and the other provisions of this Indenture.</w:t>
      </w:r>
    </w:p>
    <w:p>
      <w:pPr>
        <w:spacing w:after="0" w:line="179" w:lineRule="exact"/>
        <w:rPr>
          <w:rFonts w:ascii="Times New Roman" w:cs="Times New Roman" w:eastAsia="Times New Roman" w:hAnsi="Times New Roman"/>
          <w:sz w:val="18"/>
          <w:szCs w:val="18"/>
          <w:color w:val="auto"/>
        </w:rPr>
      </w:pPr>
    </w:p>
    <w:p>
      <w:pPr>
        <w:ind w:right="80" w:firstLine="436"/>
        <w:spacing w:after="0" w:line="253" w:lineRule="auto"/>
        <w:tabs>
          <w:tab w:leader="none" w:pos="735"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that the Notes Collateral Agent may or is required hereunder or under any other Notes Document, the Pari Passu Intercreditor Agreement or any other Acceptable Intercreditor Agreement to take any discretionary action (an “</w:t>
      </w:r>
      <w:r>
        <w:rPr>
          <w:rFonts w:ascii="Times New Roman" w:cs="Times New Roman" w:eastAsia="Times New Roman" w:hAnsi="Times New Roman"/>
          <w:sz w:val="18"/>
          <w:szCs w:val="18"/>
          <w:b w:val="1"/>
          <w:bCs w:val="1"/>
          <w:color w:val="auto"/>
        </w:rPr>
        <w:t>Action</w:t>
      </w:r>
      <w:r>
        <w:rPr>
          <w:rFonts w:ascii="Times New Roman" w:cs="Times New Roman" w:eastAsia="Times New Roman" w:hAnsi="Times New Roman"/>
          <w:sz w:val="18"/>
          <w:szCs w:val="18"/>
          <w:color w:val="auto"/>
        </w:rPr>
        <w:t>”), including without limitation to make any determination, to give consents, to exercise rights, powers or remedies, to release or sell Collateral (unless such release or sale is expressly provided for hereunder or thereunder) or otherwise to act in its discretion hereunder or under any other Notes Document, the Pari Passu Intercreditor Agreement or any other Acceptable Intercreditor Agreement,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If the Notes Collateral Agent shall request direction from the Holders of a majority in aggregate principal amount of the then outstanding Notes with respect to any Action, the Notes Collateral Agent shall be entitled to refrain from such Action unless and until the Notes Collateral Agent shall have received direction from the Holders of a majority in aggregate principal amount of the then outstanding Notes, and such Notes Collateral Agent shall not incur liability to any Person by reason of so refraining.</w:t>
      </w:r>
    </w:p>
    <w:p>
      <w:pPr>
        <w:spacing w:after="0" w:line="191" w:lineRule="exact"/>
        <w:rPr>
          <w:rFonts w:ascii="Times New Roman" w:cs="Times New Roman" w:eastAsia="Times New Roman" w:hAnsi="Times New Roman"/>
          <w:sz w:val="18"/>
          <w:szCs w:val="18"/>
          <w:color w:val="auto"/>
        </w:rPr>
      </w:pPr>
    </w:p>
    <w:p>
      <w:pPr>
        <w:ind w:right="40" w:firstLine="436"/>
        <w:spacing w:after="0" w:line="254" w:lineRule="auto"/>
        <w:tabs>
          <w:tab w:leader="none" w:pos="695"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any Collateral Document, the Pari Passu Intercreditor Agreement and/or any other Acceptable Intercreditor Agreement, in no event shall the Notes Collateral Agent or the Trustee be responsible for, or have any duty or obligation with respect to, the recording, filing, registering, perfection, protection or maintenance of the security interests or Liens intended to be created by this Indenture or the other Notes Documents (including without limitation the filing or continuation of any UCC or continuation statements or similar documents or instruments), nor shall the Notes Collateral Agent or the Trustee be responsible for, and neither the Notes Collateral Agent nor the Trustee makes any representation regarding, the validity, effectiveness or priority of any of the Collateral Documents or the security interests or Liens intended to be created thereby. Additionally, neither the Notes Collateral Agent nor the Trustee shall be responsible for providing, maintaining, monitoring or preserving insurance on or the payment of taxes with respect to any of the Collateral.</w:t>
      </w:r>
    </w:p>
    <w:p>
      <w:pPr>
        <w:spacing w:after="0" w:line="191" w:lineRule="exact"/>
        <w:rPr>
          <w:rFonts w:ascii="Times New Roman" w:cs="Times New Roman" w:eastAsia="Times New Roman" w:hAnsi="Times New Roman"/>
          <w:sz w:val="18"/>
          <w:szCs w:val="18"/>
          <w:color w:val="auto"/>
        </w:rPr>
      </w:pPr>
    </w:p>
    <w:p>
      <w:pPr>
        <w:ind w:right="420" w:firstLine="436"/>
        <w:spacing w:after="0" w:line="281" w:lineRule="auto"/>
        <w:tabs>
          <w:tab w:leader="none" w:pos="695" w:val="left"/>
        </w:tabs>
        <w:numPr>
          <w:ilvl w:val="0"/>
          <w:numId w:val="10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Before the Notes Collateral Agent acts or refrains from acting in each case at the request or direction of the Issuer, the Guarantors, or the Trustee, other than as set forth in this Indenture, the Collateral Documents, the Pari Passu Intercreditor Agreement and/or any other Acceptable Intercreditor Agreement, it may require an Officers’ Certificate and an Opinion of Counsel, which shall conform to the provisions of </w:t>
      </w:r>
      <w:r>
        <w:rPr>
          <w:rFonts w:ascii="Times New Roman" w:cs="Times New Roman" w:eastAsia="Times New Roman" w:hAnsi="Times New Roman"/>
          <w:sz w:val="17"/>
          <w:szCs w:val="17"/>
          <w:u w:val="single" w:color="auto"/>
          <w:color w:val="auto"/>
        </w:rPr>
        <w:t>Section 11.04</w:t>
      </w:r>
      <w:r>
        <w:rPr>
          <w:rFonts w:ascii="Times New Roman" w:cs="Times New Roman" w:eastAsia="Times New Roman" w:hAnsi="Times New Roman"/>
          <w:sz w:val="17"/>
          <w:szCs w:val="17"/>
          <w:color w:val="auto"/>
        </w:rPr>
        <w:t xml:space="preserve"> hereof. The Notes Collateral Agent shall not be liable for any action it takes or omits to take in good faith in reliance on such certificate or opinion.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754" w:name="page755"/>
    <w:bookmarkEnd w:id="754"/>
    <w:p>
      <w:pPr>
        <w:ind w:right="400" w:firstLine="436"/>
        <w:spacing w:after="0" w:line="266" w:lineRule="auto"/>
        <w:tabs>
          <w:tab w:leader="none" w:pos="685" w:val="left"/>
        </w:tabs>
        <w:numPr>
          <w:ilvl w:val="0"/>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herein, subject to the Pari Passu Intercreditor Agreement and/or any other Acceptable Intercreditor Agreement, the Notes Collateral Agent shall act pursuant to the instructions of the Holders and/or the Trustee (acting at the written direction of the Holders) solely with respect to the Collateral Documents and the Collateral.</w:t>
      </w:r>
    </w:p>
    <w:p>
      <w:pPr>
        <w:spacing w:after="0" w:line="176" w:lineRule="exact"/>
        <w:rPr>
          <w:sz w:val="20"/>
          <w:szCs w:val="20"/>
          <w:color w:val="auto"/>
        </w:rPr>
      </w:pPr>
    </w:p>
    <w:p>
      <w:pPr>
        <w:ind w:right="100" w:firstLine="436"/>
        <w:spacing w:after="0" w:line="261" w:lineRule="auto"/>
        <w:tabs>
          <w:tab w:leader="none" w:pos="765"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pay compensation to, reimburse expenses of and indemnify the Notes Collateral Agent in accordance with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hereof. Accordingly, the reference to the “Trustee” in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hereof shall be deemed to include the reference to the Notes Collateral Agent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of this Indenture shall apply mutatis mutandis to the Notes Collateral Agent in their capacity as such, provided that for the purposes of this </w:t>
      </w:r>
      <w:r>
        <w:rPr>
          <w:rFonts w:ascii="Times New Roman" w:cs="Times New Roman" w:eastAsia="Times New Roman" w:hAnsi="Times New Roman"/>
          <w:sz w:val="18"/>
          <w:szCs w:val="18"/>
          <w:u w:val="single" w:color="auto"/>
          <w:color w:val="auto"/>
        </w:rPr>
        <w:t>Section 12.08(aa)</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260" w:firstLine="436"/>
        <w:spacing w:after="0" w:line="266" w:lineRule="auto"/>
        <w:tabs>
          <w:tab w:leader="none" w:pos="785"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each of the Holders by acceptance of the Notes acknowledges and directs that the benefits, indemnities, privileges, protections, and rights of the Notes Collateral Agent shall extend to (and may be claimed directly or by the Notes Collateral Agent on behalf of) each sub-agent, as the case may be.</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765"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Beyond the exercise of reasonable care in the custody thereof, neither the Notes Collateral Agent nor the Trustee shall have duty as to any Collateral in its possession or control or in the possession or control of any agent or bailee or any income thereon or as to preservation of rights against prior parties or any other rights pertaining thereto and neither the Trustee nor the Notes Collateral Agent shall be responsible for filing any financing or continuation statements or recording any documents or instruments in any public office at any time or times or otherwise perfecting or maintaining the perfection of any security interest in the Collateral. The Notes Collateral Agent shall not be deemed to have exercised reasonable care in the custody of the Collateral in its possession if the Collateral is accorded treatment substantially equal to that which it accords its own property and shall not be liable or responsible for any loss or diminution in the value of any of the Collateral, by reason of the act or omission of any carrier, forwarding agency or other agent or bailee selected by the Notes Collateral Agent in good faith.</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785"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Notes Collateral Agent nor the Trustee shall be responsible for the existence, genuineness or value of any of the Collateral or for the validity, perfection, priority or enforceability of the Liens in any of the Collateral, whether impaired by operation of law or by reason of any of any action or omission to act on its part hereunder, except to the extent such action or omission constitutes gross negligence or willful misconduct on the part of the Trustee or the Notes Collateral Agent (as determined by a court of competent jurisdiction in a final non-appealable decision), for the validity or sufficiency of the Collateral or any agreement or assignment contained therein, for the validity of the title of the applicable Grantor to the Collateral, for insuring the Collateral or for the payment of taxes, charges, assessments or Liens upon the Collateral or otherwise as to the maintenance of the Collateral. The Trustee and Notes Collateral Agent shall have no duty to ascertain or inquire as to the performance or observance of any of the terms of this Indenture, the Pari Passu Intercreditor Agreement or any other Acceptable Intercreditor Agreement or any other Collateral Document.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0"/>
          </w:cols>
          <w:pgMar w:left="440" w:top="270" w:right="459" w:bottom="1440" w:gutter="0" w:footer="0" w:header="0"/>
        </w:sectPr>
      </w:pPr>
    </w:p>
    <w:bookmarkStart w:id="755" w:name="page756"/>
    <w:bookmarkEnd w:id="755"/>
    <w:p>
      <w:pPr>
        <w:ind w:right="200" w:firstLine="436"/>
        <w:spacing w:after="0" w:line="261" w:lineRule="auto"/>
        <w:tabs>
          <w:tab w:leader="none" w:pos="765" w:val="left"/>
        </w:tabs>
        <w:numPr>
          <w:ilvl w:val="0"/>
          <w:numId w:val="10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rights, privileges, benefits, immunities, indemnities and other protections given to the Trustee are extended to, and shall be enforceable by, the Notes Collateral Agent as if the Notes Collateral Agent were named as the Trustee herein and the Collateral Documents were named as this Indenture herein. Such rights, privileges, benefits, immunities, indemnities and other protections of the Notes Collateral Agent extend to the Notes Collateral Agent acting under any of the Collateral Documents.</w:t>
      </w:r>
    </w:p>
    <w:p>
      <w:pPr>
        <w:spacing w:after="0" w:line="179" w:lineRule="exact"/>
        <w:rPr>
          <w:rFonts w:ascii="Times New Roman" w:cs="Times New Roman" w:eastAsia="Times New Roman" w:hAnsi="Times New Roman"/>
          <w:sz w:val="18"/>
          <w:szCs w:val="18"/>
          <w:color w:val="auto"/>
        </w:rPr>
      </w:pPr>
    </w:p>
    <w:p>
      <w:pPr>
        <w:ind w:right="200" w:firstLine="436"/>
        <w:spacing w:after="0" w:line="253" w:lineRule="auto"/>
        <w:tabs>
          <w:tab w:leader="none" w:pos="722" w:val="left"/>
        </w:tabs>
        <w:numPr>
          <w:ilvl w:val="0"/>
          <w:numId w:val="10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else to the contrary herein (but not with respect to express discretions to the Notes Collateral Agent hereunder), whenever reference is made in this Indenture or any Collateral Document, to any discretionary action whether by consent, designation, specification, requirement or approval of, notice, request or other communication from, or other direction given or action to be undertaken or to be (or not to be) suffered or omitted by the Notes Collateral Agent in its discretion or to any discretionary election, decision, opinion, acceptance, use of judgment, expression of satisfaction or other exercise of discretion, rights or remedies to be made (or not to be made) by the Notes Collateral Agent, it is understood that in all cases the Notes Collateral Agent shall be fully justified in failing or refusing to take any such discretionary action if it shall not have received written instruction, advice or concurrence of the Trustee acting at the written direction of the Holders or the Holders or any controlling agent or representative under any intercreditor agreement or Collateral Document in respect of such action (in each case as applicable). The Notes Collateral Agent shall have no liability for any failure or delay in taking any actions contemplated above as a result of a failure or delay on the part of the Trustee acting at the written direction of the Holders or the Holders or any controlling agent or representative under any intercreditor agreement or Collateral Document to provide such instruction, advice or concurrence.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13</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ESCROW MATTERS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i w:val="1"/>
          <w:iCs w:val="1"/>
          <w:color w:val="auto"/>
        </w:rPr>
        <w:t>Escrow Account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436"/>
        <w:spacing w:after="0" w:line="256" w:lineRule="auto"/>
        <w:tabs>
          <w:tab w:leader="none" w:pos="685" w:val="left"/>
        </w:tabs>
        <w:numPr>
          <w:ilvl w:val="0"/>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Date, the Issuer shall enter into an escrow agreement (as amended, supplemented or modified from time to time, the “</w:t>
      </w:r>
      <w:r>
        <w:rPr>
          <w:rFonts w:ascii="Times New Roman" w:cs="Times New Roman" w:eastAsia="Times New Roman" w:hAnsi="Times New Roman"/>
          <w:sz w:val="18"/>
          <w:szCs w:val="18"/>
          <w:b w:val="1"/>
          <w:bCs w:val="1"/>
          <w:color w:val="auto"/>
        </w:rPr>
        <w:t>Escrow</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among the Issuer, the Trustee and PNC Bank, National Association, as escrow agent (in such capacity, together with its successors,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Escrow Agent</w:t>
      </w:r>
      <w:r>
        <w:rPr>
          <w:rFonts w:ascii="Times New Roman" w:cs="Times New Roman" w:eastAsia="Times New Roman" w:hAnsi="Times New Roman"/>
          <w:sz w:val="18"/>
          <w:szCs w:val="18"/>
          <w:color w:val="auto"/>
        </w:rPr>
        <w:t xml:space="preserve">”), pursuant to which an amount equal to (i) the net proceeds of the offering of the Notes sold on the Issue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(ii) cash contributed by Comcast on behalf of the Issuer in an amount sufficient to fund any accrued and unpaid interest owing to Holders of the Notes to and including the close of business on the Escrow End Date, together with such additional amounts as may be necessary to redeem all of the Notes at the Special Mandatory Redemption Price, shall be deposited into a segregated escrow account (the “</w:t>
      </w:r>
      <w:r>
        <w:rPr>
          <w:rFonts w:ascii="Times New Roman" w:cs="Times New Roman" w:eastAsia="Times New Roman" w:hAnsi="Times New Roman"/>
          <w:sz w:val="18"/>
          <w:szCs w:val="18"/>
          <w:b w:val="1"/>
          <w:bCs w:val="1"/>
          <w:color w:val="auto"/>
        </w:rPr>
        <w:t>Escrow Account</w:t>
      </w:r>
      <w:r>
        <w:rPr>
          <w:rFonts w:ascii="Times New Roman" w:cs="Times New Roman" w:eastAsia="Times New Roman" w:hAnsi="Times New Roman"/>
          <w:sz w:val="18"/>
          <w:szCs w:val="18"/>
          <w:color w:val="auto"/>
        </w:rPr>
        <w:t>”). By its acceptance of the Notes, each Holder shall be deemed to authorize and direct the Trustee to execute, deliver and perform its obligations under the Escrow Agreement.</w:t>
      </w:r>
    </w:p>
    <w:p>
      <w:pPr>
        <w:spacing w:after="0" w:line="186"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funds deposited in the Escrow Account, and all other funds, interest, dividends, distributions and payments credited to the Escrow Account in connection with the Notes (less any property and/or funds paid in accordance with the Escrow Agreement) are referred to, collectively, as the “</w:t>
      </w:r>
      <w:r>
        <w:rPr>
          <w:rFonts w:ascii="Times New Roman" w:cs="Times New Roman" w:eastAsia="Times New Roman" w:hAnsi="Times New Roman"/>
          <w:sz w:val="18"/>
          <w:szCs w:val="18"/>
          <w:b w:val="1"/>
          <w:bCs w:val="1"/>
          <w:color w:val="auto"/>
        </w:rPr>
        <w:t>Escrowed Funds</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00"/>
          </w:cols>
          <w:pgMar w:left="440" w:top="270" w:right="459" w:bottom="1440" w:gutter="0" w:footer="0" w:header="0"/>
        </w:sectPr>
      </w:pPr>
    </w:p>
    <w:bookmarkStart w:id="756" w:name="page757"/>
    <w:bookmarkEnd w:id="756"/>
    <w:p>
      <w:pPr>
        <w:ind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13.02 </w:t>
      </w:r>
      <w:r>
        <w:rPr>
          <w:rFonts w:ascii="Times New Roman" w:cs="Times New Roman" w:eastAsia="Times New Roman" w:hAnsi="Times New Roman"/>
          <w:sz w:val="17"/>
          <w:szCs w:val="17"/>
          <w:i w:val="1"/>
          <w:iCs w:val="1"/>
          <w:u w:val="single" w:color="auto"/>
          <w:color w:val="auto"/>
        </w:rPr>
        <w:t>Release of Escrowed Funds</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The Escrow Agent shall only disburse amounts from the Escrow Account upon (a) delivery by the Issuer to the Escrow Agent and the Trustee of an officer’s certificate in accordance with the terms of the Escrow Agreement (the “</w:t>
      </w:r>
      <w:r>
        <w:rPr>
          <w:rFonts w:ascii="Times New Roman" w:cs="Times New Roman" w:eastAsia="Times New Roman" w:hAnsi="Times New Roman"/>
          <w:sz w:val="17"/>
          <w:szCs w:val="17"/>
          <w:b w:val="1"/>
          <w:bCs w:val="1"/>
          <w:color w:val="auto"/>
        </w:rPr>
        <w:t>Escrow Release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Officer’s Certificate</w:t>
      </w:r>
      <w:r>
        <w:rPr>
          <w:rFonts w:ascii="Times New Roman" w:cs="Times New Roman" w:eastAsia="Times New Roman" w:hAnsi="Times New Roman"/>
          <w:sz w:val="17"/>
          <w:szCs w:val="17"/>
          <w:color w:val="auto"/>
        </w:rPr>
        <w:t>”) certifying in the good faith judgment of the Issuer that the following conditions (collectively, the “</w:t>
      </w:r>
      <w:r>
        <w:rPr>
          <w:rFonts w:ascii="Times New Roman" w:cs="Times New Roman" w:eastAsia="Times New Roman" w:hAnsi="Times New Roman"/>
          <w:sz w:val="17"/>
          <w:szCs w:val="17"/>
          <w:b w:val="1"/>
          <w:bCs w:val="1"/>
          <w:color w:val="auto"/>
        </w:rPr>
        <w:t>Escrow Release Conditions</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will be met substantially concurrently with or promptly following the release of the Escrowed Funds on the Escrow Release Date: (i) the conditions precedent to borrowing under the term A and term B loan facilities under the Credit Agreements shall have been, or substantially concurrently shall be, satisfied or waived in all material respects and (ii) the Restructuring shall have been, or substantially concurrently shall be, consummated (the date of release of such Escrowed Funds in accordance with this clause (a) and the terms of the Escrow Agreement, the “</w:t>
      </w:r>
      <w:r>
        <w:rPr>
          <w:rFonts w:ascii="Times New Roman" w:cs="Times New Roman" w:eastAsia="Times New Roman" w:hAnsi="Times New Roman"/>
          <w:sz w:val="17"/>
          <w:szCs w:val="17"/>
          <w:b w:val="1"/>
          <w:bCs w:val="1"/>
          <w:color w:val="auto"/>
        </w:rPr>
        <w:t>Escrow Release Date</w:t>
      </w:r>
      <w:r>
        <w:rPr>
          <w:rFonts w:ascii="Times New Roman" w:cs="Times New Roman" w:eastAsia="Times New Roman" w:hAnsi="Times New Roman"/>
          <w:sz w:val="17"/>
          <w:szCs w:val="17"/>
          <w:color w:val="auto"/>
        </w:rPr>
        <w:t xml:space="preserve">”), or (b) the occurrence of a Special Mandatory Redemption Event pursuant to </w:t>
      </w: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hereof and in accordance with the terms of the Escrow Agreement.</w:t>
      </w:r>
    </w:p>
    <w:p>
      <w:pPr>
        <w:spacing w:after="0" w:line="17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i w:val="1"/>
          <w:iCs w:val="1"/>
          <w:u w:val="single" w:color="auto"/>
          <w:color w:val="auto"/>
        </w:rPr>
        <w:t>Trustee Direction to Execute Escrow Agreement</w:t>
      </w:r>
      <w:r>
        <w:rPr>
          <w:rFonts w:ascii="Times New Roman" w:cs="Times New Roman" w:eastAsia="Times New Roman" w:hAnsi="Times New Roman"/>
          <w:sz w:val="18"/>
          <w:szCs w:val="18"/>
          <w:color w:val="auto"/>
        </w:rPr>
        <w:t xml:space="preserve">. The Trustee is hereby authorized and directed to execute and deliver the Escrow Agreement. The Issuer shall grant the Trustee, for its benefit and the benefit of the Holders, subject to certain liens of the Escrow Agent, a first-priority security interest in the Escrow Account and the Escrowed Funds to secure the payment of the Special Mandatory Redemption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such liens and security interests shall automatically be released and terminated on the Escrow Account and Escrowed Funds at such time as the Escrowed Funds are released from the Escrow Account.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68" w:right="459" w:bottom="1440" w:gutter="0" w:footer="0" w:header="0"/>
        </w:sectPr>
      </w:pPr>
    </w:p>
    <w:bookmarkStart w:id="757" w:name="page758"/>
    <w:bookmarkEnd w:id="7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Indenture to be duly executed as of the date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James P. McCue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James P. McCue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Title: Vice President and Assistant Treasurer</w:t>
      </w:r>
    </w:p>
    <w:p>
      <w:pPr>
        <w:spacing w:after="0" w:line="23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Miriam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Miriam Molina</w:t>
      </w:r>
    </w:p>
    <w:p>
      <w:pPr>
        <w:spacing w:after="0" w:line="23" w:lineRule="exact"/>
        <w:rPr>
          <w:sz w:val="20"/>
          <w:szCs w:val="20"/>
          <w:color w:val="auto"/>
        </w:rPr>
      </w:pPr>
    </w:p>
    <w:p>
      <w:pPr>
        <w:jc w:val="center"/>
        <w:ind w:left="4800"/>
        <w:spacing w:after="0"/>
        <w:rPr>
          <w:sz w:val="20"/>
          <w:szCs w:val="20"/>
          <w:color w:val="auto"/>
        </w:rPr>
      </w:pPr>
      <w:r>
        <w:rPr>
          <w:rFonts w:ascii="Times New Roman" w:cs="Times New Roman" w:eastAsia="Times New Roman" w:hAnsi="Times New Roman"/>
          <w:sz w:val="18"/>
          <w:szCs w:val="18"/>
          <w:color w:val="auto"/>
        </w:rPr>
        <w:t>Title: Senior Trust Officer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CITIBANK, N.A., AS THE NOTES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COLLATERAL AGENT</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Miriam Molina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Miriam Molina</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Senior Trust Officer</w:t>
      </w:r>
    </w:p>
    <w:p>
      <w:pPr>
        <w:spacing w:after="0" w:line="13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9740"/>
          </w:cols>
          <w:pgMar w:left="880" w:top="270" w:right="1279" w:bottom="1440" w:gutter="0" w:footer="0" w:header="0"/>
        </w:sectPr>
      </w:pPr>
    </w:p>
    <w:bookmarkStart w:id="758" w:name="page759"/>
    <w:bookmarkEnd w:id="758"/>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VERSANT MEDIA GROUP, INC.</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7.250% SENIOR SECURED NOTES DUE 2031</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[FORM OF FACE OF NOTE]</w:t>
      </w:r>
    </w:p>
    <w:p>
      <w:pPr>
        <w:spacing w:after="0" w:line="225" w:lineRule="exact"/>
        <w:rPr>
          <w:sz w:val="20"/>
          <w:szCs w:val="20"/>
          <w:color w:val="auto"/>
        </w:rPr>
      </w:pPr>
    </w:p>
    <w:p>
      <w:pPr>
        <w:ind w:left="4" w:right="40" w:firstLine="4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TO THE ISSUER OR ITS AGENT FOR REGISTRATION OF TRANSFER, EXCHANGE OR PAYMENT, AND ANY CERTIFICATE ISSUED IS REGISTERED IN THE NAME OF CEDE &amp; CO. OR IN SUCH OTHER NAME AS IS REQUESTED BY AN AUTHORIZED REPRESENTATIVE OF THE DEPOSITORY TRUST COMPANY (AND ANY PAYMENT HEREON IS MADE TO CEDE &amp; CO. OR TO SUCH OTHER ENTITY AS IS REQUESTED BY AN AUTHORIZED REPRESENTATIVE OF THE DEPOSITORY TRUST COMPANY), ANY TRANSFER, PLEDGE OR OTHER USE HEREOF FOR VALUE OR OTHERWISE BY OR TO ANY PERSON IS WRONGFUL SINCE THE REGISTERED OWNER HEREOF, CEDE &amp; CO., HAS AN INTEREST HEREIN. THIS NOTE IS A GLOBAL NOTE WITHIN THE MEANING OF THE INDENTURE HEREINAFTER REFERRED TO AND IS REGISTERED IN THE NAME OF A DEPOSITARY OR A NOMINEE THEREOF. THIS NOTE IS EXCHANGEABLE FOR SECURITIES REGISTERED IN THE NAME OF A PERSON OTHER THAN THE DEPOSITARY OR ITS NOMINEE ONLY IN THE LIMITED CIRCUMSTANCES DESCRIBED IN THE INDENTURE AND, UNLESS AND UNTIL IT IS EXCHANGED IN WHOLE OR IN PART FOR SECURITIES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r>
        <w:rPr>
          <w:rFonts w:ascii="Times New Roman" w:cs="Times New Roman" w:eastAsia="Times New Roman" w:hAnsi="Times New Roman"/>
          <w:sz w:val="26"/>
          <w:szCs w:val="26"/>
          <w:color w:val="auto"/>
          <w:vertAlign w:val="superscript"/>
        </w:rPr>
        <w:t>1</w:t>
      </w:r>
    </w:p>
    <w:p>
      <w:pPr>
        <w:spacing w:after="0" w:line="63" w:lineRule="exact"/>
        <w:rPr>
          <w:sz w:val="20"/>
          <w:szCs w:val="20"/>
          <w:color w:val="auto"/>
        </w:rPr>
      </w:pPr>
    </w:p>
    <w:p>
      <w:pPr>
        <w:ind w:left="4" w:right="40" w:firstLine="440"/>
        <w:spacing w:after="0" w:line="269" w:lineRule="auto"/>
        <w:rPr>
          <w:sz w:val="20"/>
          <w:szCs w:val="20"/>
          <w:color w:val="auto"/>
        </w:rPr>
      </w:pPr>
      <w:r>
        <w:rPr>
          <w:rFonts w:ascii="Times New Roman" w:cs="Times New Roman" w:eastAsia="Times New Roman" w:hAnsi="Times New Roman"/>
          <w:sz w:val="17"/>
          <w:szCs w:val="17"/>
          <w:color w:val="auto"/>
        </w:rPr>
        <w:t>[THIS NOTE HAS NOT BEEN REGISTERED UNDER THE U.S. SECURITIES ACT OF 1933, AS AMENDED (THE “SECURITIES ACT”),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(B) IT IS NOT A U.S. PERSON AND IS ACQUIRING THIS NOTE IN AN OFFSHORE TRANSACTION IN COMPLIANCE WITH RULE 904 UNDER THE SECURITIES ACT OR</w:t>
      </w:r>
    </w:p>
    <w:p>
      <w:pPr>
        <w:spacing w:after="0" w:line="3" w:lineRule="exact"/>
        <w:rPr>
          <w:sz w:val="20"/>
          <w:szCs w:val="20"/>
          <w:color w:val="auto"/>
        </w:rPr>
      </w:pPr>
    </w:p>
    <w:p>
      <w:pPr>
        <w:ind w:left="284" w:hanging="284"/>
        <w:spacing w:after="0"/>
        <w:tabs>
          <w:tab w:leader="none" w:pos="284" w:val="left"/>
        </w:tabs>
        <w:numPr>
          <w:ilvl w:val="0"/>
          <w:numId w:val="10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AN ACCREDITED INVESTOR (AS DEFINED IN RULE 501(a)(1), (2), (3), OR (7) UNDER THE SECURITIES ACT (AN</w:t>
      </w:r>
    </w:p>
    <w:p>
      <w:pPr>
        <w:spacing w:after="0" w:line="9" w:lineRule="exact"/>
        <w:rPr>
          <w:rFonts w:ascii="Times New Roman" w:cs="Times New Roman" w:eastAsia="Times New Roman" w:hAnsi="Times New Roman"/>
          <w:sz w:val="18"/>
          <w:szCs w:val="18"/>
          <w:color w:val="auto"/>
        </w:rPr>
      </w:pPr>
    </w:p>
    <w:p>
      <w:pPr>
        <w:jc w:val="both"/>
        <w:ind w:left="4" w:right="8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“ACCREDITED INVESTOR”)), (2) AGREES THAT IT WILL NOT PRIOR TO THE FIRST ANNIVERSARY OF THE ORIGINAL ISSUANCE OF THIS NOTE RESELL OR OTHERWISE TRANSFER THIS NOTE EXCEPT (A) TO THE ISSUER OR ANY SUBSIDIARY THEREOF, (B) INSIDE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68580</wp:posOffset>
            </wp:positionV>
            <wp:extent cx="77152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4" w:lineRule="exact"/>
        <w:rPr>
          <w:sz w:val="20"/>
          <w:szCs w:val="20"/>
          <w:color w:val="auto"/>
        </w:rPr>
      </w:pPr>
    </w:p>
    <w:p>
      <w:pPr>
        <w:ind w:left="424" w:hanging="424"/>
        <w:spacing w:after="0"/>
        <w:tabs>
          <w:tab w:leader="none" w:pos="424" w:val="left"/>
        </w:tabs>
        <w:numPr>
          <w:ilvl w:val="0"/>
          <w:numId w:val="100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if the Note is a Global Note.</w:t>
      </w:r>
    </w:p>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70" w:right="439" w:bottom="1440" w:gutter="0" w:footer="0" w:header="0"/>
        </w:sectPr>
      </w:pPr>
    </w:p>
    <w:bookmarkStart w:id="759" w:name="page760"/>
    <w:bookmarkEnd w:id="7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UNITED STATES TO A QUALIFIED INSTITUTIONAL BUYER IN COMPLIANCE WITH RULE 144A UNDER THE SECURITIES ACT,</w:t>
      </w:r>
    </w:p>
    <w:p>
      <w:pPr>
        <w:spacing w:after="0" w:line="27" w:lineRule="exact"/>
        <w:rPr>
          <w:sz w:val="20"/>
          <w:szCs w:val="20"/>
          <w:color w:val="auto"/>
        </w:rPr>
      </w:pPr>
    </w:p>
    <w:p>
      <w:pPr>
        <w:ind w:left="4" w:right="20" w:hanging="4"/>
        <w:spacing w:after="0" w:line="253" w:lineRule="auto"/>
        <w:tabs>
          <w:tab w:leader="none" w:pos="289"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 THE UNITED STATES TO AN ACCREDITED INVESTOR THAT, PRIOR TO SUCH TRANSFER, FURNISHES (OR HAS FURNISHED ON ITS BEHALF BY A U.S. BROKER- DEALER) TO THE TRUSTEE A SIGNED LETTER CONTAINING CERTAIN REPRESENTATIONS AND AGREEMENTS RELATING TO THE RESTRICTIONS ON TRANSFER OF THIS NOTE (THE FORM OF WHICH LETTER CAN BE OBTAINED FROM THE TRUSTEE FOR THIS NOTE) IN A MINIMUM PRINCIPAL AMOUNT OF NOTES OF $250,000, (D) OUTSIDE THE UNITED STATES IN AN OFFSHORE TRANSACTION IN COMPLIANCE WITH RULE 904 UNDER THE SECURITIES ACT (IF AVAILABLE), (E) PURSUANT TO THE EXEMPTION FROM REGISTRATION PROVIDED BY RULE 144 UNDER THE SECURITIES ACT (IF AVAILABLE), (F) IN ACCORDANCE WITH ANOTHER EXEMPTION FROM THE REGISTRATION REQUIREMENTS OF THE SECURITIES ACT (AND BASED UPON AN OPINION OF COUNSEL IF THE ISSUER SO REQUESTS), OR (G) PURSUANT TO AN EFFECTIVE REGISTRATION STATEMENT UNDER THE SECURITIES ACT AND (3) AGREES THAT IT WILL GIVE TO EACH PERSON TO WHOM THIS NOTE IS TRANSFERRED A NOTICE SUBSTANTIALLY TO THE EFFECT OF THIS LEGEND. IN CONNECTION WITH ANY TRANSFER OF THIS NOTE WITHIN ONE YEAR AFTER THE ORIGINAL ISSUANCE OF THIS NOTE,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r>
        <w:rPr>
          <w:rFonts w:ascii="Times New Roman" w:cs="Times New Roman" w:eastAsia="Times New Roman" w:hAnsi="Times New Roman"/>
          <w:sz w:val="26"/>
          <w:szCs w:val="26"/>
          <w:color w:val="auto"/>
          <w:vertAlign w:val="superscript"/>
        </w:rPr>
        <w:t>2</w:t>
      </w:r>
    </w:p>
    <w:p>
      <w:pPr>
        <w:spacing w:after="0" w:line="66" w:lineRule="exact"/>
        <w:rPr>
          <w:sz w:val="20"/>
          <w:szCs w:val="20"/>
          <w:color w:val="auto"/>
        </w:rPr>
      </w:pPr>
    </w:p>
    <w:p>
      <w:pPr>
        <w:ind w:left="4" w:firstLine="440"/>
        <w:spacing w:after="0" w:line="265" w:lineRule="auto"/>
        <w:rPr>
          <w:sz w:val="20"/>
          <w:szCs w:val="20"/>
          <w:color w:val="auto"/>
        </w:rPr>
      </w:pPr>
      <w:r>
        <w:rPr>
          <w:rFonts w:ascii="Times New Roman" w:cs="Times New Roman" w:eastAsia="Times New Roman" w:hAnsi="Times New Roman"/>
          <w:sz w:val="18"/>
          <w:szCs w:val="18"/>
          <w:color w:val="auto"/>
        </w:rPr>
        <w:t>[THIS NOTE AND ANY RELATED DOCUMENTATION MAY BE AMENDED OR SUPPLEMENTED FROM TIME TO TIME TO MODIFY THE RESTRICTIONS ON RESALES AND OTHER TRANSFERS OF THIS NOTE TO REFLECT ANY CHANGE IN APPLICABLE LAW OR REGULATION (OR THE INTERPRETATION THEREOF) OR IN PRACTICES RELATING TO THE RESALE OR TRANSFER OF RESTRICTED SECURITIES GENERALLY. THE HOLDER OF THIS NOTE SHALL BE DEEMED BY THE ACCEPTANCE OF THIS NOTE TO HAVE AGREED TO ANY SUCH AMENDMENT OR SUPPLEMENT.]</w:t>
      </w:r>
      <w:r>
        <w:rPr>
          <w:rFonts w:ascii="Times New Roman" w:cs="Times New Roman" w:eastAsia="Times New Roman" w:hAnsi="Times New Roman"/>
          <w:sz w:val="26"/>
          <w:szCs w:val="26"/>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wp:posOffset>
            </wp:positionV>
            <wp:extent cx="771525"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ind w:left="424" w:hanging="424"/>
        <w:spacing w:after="0" w:line="200" w:lineRule="auto"/>
        <w:tabs>
          <w:tab w:leader="none" w:pos="424" w:val="left"/>
        </w:tabs>
        <w:numPr>
          <w:ilvl w:val="0"/>
          <w:numId w:val="100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if the Note is a Restricted Note.</w:t>
      </w:r>
    </w:p>
    <w:p>
      <w:pPr>
        <w:ind w:left="424" w:hanging="424"/>
        <w:spacing w:after="0" w:line="180" w:lineRule="auto"/>
        <w:tabs>
          <w:tab w:leader="none" w:pos="424" w:val="left"/>
        </w:tabs>
        <w:numPr>
          <w:ilvl w:val="0"/>
          <w:numId w:val="1009"/>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only if the Note is a Restricted Note.</w:t>
      </w:r>
    </w:p>
    <w:p>
      <w:pPr>
        <w:spacing w:after="0" w:line="1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984"/>
          </w:cols>
          <w:pgMar w:left="436" w:top="270" w:right="479" w:bottom="1440" w:gutter="0" w:footer="0" w:header="0"/>
        </w:sectPr>
      </w:pPr>
    </w:p>
    <w:bookmarkStart w:id="760" w:name="page761"/>
    <w:bookmarkEnd w:id="760"/>
    <w:p>
      <w:pPr>
        <w:jc w:val="center"/>
        <w:ind w:right="-3"/>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VERSANT MEDIA GROUP, INC.</w:t>
      </w:r>
    </w:p>
    <w:p>
      <w:pPr>
        <w:spacing w:after="0" w:line="23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CUSIP: 144A: 925283 AA1, Reg. S: U91919 AA5</w:t>
      </w:r>
    </w:p>
    <w:p>
      <w:pPr>
        <w:sectPr>
          <w:pgSz w:w="11900" w:h="16838" w:orient="portrait"/>
          <w:cols w:equalWidth="0" w:num="1">
            <w:col w:w="11024"/>
          </w:cols>
          <w:pgMar w:left="436" w:top="270"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ISIN: 144A: US925283AA12, Reg. S: USU91919AA59</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 ]</w:t>
      </w:r>
    </w:p>
    <w:p>
      <w:pPr>
        <w:spacing w:after="0" w:line="200" w:lineRule="exact"/>
        <w:rPr>
          <w:sz w:val="20"/>
          <w:szCs w:val="20"/>
          <w:color w:val="auto"/>
        </w:rPr>
      </w:pPr>
    </w:p>
    <w:p>
      <w:pPr>
        <w:sectPr>
          <w:pgSz w:w="11900" w:h="16838" w:orient="portrait"/>
          <w:cols w:equalWidth="0" w:num="2">
            <w:col w:w="9824" w:space="720"/>
            <w:col w:w="480"/>
          </w:cols>
          <w:pgMar w:left="436" w:top="270" w:right="439" w:bottom="1440" w:gutter="0" w:footer="0" w:header="0"/>
          <w:type w:val="continuous"/>
        </w:sectPr>
      </w:pPr>
    </w:p>
    <w:p>
      <w:pPr>
        <w:spacing w:after="0" w:line="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7"/>
          <w:szCs w:val="17"/>
          <w:color w:val="auto"/>
        </w:rPr>
        <w:t>7.250% SENIOR SECURED NOTES DUE 2031</w:t>
      </w:r>
    </w:p>
    <w:p>
      <w:pPr>
        <w:sectPr>
          <w:pgSz w:w="11900" w:h="16838" w:orient="portrait"/>
          <w:cols w:equalWidth="0" w:num="1">
            <w:col w:w="11024"/>
          </w:cols>
          <w:pgMar w:left="436" w:top="270" w:right="439" w:bottom="1440" w:gutter="0" w:footer="0" w:header="0"/>
          <w:type w:val="continuous"/>
        </w:sectPr>
      </w:pPr>
    </w:p>
    <w:p>
      <w:pPr>
        <w:spacing w:after="0" w:line="233" w:lineRule="exact"/>
        <w:rPr>
          <w:sz w:val="20"/>
          <w:szCs w:val="20"/>
          <w:color w:val="auto"/>
        </w:rPr>
      </w:pPr>
    </w:p>
    <w:p>
      <w:pPr>
        <w:ind w:left="4" w:right="180" w:firstLine="440"/>
        <w:spacing w:after="0" w:line="278" w:lineRule="auto"/>
        <w:rPr>
          <w:sz w:val="20"/>
          <w:szCs w:val="20"/>
          <w:color w:val="auto"/>
        </w:rPr>
      </w:pPr>
      <w:r>
        <w:rPr>
          <w:rFonts w:ascii="Times New Roman" w:cs="Times New Roman" w:eastAsia="Times New Roman" w:hAnsi="Times New Roman"/>
          <w:sz w:val="17"/>
          <w:szCs w:val="17"/>
          <w:color w:val="auto"/>
        </w:rPr>
        <w:t>Versant Media Group, Inc., a corporation organized under the laws of Pennsylvania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which term shall include any successor corporation under the Indenture referred to on the reverse hereof) promises to pay to ______________________________ or its registered assigns, the</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principal sum of ________________________ Dollars ($__________) on January 30, 2031 [or such greater or lesser amount as is indicated on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Schedule of Exchanges of Notes on the other side of this Note]</w:t>
      </w:r>
      <w:r>
        <w:rPr>
          <w:rFonts w:ascii="Times New Roman" w:cs="Times New Roman" w:eastAsia="Times New Roman" w:hAnsi="Times New Roman"/>
          <w:sz w:val="26"/>
          <w:szCs w:val="26"/>
          <w:color w:val="auto"/>
          <w:vertAlign w:val="superscript"/>
        </w:rPr>
        <w:t>4</w:t>
      </w:r>
      <w:r>
        <w:rPr>
          <w:rFonts w:ascii="Times New Roman" w:cs="Times New Roman" w:eastAsia="Times New Roman" w:hAnsi="Times New Roman"/>
          <w:sz w:val="18"/>
          <w:szCs w:val="18"/>
          <w:color w:val="auto"/>
        </w:rPr>
        <w:t xml:space="preserve"> and to pay interest thereon as provided on the other side of this Note.</w:t>
      </w:r>
    </w:p>
    <w:p>
      <w:pPr>
        <w:spacing w:after="0" w:line="11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Interest Payment Dates: January 30 and July 30, beginning July 30, 2026.</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Record Dates: January 15 and July 15.</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WITNESS WHEREOF, the Issuer has caused this instrument to be duly executed.</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2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Trustee’s Certificate of Authentication: This is one of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 referred to in the within-mentioned Indenture for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7.250% Senior Secured Notes due 2031.</w:t>
      </w: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CITIBANK, N.A., as Trustee</w:t>
      </w:r>
    </w:p>
    <w:p>
      <w:pPr>
        <w:spacing w:after="0" w:line="2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7">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7" w:lineRule="exact"/>
        <w:rPr>
          <w:sz w:val="20"/>
          <w:szCs w:val="20"/>
          <w:color w:val="auto"/>
        </w:rPr>
      </w:pPr>
    </w:p>
    <w:p>
      <w:pPr>
        <w:ind w:left="624"/>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360045</wp:posOffset>
            </wp:positionH>
            <wp:positionV relativeFrom="paragraph">
              <wp:posOffset>17145</wp:posOffset>
            </wp:positionV>
            <wp:extent cx="243459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8">
                      <a:extLst>
                        <a:ext uri="{28A0092B-C50C-407E-A947-70E740481C1C}"/>
                      </a:extLst>
                    </a:blip>
                    <a:srcRect/>
                    <a:stretch>
                      <a:fillRect/>
                    </a:stretch>
                  </pic:blipFill>
                  <pic:spPr bwMode="auto">
                    <a:xfrm>
                      <a:off x="0" y="0"/>
                      <a:ext cx="24345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71525"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5" w:lineRule="exact"/>
        <w:rPr>
          <w:sz w:val="20"/>
          <w:szCs w:val="20"/>
          <w:color w:val="auto"/>
        </w:rPr>
      </w:pPr>
    </w:p>
    <w:p>
      <w:pPr>
        <w:ind w:left="424" w:hanging="424"/>
        <w:spacing w:after="0"/>
        <w:tabs>
          <w:tab w:leader="none" w:pos="424" w:val="left"/>
        </w:tabs>
        <w:numPr>
          <w:ilvl w:val="0"/>
          <w:numId w:val="1010"/>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if the Note is a Global Note.</w:t>
      </w:r>
    </w:p>
    <w:p>
      <w:pPr>
        <w:spacing w:after="0" w:line="13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4"/>
          </w:cols>
          <w:pgMar w:left="436" w:top="270" w:right="439" w:bottom="1440" w:gutter="0" w:footer="0" w:header="0"/>
          <w:type w:val="continuous"/>
        </w:sectPr>
      </w:pPr>
    </w:p>
    <w:bookmarkStart w:id="761" w:name="page762"/>
    <w:bookmarkEnd w:id="761"/>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NOTE]</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11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7.250% SENIOR SECURED NOTES DUE 2031</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INTEREST</w:t>
      </w:r>
    </w:p>
    <w:p>
      <w:pPr>
        <w:spacing w:after="0" w:line="113"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The Issuer shall pay interest on this Note semiannually in arrears on January 30 and July 30, each an “</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of each year, commencing on July 30, 2026, at the rate per annum specified in the title of this Note. Interest shall accrue from and including October 29, 2025, or else the most recent interest payment date to which interest had been paid or duly provided for to but excluding the date on which such interest is paid. Interest on this Note will be computed on the basis of a 360-day year of twelve 30-day months.</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Issuer shall, (in immediately available funds) to the fullest extent permitted by law, pay interest on overdue principal (including premium, if any) and overdue installments of interest from the original due date to the date paid, at the rate applicable to this Note, which interest shall be payable on demand.</w:t>
      </w:r>
    </w:p>
    <w:p>
      <w:pPr>
        <w:spacing w:after="0" w:line="176"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The interest so payable and punctually paid or duly provided for on any interest payment date will be paid to the Person in whose name this Note is registered at the close of business on January 15 and July 15 preceding such interest payment date (the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except as provided in the Indenture. Payment of the principal of (and premium, if any) and interest on this Note will be made in such coin or currency of the United States of America as at the time of payment is legal tender for payment of public and private debts and as otherwise provided in the Indenture.</w:t>
      </w:r>
    </w:p>
    <w:p>
      <w:pPr>
        <w:spacing w:after="0" w:line="180"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If an interest payment date is not a Business Day, payment shall be made on the next succeeding day that is a Business Day, and no interest shall accrue for the intervening period. If a regular record date is not a Business Day, the record date shall not be affected.</w:t>
      </w:r>
    </w:p>
    <w:p>
      <w:pPr>
        <w:spacing w:after="0" w:line="27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 METHOD OF PAYMENT</w:t>
      </w:r>
    </w:p>
    <w:p>
      <w:pPr>
        <w:spacing w:after="0" w:line="117" w:lineRule="exact"/>
        <w:rPr>
          <w:sz w:val="20"/>
          <w:szCs w:val="20"/>
          <w:color w:val="auto"/>
        </w:rPr>
      </w:pPr>
    </w:p>
    <w:p>
      <w:pPr>
        <w:ind w:left="4" w:right="20" w:firstLine="440"/>
        <w:spacing w:after="0" w:line="221" w:lineRule="auto"/>
        <w:rPr>
          <w:sz w:val="20"/>
          <w:szCs w:val="20"/>
          <w:color w:val="auto"/>
        </w:rPr>
      </w:pPr>
      <w:r>
        <w:rPr>
          <w:rFonts w:ascii="Times New Roman" w:cs="Times New Roman" w:eastAsia="Times New Roman" w:hAnsi="Times New Roman"/>
          <w:sz w:val="18"/>
          <w:szCs w:val="18"/>
          <w:color w:val="auto"/>
        </w:rPr>
        <w:t>[The Issuer will make payments in respect of this Note (including principal, premium, if any, interest) by wire transfer of immediately available funds to the accounts specified by the Holder.]</w:t>
      </w:r>
      <w:r>
        <w:rPr>
          <w:rFonts w:ascii="Times New Roman" w:cs="Times New Roman" w:eastAsia="Times New Roman" w:hAnsi="Times New Roman"/>
          <w:sz w:val="26"/>
          <w:szCs w:val="26"/>
          <w:color w:val="auto"/>
          <w:vertAlign w:val="superscript"/>
        </w:rPr>
        <w:t>5</w:t>
      </w:r>
      <w:r>
        <w:rPr>
          <w:rFonts w:ascii="Times New Roman" w:cs="Times New Roman" w:eastAsia="Times New Roman" w:hAnsi="Times New Roman"/>
          <w:sz w:val="18"/>
          <w:szCs w:val="18"/>
          <w:color w:val="auto"/>
        </w:rPr>
        <w:t xml:space="preserve"> [The Issuer will make all payments of principal, interest and premium, if any, with respect to this Note by wire transfer of immediately available funds to the accounts specified by the Holders, in the case of a Holder holding an aggregate principal amount of Notes of $1,000,000 or more, or, if no such account is specified or in the case of a Holder holding an aggregate principal amount of Notes of less than $1,000,000, by mailing a check to each such Holder’s registered address.]</w:t>
      </w:r>
      <w:r>
        <w:rPr>
          <w:rFonts w:ascii="Times New Roman" w:cs="Times New Roman" w:eastAsia="Times New Roman" w:hAnsi="Times New Roman"/>
          <w:sz w:val="26"/>
          <w:szCs w:val="26"/>
          <w:color w:val="auto"/>
          <w:vertAlign w:val="superscript"/>
        </w:rPr>
        <w:t>6</w:t>
      </w:r>
      <w:r>
        <w:rPr>
          <w:rFonts w:ascii="Times New Roman" w:cs="Times New Roman" w:eastAsia="Times New Roman" w:hAnsi="Times New Roman"/>
          <w:sz w:val="18"/>
          <w:szCs w:val="18"/>
          <w:color w:val="auto"/>
        </w:rPr>
        <w:t xml:space="preserve"> All payments shall be made in immediately available funds in such coin or currency of the United States of America as at the time of payment is legal 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95250</wp:posOffset>
            </wp:positionV>
            <wp:extent cx="77152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76" w:lineRule="exact"/>
        <w:rPr>
          <w:sz w:val="20"/>
          <w:szCs w:val="20"/>
          <w:color w:val="auto"/>
        </w:rPr>
      </w:pPr>
    </w:p>
    <w:p>
      <w:pPr>
        <w:ind w:left="424" w:hanging="424"/>
        <w:spacing w:after="0"/>
        <w:tabs>
          <w:tab w:leader="none" w:pos="424" w:val="left"/>
        </w:tabs>
        <w:numPr>
          <w:ilvl w:val="0"/>
          <w:numId w:val="101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Include only if the Note is a Global Note.</w:t>
      </w:r>
    </w:p>
    <w:p>
      <w:pPr>
        <w:ind w:left="424" w:hanging="424"/>
        <w:spacing w:after="0" w:line="180" w:lineRule="auto"/>
        <w:tabs>
          <w:tab w:leader="none" w:pos="424" w:val="left"/>
        </w:tabs>
        <w:numPr>
          <w:ilvl w:val="0"/>
          <w:numId w:val="1012"/>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Include only if the Note is a Definitive Note.</w:t>
      </w:r>
    </w:p>
    <w:p>
      <w:pPr>
        <w:spacing w:after="0" w:line="1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4"/>
          </w:cols>
          <w:pgMar w:left="436" w:top="270" w:right="459" w:bottom="1440" w:gutter="0" w:footer="0" w:header="0"/>
        </w:sectPr>
      </w:pPr>
    </w:p>
    <w:bookmarkStart w:id="762" w:name="page763"/>
    <w:bookmarkEnd w:id="762"/>
    <w:p>
      <w:pPr>
        <w:ind w:left="4"/>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payment of public and private debts. Payments to any Holder holding an aggregate principal amount of Notes in excess of $1,000,000 shall be made by wire transfer in immediately available funds to an account maintained by such Holder in the United States, if such Holder has provided wire transfer instructions to the Issuer at least 10 Business Days prior to the payment date. Any wire transfer instructions received by the Trustee will remain in effect until revoked by the Holder. Notwithstanding the foregoing, so long as this Note is registered in the name of a Depositary or its nominee, all payments hereon shall be made by wire transfer of immediately available funds to the account of the Depositary or its nominee.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3. PAYING AGENT AND REGISTRAR</w:t>
      </w:r>
    </w:p>
    <w:p>
      <w:pPr>
        <w:spacing w:after="0" w:line="221"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Initially, Citibank, N.A.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 will act as Paying Agent and Registrar. The Issuer may change any Paying Agent or Registrar without notice to the Holder. The Issuer or any of their Subsidiaries may, subject to certain limitations set forth in the Indenture, act as Paying Agent or Registrar.</w:t>
      </w:r>
    </w:p>
    <w:p>
      <w:pPr>
        <w:spacing w:after="0" w:line="1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4. INDENTURE, LIMITATIONS</w:t>
      </w:r>
    </w:p>
    <w:p>
      <w:pPr>
        <w:spacing w:after="0" w:line="221" w:lineRule="exact"/>
        <w:rPr>
          <w:sz w:val="20"/>
          <w:szCs w:val="20"/>
          <w:color w:val="auto"/>
        </w:rPr>
      </w:pPr>
    </w:p>
    <w:p>
      <w:pPr>
        <w:ind w:left="4" w:right="100" w:firstLine="440"/>
        <w:spacing w:after="0" w:line="259" w:lineRule="auto"/>
        <w:rPr>
          <w:sz w:val="20"/>
          <w:szCs w:val="20"/>
          <w:color w:val="auto"/>
        </w:rPr>
      </w:pPr>
      <w:r>
        <w:rPr>
          <w:rFonts w:ascii="Times New Roman" w:cs="Times New Roman" w:eastAsia="Times New Roman" w:hAnsi="Times New Roman"/>
          <w:sz w:val="18"/>
          <w:szCs w:val="18"/>
          <w:color w:val="auto"/>
        </w:rPr>
        <w:t>This Note is one of a duly authorized issue of Notes of the Issuer designated as its 7.250% Senior Secured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issued under an Indenture dated as of October 29, 2025 (together with any supplemental indentures thereto,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the Issuer, the Guarantors, the Trustee and the Notes Collateral Agent. The terms of this Note include those stated in the Indenture. This Note is subject to all such terms, and the Holder of this Note is referred to the Indenture for a statement thereof. Capitalized terms used and not defined herein have the meanings assigned to such terms in the Indenture.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Issuer shall be entitled to issue Additional Notes pursuant to </w:t>
      </w:r>
      <w:r>
        <w:rPr>
          <w:rFonts w:ascii="Times New Roman" w:cs="Times New Roman" w:eastAsia="Times New Roman" w:hAnsi="Times New Roman"/>
          <w:sz w:val="18"/>
          <w:szCs w:val="18"/>
          <w:u w:val="single" w:color="auto"/>
          <w:color w:val="auto"/>
        </w:rPr>
        <w:t>Section 2.01(c)</w:t>
      </w:r>
      <w:r>
        <w:rPr>
          <w:rFonts w:ascii="Times New Roman" w:cs="Times New Roman" w:eastAsia="Times New Roman" w:hAnsi="Times New Roman"/>
          <w:sz w:val="18"/>
          <w:szCs w:val="18"/>
          <w:color w:val="auto"/>
        </w:rPr>
        <w:t xml:space="preserve"> of the Indenture.</w:t>
      </w:r>
    </w:p>
    <w:p>
      <w:pPr>
        <w:spacing w:after="0" w:line="225" w:lineRule="exact"/>
        <w:rPr>
          <w:sz w:val="20"/>
          <w:szCs w:val="20"/>
          <w:color w:val="auto"/>
        </w:rPr>
      </w:pPr>
    </w:p>
    <w:p>
      <w:pPr>
        <w:ind w:left="4" w:right="320" w:hanging="4"/>
        <w:spacing w:after="0" w:line="282" w:lineRule="auto"/>
        <w:tabs>
          <w:tab w:leader="none" w:pos="184"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REDEMPTION; PURCHASE OF NOTES AT OPTION OF HOLDER; OFFER TO PURCHASE BY APPLICATION OF EXCESS PROCEEDS</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89" w:val="left"/>
        </w:tabs>
        <w:numPr>
          <w:ilvl w:val="1"/>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 xml:space="preserve">. The Notes are redeemable at the option of the Issuer at the prices, and upon the terms and conditions, set forth in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of the Indenture.</w:t>
      </w:r>
    </w:p>
    <w:p>
      <w:pPr>
        <w:spacing w:after="0" w:line="157" w:lineRule="exact"/>
        <w:rPr>
          <w:rFonts w:ascii="Times New Roman" w:cs="Times New Roman" w:eastAsia="Times New Roman" w:hAnsi="Times New Roman"/>
          <w:sz w:val="18"/>
          <w:szCs w:val="18"/>
          <w:color w:val="auto"/>
        </w:rPr>
      </w:pPr>
    </w:p>
    <w:p>
      <w:pPr>
        <w:ind w:left="4" w:right="40" w:firstLine="436"/>
        <w:spacing w:after="0" w:line="274" w:lineRule="auto"/>
        <w:tabs>
          <w:tab w:leader="none" w:pos="699" w:val="left"/>
        </w:tabs>
        <w:numPr>
          <w:ilvl w:val="1"/>
          <w:numId w:val="10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Purchase of Notes at Option of Holder</w:t>
      </w:r>
      <w:r>
        <w:rPr>
          <w:rFonts w:ascii="Times New Roman" w:cs="Times New Roman" w:eastAsia="Times New Roman" w:hAnsi="Times New Roman"/>
          <w:sz w:val="17"/>
          <w:szCs w:val="17"/>
          <w:color w:val="auto"/>
        </w:rPr>
        <w:t>. If there is a Change of Control, the Issuer shall be required to make an offer (a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Offer</w:t>
      </w:r>
      <w:r>
        <w:rPr>
          <w:rFonts w:ascii="Times New Roman" w:cs="Times New Roman" w:eastAsia="Times New Roman" w:hAnsi="Times New Roman"/>
          <w:sz w:val="17"/>
          <w:szCs w:val="17"/>
          <w:color w:val="auto"/>
        </w:rPr>
        <w:t>”) to repurchase all or any part (equal to $2,000 or an integral multiple of $1,000 in excess thereof) of each Holder’s Notes at a purchase price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equal to 101% of the aggregate principal amount thereof plus accrued and unpaid interest thereon, if any, to, but excluding, the date of purchase. Within</w:t>
      </w:r>
    </w:p>
    <w:p>
      <w:pPr>
        <w:ind w:left="4" w:right="20" w:hanging="4"/>
        <w:spacing w:after="0" w:line="260" w:lineRule="auto"/>
        <w:tabs>
          <w:tab w:leader="none" w:pos="229"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any Change of Control, the Issuer shall transmit a notice to each Holder setting forth the procedures governing the Change of Control Offer as required by the Indenture.</w:t>
      </w:r>
    </w:p>
    <w:p>
      <w:pPr>
        <w:spacing w:after="0" w:line="181"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89" w:val="left"/>
        </w:tabs>
        <w:numPr>
          <w:ilvl w:val="1"/>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to Purchase by Application of Excess Proceeds</w:t>
      </w:r>
      <w:r>
        <w:rPr>
          <w:rFonts w:ascii="Times New Roman" w:cs="Times New Roman" w:eastAsia="Times New Roman" w:hAnsi="Times New Roman"/>
          <w:sz w:val="18"/>
          <w:szCs w:val="18"/>
          <w:color w:val="auto"/>
        </w:rPr>
        <w:t>. After the Issuer or a Restricted Subsidiary consummates any Asset Sale, the Issuer may be required to purchase Notes, as further specified in the Indenture.</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64"/>
          </w:cols>
          <w:pgMar w:left="436" w:top="270" w:right="499" w:bottom="1440" w:gutter="0" w:footer="0" w:header="0"/>
        </w:sectPr>
      </w:pPr>
    </w:p>
    <w:bookmarkStart w:id="763" w:name="page764"/>
    <w:bookmarkEnd w:id="763"/>
    <w:p>
      <w:pPr>
        <w:ind w:left="4" w:right="60" w:firstLine="436"/>
        <w:spacing w:after="0" w:line="261" w:lineRule="auto"/>
        <w:tabs>
          <w:tab w:leader="none" w:pos="699" w:val="left"/>
        </w:tabs>
        <w:numPr>
          <w:ilvl w:val="1"/>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Redemption</w:t>
      </w:r>
      <w:r>
        <w:rPr>
          <w:rFonts w:ascii="Times New Roman" w:cs="Times New Roman" w:eastAsia="Times New Roman" w:hAnsi="Times New Roman"/>
          <w:sz w:val="18"/>
          <w:szCs w:val="18"/>
          <w:color w:val="auto"/>
        </w:rPr>
        <w:t>. Notice of redemption will be given at least 10 days but not more than 60 days before the Redemption Date to each Holder whose Notes are to be redeemed at its registered address. Notes in denominations larger than $2,000 may be redeemed in part but only in whole multiples of $1,000, unless all of the Notes held by a Holder are to be redeemed. On and after the Redemption Date, subject to satisfaction of any conditions precedent, interest ceases to accrue on Notes or portions thereof called for redemption.</w:t>
      </w:r>
    </w:p>
    <w:p>
      <w:pPr>
        <w:spacing w:after="0" w:line="179"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0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REDEMPTION.</w:t>
      </w:r>
    </w:p>
    <w:p>
      <w:pPr>
        <w:spacing w:after="0" w:line="225" w:lineRule="exact"/>
        <w:rPr>
          <w:sz w:val="20"/>
          <w:szCs w:val="20"/>
          <w:color w:val="auto"/>
        </w:rPr>
      </w:pPr>
    </w:p>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Except as set forth in paragraph 7 of this Note and </w:t>
      </w:r>
      <w:r>
        <w:rPr>
          <w:rFonts w:ascii="Times New Roman" w:cs="Times New Roman" w:eastAsia="Times New Roman" w:hAnsi="Times New Roman"/>
          <w:sz w:val="18"/>
          <w:szCs w:val="18"/>
          <w:u w:val="single" w:color="auto"/>
          <w:color w:val="auto"/>
        </w:rPr>
        <w:t>Section 3.16</w:t>
      </w:r>
      <w:r>
        <w:rPr>
          <w:rFonts w:ascii="Times New Roman" w:cs="Times New Roman" w:eastAsia="Times New Roman" w:hAnsi="Times New Roman"/>
          <w:sz w:val="18"/>
          <w:szCs w:val="18"/>
          <w:color w:val="auto"/>
        </w:rPr>
        <w:t xml:space="preserve"> of the Indenture, the Issuer shall not be required to make any mandatory redemption or sinking fund payment with respect to the Notes.</w:t>
      </w:r>
    </w:p>
    <w:p>
      <w:pPr>
        <w:spacing w:after="0" w:line="162" w:lineRule="exact"/>
        <w:rPr>
          <w:sz w:val="20"/>
          <w:szCs w:val="20"/>
          <w:color w:val="auto"/>
        </w:rPr>
      </w:pPr>
    </w:p>
    <w:p>
      <w:pPr>
        <w:ind w:left="184" w:hanging="184"/>
        <w:spacing w:after="0"/>
        <w:tabs>
          <w:tab w:leader="none" w:pos="184"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MANDATORY REDEMPTION.</w:t>
      </w:r>
    </w:p>
    <w:p>
      <w:pPr>
        <w:spacing w:after="0" w:line="225"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(i) the Issuer has not delivered the Escrow Release Officer’s Certificate to the Escrow Agent and the Trustee on or prior to the earlier of</w:t>
      </w:r>
    </w:p>
    <w:p>
      <w:pPr>
        <w:spacing w:after="0" w:line="27" w:lineRule="exact"/>
        <w:rPr>
          <w:rFonts w:ascii="Times New Roman" w:cs="Times New Roman" w:eastAsia="Times New Roman" w:hAnsi="Times New Roman"/>
          <w:sz w:val="18"/>
          <w:szCs w:val="18"/>
          <w:color w:val="auto"/>
        </w:rPr>
      </w:pPr>
    </w:p>
    <w:p>
      <w:pPr>
        <w:ind w:left="4"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Escrow End Date and (B) the date on which the Issuer notifies the Escrow Agent and the Trustee in writing that Comcast will not pursue the consummation of the Separation by the Escrow End Date or (ii) the Escrow Release Conditions have been satisfied, but the Separation has not been consummated on or prior to the Escrow End Date, the Issuer shall redeem all of the Notes then outstanding at a redemption price equal to 100% of the aggregate principal amount of the Notes, plus accrued and unpaid interest thereon to, but excluding, the Special Mandatory Redemption Date.</w:t>
      </w:r>
    </w:p>
    <w:p>
      <w:pPr>
        <w:spacing w:after="0" w:line="188" w:lineRule="exact"/>
        <w:rPr>
          <w:rFonts w:ascii="Times New Roman" w:cs="Times New Roman" w:eastAsia="Times New Roman" w:hAnsi="Times New Roman"/>
          <w:sz w:val="18"/>
          <w:szCs w:val="18"/>
          <w:color w:val="auto"/>
        </w:rPr>
      </w:pPr>
    </w:p>
    <w:p>
      <w:pPr>
        <w:ind w:left="4" w:firstLine="436"/>
        <w:spacing w:after="0" w:line="312" w:lineRule="auto"/>
        <w:tabs>
          <w:tab w:leader="none" w:pos="699" w:val="left"/>
        </w:tabs>
        <w:numPr>
          <w:ilvl w:val="1"/>
          <w:numId w:val="10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Special Mandatory Redemption made pursuant to this paragraph 7 and </w:t>
      </w: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of the Indenture shall be made pursuant to the procedures set forth in the Indenture and the Escrow Agreement, except to the extent inconsistent with this paragraph 7 or </w:t>
      </w:r>
      <w:r>
        <w:rPr>
          <w:rFonts w:ascii="Times New Roman" w:cs="Times New Roman" w:eastAsia="Times New Roman" w:hAnsi="Times New Roman"/>
          <w:sz w:val="17"/>
          <w:szCs w:val="17"/>
          <w:u w:val="single" w:color="auto"/>
          <w:color w:val="auto"/>
        </w:rPr>
        <w:t>Section 3.16</w:t>
      </w:r>
      <w:r>
        <w:rPr>
          <w:rFonts w:ascii="Times New Roman" w:cs="Times New Roman" w:eastAsia="Times New Roman" w:hAnsi="Times New Roman"/>
          <w:sz w:val="17"/>
          <w:szCs w:val="17"/>
          <w:color w:val="auto"/>
        </w:rPr>
        <w:t xml:space="preserve"> of the Indenture.</w:t>
      </w:r>
    </w:p>
    <w:p>
      <w:pPr>
        <w:spacing w:after="0" w:line="139" w:lineRule="exact"/>
        <w:rPr>
          <w:rFonts w:ascii="Times New Roman" w:cs="Times New Roman" w:eastAsia="Times New Roman" w:hAnsi="Times New Roman"/>
          <w:sz w:val="17"/>
          <w:szCs w:val="17"/>
          <w:color w:val="auto"/>
        </w:rPr>
      </w:pPr>
    </w:p>
    <w:p>
      <w:pPr>
        <w:ind w:left="184" w:hanging="184"/>
        <w:spacing w:after="0"/>
        <w:tabs>
          <w:tab w:leader="none" w:pos="184"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DENOMINATIONS, TRANSFER, EXCHANGE, CANCELLATION</w:t>
      </w:r>
    </w:p>
    <w:p>
      <w:pPr>
        <w:spacing w:after="0" w:line="225"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The Notes are in registered form, without coupons, in denominations of $2,000 and integral multiples of $1,000 in excess thereof. A Holder may register the transfer of or exchange Notes in accordance with the Indenture. The Registrar may require a Holder, among other things, to furnish appropriate endorsements and transfer documents and to pay any taxes or other governmental charges that may be imposed in relation thereto by law or permitted by the Indenture.</w:t>
      </w:r>
    </w:p>
    <w:p>
      <w:pPr>
        <w:spacing w:after="0" w:line="180"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All Notes surrendered for payment, registration of transfer or exchange or conversion will, if surrendered to the Issuer or any of its other Agents with respect to the Notes, be delivered to the Trustee. The Trustee will promptly cancel all Notes delivered to it. No Notes will be authenticated in exchange for any Notes cancelled, except as provided in the Indenture.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9. PERSONS DEEMED OWNERS</w:t>
      </w:r>
    </w:p>
    <w:p>
      <w:pPr>
        <w:spacing w:after="0" w:line="225" w:lineRule="exact"/>
        <w:rPr>
          <w:sz w:val="20"/>
          <w:szCs w:val="20"/>
          <w:color w:val="auto"/>
        </w:rPr>
      </w:pPr>
    </w:p>
    <w:p>
      <w:pPr>
        <w:jc w:val="right"/>
        <w:ind w:right="5380"/>
        <w:spacing w:after="0"/>
        <w:rPr>
          <w:sz w:val="20"/>
          <w:szCs w:val="20"/>
          <w:color w:val="auto"/>
        </w:rPr>
      </w:pPr>
      <w:r>
        <w:rPr>
          <w:rFonts w:ascii="Times New Roman" w:cs="Times New Roman" w:eastAsia="Times New Roman" w:hAnsi="Times New Roman"/>
          <w:sz w:val="18"/>
          <w:szCs w:val="18"/>
          <w:color w:val="auto"/>
        </w:rPr>
        <w:t>The Holder of a Note may be treated as the owner of it for all purposes.</w:t>
      </w:r>
    </w:p>
    <w:p>
      <w:pPr>
        <w:spacing w:after="0" w:line="15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0964"/>
          </w:cols>
          <w:pgMar w:left="436" w:top="270" w:right="499" w:bottom="1440" w:gutter="0" w:footer="0" w:header="0"/>
        </w:sectPr>
      </w:pPr>
    </w:p>
    <w:bookmarkStart w:id="764" w:name="page765"/>
    <w:bookmarkEnd w:id="7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 GUARANTEES, COLLATERAL</w:t>
      </w:r>
    </w:p>
    <w:p>
      <w:pPr>
        <w:spacing w:after="0" w:line="117"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Note is guaranteed, as set forth in the Indenture, and is secured by Liens on certain Collateral as specified in the Indenture and the Collateral Documents.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 UNCLAIMED MONEY</w:t>
      </w:r>
    </w:p>
    <w:p>
      <w:pPr>
        <w:spacing w:after="0" w:line="225"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If money for the payment of principal or interest remains unclaimed for two years, the Trustee or Paying Agent will pay the money back to the Issuer at its written request, subject to applicable unclaimed property law. After that, Holders entitled to money must look to the Issuer for payment as general creditors unless an applicable abandoned property law designates another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AMENDMENT, SUPPLEMENT AND WAIVER</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Subject to certain exceptions, the Indenture (with respect to the Notes) or the Notes may be amended or supplemented with the consent of the Holders of at least a majority in aggregate principal amount of the then outstanding Notes, and an existing default or Event of Default and its consequence or compliance with any provision of the Indenture or the Notes may be waived in a particular instance with the consent of the Holders of a majority in aggregate principal amount of the Notes then outstanding. Without the consent of or notice to any Holder, the Issuer and the Trustee may amend or supplement the Indenture (with respect to the Notes) or the Notes to, among other things, cure any ambiguity, defect or inconsistency or make any other change that does not adversely affect the rights of any Holder.</w:t>
      </w:r>
    </w:p>
    <w:p>
      <w:pPr>
        <w:spacing w:after="0" w:line="187"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except as set forth under </w:t>
      </w:r>
      <w:r>
        <w:rPr>
          <w:rFonts w:ascii="Times New Roman" w:cs="Times New Roman" w:eastAsia="Times New Roman" w:hAnsi="Times New Roman"/>
          <w:sz w:val="18"/>
          <w:szCs w:val="18"/>
          <w:u w:val="single" w:color="auto"/>
          <w:color w:val="auto"/>
        </w:rPr>
        <w:t>Article 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12</w:t>
      </w:r>
      <w:r>
        <w:rPr>
          <w:rFonts w:ascii="Times New Roman" w:cs="Times New Roman" w:eastAsia="Times New Roman" w:hAnsi="Times New Roman"/>
          <w:sz w:val="18"/>
          <w:szCs w:val="18"/>
          <w:color w:val="auto"/>
        </w:rPr>
        <w:t xml:space="preserve"> of the Indenture, without the consent of Holders of at least 66 2/3% in principal amount of the Notes then outstanding (including, without limitation, consents obtained in connection with a purchase of, or tender offer or exchange offer for, Notes), no amendment or supplement may release the Note Guarantees and the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 SUCCESSOR ENTITY</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When a successor corporation assumes all the obligations of its predecessor under the Notes and the Indenture in accordance with the terms and conditions of the Indenture, the predecessor corporation (except in certain circumstances specified in the Indenture) shall be released from those obligations.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 DEFAULTS AND REMEDIES</w:t>
      </w:r>
    </w:p>
    <w:p>
      <w:pPr>
        <w:spacing w:after="0" w:line="22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If an Event of Default, as defined in the Indenture, occurs and is continuing, the Trustee or the Holders of at least 25% in aggregate principal amount of the Notes then outstanding may declare all the Notes to be due and payable. If a bankruptcy or insolvency default with respect to the Issuer occurs and is continuing, the Notes will automatically become due and payable. Holders may not enforce the Indenture or the Notes except as provided in the Indenture. The Trustee may require indemnity and/or security satisfactory to it before it enforces the Indenture or the Notes. Subject to certain limitations, Holders of a majority in principal amount of the Notes then outstanding may direct the Trustee in its exercise of remedies.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40"/>
          </w:cols>
          <w:pgMar w:left="440" w:top="270" w:right="519" w:bottom="1440" w:gutter="0" w:footer="0" w:header="0"/>
        </w:sectPr>
      </w:pPr>
    </w:p>
    <w:bookmarkStart w:id="765" w:name="page766"/>
    <w:bookmarkEnd w:id="7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15. TRUSTEE DEALINGS WITH THE ISSUER</w:t>
      </w:r>
    </w:p>
    <w:p>
      <w:pPr>
        <w:spacing w:after="0" w:line="225" w:lineRule="exact"/>
        <w:rPr>
          <w:sz w:val="20"/>
          <w:szCs w:val="20"/>
          <w:color w:val="auto"/>
        </w:rPr>
      </w:pPr>
    </w:p>
    <w:p>
      <w:pPr>
        <w:ind w:right="420" w:firstLine="440"/>
        <w:spacing w:after="0" w:line="312" w:lineRule="auto"/>
        <w:rPr>
          <w:sz w:val="20"/>
          <w:szCs w:val="20"/>
          <w:color w:val="auto"/>
        </w:rPr>
      </w:pPr>
      <w:r>
        <w:rPr>
          <w:rFonts w:ascii="Times New Roman" w:cs="Times New Roman" w:eastAsia="Times New Roman" w:hAnsi="Times New Roman"/>
          <w:sz w:val="17"/>
          <w:szCs w:val="17"/>
          <w:color w:val="auto"/>
        </w:rPr>
        <w:t>Citibank, N.A., the Trustee under the Indenture, in its individual or any other capacity, may make loans to, accept deposits from and perform services for the Issuer or an Affiliate of the Issuer and may otherwise deal with the Issuer or an Affiliate of the Issuer as if it were not the Trustee.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 NO RECOURSE AGAINST OTHERS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A director, officer, incorporator, employee or shareholder, as such, of the Issuer or any Guarantor shall not have any liability for any obligations of the Issuer or any Guarantor under the Notes or the Indenture nor for any claim based on, in respect of or by reason of such obligations or their creation. The Holder of this Note by accepting this Note waives and releases all such liability. The waiver and release are part of the consideration for the issuance of this Note.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AUTHENTICATION</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the Trustee or an authenticating agent manually or electronically signs the certificate of authentication on the other side of this Note.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ABBREVIATIONS AND DEFINITIONS</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the Holder or an assignee, such as: TEN COM (= tenants in common), TEN ENT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INDENTURE TO CONTROL; GOVERNING LAW</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In the case of any conflict between the provisions of this Note and the Indenture, the provisions of the Indenture shall control. This Note shall be governed by, and construed in accordance with, the laws of the State of New York, without regard to principles of conflicts of law.</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 Versant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 LLC, 904 Sylvan Avenue, Englewood Cliffs, New Jersey 07632, Attention: Legal Department.</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0980"/>
          </w:cols>
          <w:pgMar w:left="440" w:top="270" w:right="479" w:bottom="1440" w:gutter="0" w:footer="0" w:header="0"/>
        </w:sectPr>
      </w:pPr>
    </w:p>
    <w:bookmarkStart w:id="766" w:name="page767"/>
    <w:bookmarkEnd w:id="766"/>
    <w:p>
      <w:pPr>
        <w:jc w:val="center"/>
        <w:ind w:right="-4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(Insert assignee’s soc. sec. or tax I.D. no.)</w:t>
      </w:r>
    </w:p>
    <w:p>
      <w:pPr>
        <w:spacing w:after="0" w:line="225"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irrevocably appoint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 or her.</w:t>
      </w:r>
    </w:p>
    <w:p>
      <w:pPr>
        <w:spacing w:after="0" w:line="252"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Your Signature:</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274320</wp:posOffset>
            </wp:positionH>
            <wp:positionV relativeFrom="paragraph">
              <wp:posOffset>17145</wp:posOffset>
            </wp:positionV>
            <wp:extent cx="672084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7" w:lineRule="exact"/>
        <w:rPr>
          <w:sz w:val="20"/>
          <w:szCs w:val="20"/>
          <w:color w:val="auto"/>
        </w:rPr>
      </w:pPr>
    </w:p>
    <w:p>
      <w:pPr>
        <w:ind w:left="6164"/>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4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Signature guaranteed by:</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196850</wp:posOffset>
            </wp:positionH>
            <wp:positionV relativeFrom="paragraph">
              <wp:posOffset>17145</wp:posOffset>
            </wp:positionV>
            <wp:extent cx="259715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394" w:lineRule="exact"/>
        <w:rPr>
          <w:sz w:val="20"/>
          <w:szCs w:val="20"/>
          <w:color w:val="auto"/>
        </w:rPr>
      </w:pPr>
    </w:p>
    <w:p>
      <w:pPr>
        <w:ind w:left="224" w:right="320" w:hanging="224"/>
        <w:spacing w:after="0" w:line="266" w:lineRule="auto"/>
        <w:tabs>
          <w:tab w:leader="none" w:pos="224" w:val="left"/>
        </w:tabs>
        <w:numPr>
          <w:ilvl w:val="0"/>
          <w:numId w:val="10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signature must be guaranteed by an institution which is a member of one of the following recognized signature guaranty programs: (i) the Securities Transfer Agent Medallion Program (STAMP); (ii) the New York Stock Exchange Medallion Program (MSP); (iii) the Stock Exchange Medallion Program (SEMP); or (iv) such other guaranty program acceptable to the Trustee.</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OPTION TO ELECT PURCHASE</w:t>
      </w:r>
    </w:p>
    <w:p>
      <w:pPr>
        <w:spacing w:after="0" w:line="225"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this Note purchased by the Issuer pursuant to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Indenture, check the appropriate box below:</w:t>
      </w:r>
    </w:p>
    <w:p>
      <w:pPr>
        <w:spacing w:after="0" w:line="121" w:lineRule="exact"/>
        <w:rPr>
          <w:sz w:val="20"/>
          <w:szCs w:val="20"/>
          <w:color w:val="auto"/>
        </w:rPr>
      </w:pPr>
    </w:p>
    <w:p>
      <w:pPr>
        <w:jc w:val="center"/>
        <w:ind w:right="-63"/>
        <w:spacing w:after="0" w:line="207" w:lineRule="exact"/>
        <w:tabs>
          <w:tab w:leader="none" w:pos="16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sz w:val="20"/>
          <w:szCs w:val="20"/>
          <w:color w:val="auto"/>
        </w:rPr>
        <w:tab/>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u w:val="single" w:color="auto"/>
          <w:color w:val="auto"/>
        </w:rPr>
        <w:t>Section 4.13</w:t>
      </w:r>
    </w:p>
    <w:p>
      <w:pPr>
        <w:spacing w:after="0" w:line="266" w:lineRule="exact"/>
        <w:rPr>
          <w:sz w:val="20"/>
          <w:szCs w:val="20"/>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 xml:space="preserve">If you want to elect to have only part of the Note purchased by the Issuer pursuant to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Indenture, state the amount you elect to have purchased:</w:t>
      </w:r>
    </w:p>
    <w:p>
      <w:pPr>
        <w:spacing w:after="0" w:line="162" w:lineRule="exact"/>
        <w:rPr>
          <w:sz w:val="20"/>
          <w:szCs w:val="20"/>
          <w:color w:val="auto"/>
        </w:rPr>
      </w:pPr>
    </w:p>
    <w:p>
      <w:pPr>
        <w:jc w:val="center"/>
        <w:ind w:right="76"/>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2840355</wp:posOffset>
            </wp:positionH>
            <wp:positionV relativeFrom="paragraph">
              <wp:posOffset>-7620</wp:posOffset>
            </wp:positionV>
            <wp:extent cx="1370965"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0">
                      <a:extLst>
                        <a:ext uri="{28A0092B-C50C-407E-A947-70E740481C1C}"/>
                      </a:extLst>
                    </a:blip>
                    <a:srcRect/>
                    <a:stretch>
                      <a:fillRect/>
                    </a:stretch>
                  </pic:blipFill>
                  <pic:spPr bwMode="auto">
                    <a:xfrm>
                      <a:off x="0" y="0"/>
                      <a:ext cx="1370965" cy="8255"/>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308610</wp:posOffset>
            </wp:positionH>
            <wp:positionV relativeFrom="paragraph">
              <wp:posOffset>17145</wp:posOffset>
            </wp:positionV>
            <wp:extent cx="2486025" cy="889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1">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24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Your Signature:</w:t>
      </w:r>
    </w:p>
    <w:p>
      <w:pPr>
        <w:spacing w:after="0" w:line="200" w:lineRule="exact"/>
        <w:rPr>
          <w:sz w:val="20"/>
          <w:szCs w:val="20"/>
          <w:color w:val="auto"/>
        </w:rPr>
      </w:pPr>
    </w:p>
    <w:p>
      <w:pPr>
        <w:spacing w:after="0" w:line="25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7"/>
          <w:szCs w:val="17"/>
          <w:color w:val="auto"/>
        </w:rPr>
        <w:t>(Sign exactly as your name appears on the face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-120650</wp:posOffset>
            </wp:positionV>
            <wp:extent cx="2794635"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7"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 xml:space="preserve">Tax Identification No.: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5271135</wp:posOffset>
            </wp:positionH>
            <wp:positionV relativeFrom="paragraph">
              <wp:posOffset>-7620</wp:posOffset>
            </wp:positionV>
            <wp:extent cx="1599565" cy="889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3">
                      <a:extLst>
                        <a:ext uri="{28A0092B-C50C-407E-A947-70E740481C1C}"/>
                      </a:extLst>
                    </a:blip>
                    <a:srcRect/>
                    <a:stretch>
                      <a:fillRect/>
                    </a:stretch>
                  </pic:blipFill>
                  <pic:spPr bwMode="auto">
                    <a:xfrm>
                      <a:off x="0" y="0"/>
                      <a:ext cx="1599565" cy="8890"/>
                    </a:xfrm>
                    <a:prstGeom prst="rect">
                      <a:avLst/>
                    </a:prstGeom>
                    <a:noFill/>
                  </pic:spPr>
                </pic:pic>
              </a:graphicData>
            </a:graphic>
          </wp:anchor>
        </w:drawing>
      </w:r>
    </w:p>
    <w:p>
      <w:pPr>
        <w:spacing w:after="0" w:line="23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1225550</wp:posOffset>
            </wp:positionH>
            <wp:positionV relativeFrom="paragraph">
              <wp:posOffset>17145</wp:posOffset>
            </wp:positionV>
            <wp:extent cx="1568450" cy="889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4">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46" w:lineRule="exact"/>
        <w:rPr>
          <w:sz w:val="20"/>
          <w:szCs w:val="20"/>
          <w:color w:val="auto"/>
        </w:rPr>
      </w:pPr>
    </w:p>
    <w:p>
      <w:pPr>
        <w:ind w:left="5364" w:right="1820" w:hanging="5364"/>
        <w:spacing w:after="0" w:line="454" w:lineRule="auto"/>
        <w:tabs>
          <w:tab w:leader="none" w:pos="212" w:val="left"/>
        </w:tabs>
        <w:numPr>
          <w:ilvl w:val="0"/>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in a recognized Signature Guarantee Medallion Program (or other signature guarantor acceptable to the Trustee). A-9</w:t>
      </w:r>
    </w:p>
    <w:p>
      <w:pPr>
        <w:sectPr>
          <w:pgSz w:w="11900" w:h="16838" w:orient="portrait"/>
          <w:cols w:equalWidth="0" w:num="1">
            <w:col w:w="10964"/>
          </w:cols>
          <w:pgMar w:left="436" w:top="270" w:right="499" w:bottom="1440" w:gutter="0" w:footer="0" w:header="0"/>
        </w:sectPr>
      </w:pPr>
    </w:p>
    <w:bookmarkStart w:id="767" w:name="page768"/>
    <w:bookmarkEnd w:id="767"/>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OF EXCHANGES OF NOTES</w:t>
      </w:r>
      <w:r>
        <w:rPr>
          <w:rFonts w:ascii="Times New Roman" w:cs="Times New Roman" w:eastAsia="Times New Roman" w:hAnsi="Times New Roman"/>
          <w:sz w:val="26"/>
          <w:szCs w:val="26"/>
          <w:color w:val="auto"/>
          <w:vertAlign w:val="superscript"/>
        </w:rPr>
        <w:t>7</w:t>
      </w:r>
    </w:p>
    <w:p>
      <w:pPr>
        <w:spacing w:after="0" w:line="13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following exchanges, repurchases or conversions of a part of this Global Note have been made:</w:t>
      </w:r>
    </w:p>
    <w:p>
      <w:pPr>
        <w:spacing w:after="0" w:line="235" w:lineRule="exact"/>
        <w:rPr>
          <w:sz w:val="20"/>
          <w:szCs w:val="20"/>
          <w:color w:val="auto"/>
        </w:rPr>
      </w:pPr>
    </w:p>
    <w:tbl>
      <w:tblPr>
        <w:tblLayout w:type="fixed"/>
        <w:tblInd w:w="904" w:type="dxa"/>
        <w:tblCellMar>
          <w:top w:w="0" w:type="dxa"/>
          <w:left w:w="0" w:type="dxa"/>
          <w:bottom w:w="0" w:type="dxa"/>
          <w:right w:w="0" w:type="dxa"/>
        </w:tblCellMar>
      </w:tblPr>
      <w:tr>
        <w:trPr>
          <w:trHeight w:val="161"/>
        </w:trPr>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w:t>
            </w:r>
          </w:p>
        </w:tc>
        <w:tc>
          <w:tcPr>
            <w:tcW w:w="10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10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AMOUNT OF</w:t>
            </w:r>
          </w:p>
        </w:tc>
        <w:tc>
          <w:tcPr>
            <w:tcW w:w="2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10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80" w:type="dxa"/>
            <w:vAlign w:val="bottom"/>
            <w:gridSpan w:val="2"/>
            <w:vMerge w:val="continue"/>
          </w:tcPr>
          <w:p>
            <w:pPr>
              <w:spacing w:after="0"/>
              <w:rPr>
                <w:sz w:val="12"/>
                <w:szCs w:val="12"/>
                <w:color w:val="auto"/>
              </w:rPr>
            </w:pPr>
          </w:p>
        </w:tc>
        <w:tc>
          <w:tcPr>
            <w:tcW w:w="2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NOTE FOLLOWING</w:t>
            </w:r>
          </w:p>
        </w:tc>
        <w:tc>
          <w:tcPr>
            <w:tcW w:w="1000" w:type="dxa"/>
            <w:vAlign w:val="bottom"/>
          </w:tcPr>
          <w:p>
            <w:pPr>
              <w:spacing w:after="0"/>
              <w:rPr>
                <w:sz w:val="12"/>
                <w:szCs w:val="12"/>
                <w:color w:val="auto"/>
              </w:rPr>
            </w:pP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AUTHORIZED</w:t>
            </w:r>
          </w:p>
        </w:tc>
        <w:tc>
          <w:tcPr>
            <w:tcW w:w="2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INCREASE</w:t>
            </w:r>
          </w:p>
        </w:tc>
        <w:tc>
          <w:tcPr>
            <w:tcW w:w="0" w:type="dxa"/>
            <w:vAlign w:val="bottom"/>
          </w:tcPr>
          <w:p>
            <w:pPr>
              <w:spacing w:after="0"/>
              <w:rPr>
                <w:sz w:val="1"/>
                <w:szCs w:val="1"/>
                <w:color w:val="auto"/>
              </w:rPr>
            </w:pPr>
          </w:p>
        </w:tc>
      </w:tr>
      <w:tr>
        <w:trPr>
          <w:trHeight w:val="149"/>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SUCH DECREASE</w:t>
            </w:r>
          </w:p>
        </w:tc>
        <w:tc>
          <w:tcPr>
            <w:tcW w:w="1000" w:type="dxa"/>
            <w:vAlign w:val="bottom"/>
          </w:tcPr>
          <w:p>
            <w:pPr>
              <w:spacing w:after="0"/>
              <w:rPr>
                <w:sz w:val="12"/>
                <w:szCs w:val="12"/>
                <w:color w:val="auto"/>
              </w:rPr>
            </w:pPr>
          </w:p>
        </w:tc>
        <w:tc>
          <w:tcPr>
            <w:tcW w:w="2740" w:type="dxa"/>
            <w:vAlign w:val="bottom"/>
            <w:gridSpan w:val="2"/>
            <w:vMerge w:val="continue"/>
          </w:tcPr>
          <w:p>
            <w:pPr>
              <w:spacing w:after="0"/>
              <w:rPr>
                <w:sz w:val="12"/>
                <w:szCs w:val="12"/>
                <w:color w:val="auto"/>
              </w:rPr>
            </w:pPr>
          </w:p>
        </w:tc>
        <w:tc>
          <w:tcPr>
            <w:tcW w:w="2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IN PRINCIPAL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IN PRINCIPAL</w:t>
            </w:r>
          </w:p>
        </w:tc>
        <w:tc>
          <w:tcPr>
            <w:tcW w:w="0" w:type="dxa"/>
            <w:vAlign w:val="bottom"/>
          </w:tcPr>
          <w:p>
            <w:pPr>
              <w:spacing w:after="0"/>
              <w:rPr>
                <w:sz w:val="1"/>
                <w:szCs w:val="1"/>
                <w:color w:val="auto"/>
              </w:rPr>
            </w:pP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6"/>
              </w:rPr>
              <w:t>DATE</w:t>
            </w:r>
          </w:p>
        </w:tc>
        <w:tc>
          <w:tcPr>
            <w:tcW w:w="100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2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AMOUNT</w:t>
            </w:r>
          </w:p>
        </w:tc>
        <w:tc>
          <w:tcPr>
            <w:tcW w:w="0" w:type="dxa"/>
            <w:vAlign w:val="bottom"/>
          </w:tcPr>
          <w:p>
            <w:pPr>
              <w:spacing w:after="0"/>
              <w:rPr>
                <w:sz w:val="1"/>
                <w:szCs w:val="1"/>
                <w:color w:val="auto"/>
              </w:rPr>
            </w:pPr>
          </w:p>
        </w:tc>
      </w:tr>
      <w:tr>
        <w:trPr>
          <w:trHeight w:val="148"/>
        </w:trPr>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EXCHANGE</w:t>
            </w:r>
          </w:p>
        </w:tc>
        <w:tc>
          <w:tcPr>
            <w:tcW w:w="1000" w:type="dxa"/>
            <w:vAlign w:val="bottom"/>
          </w:tcPr>
          <w:p>
            <w:pPr>
              <w:spacing w:after="0"/>
              <w:rPr>
                <w:sz w:val="12"/>
                <w:szCs w:val="12"/>
                <w:color w:val="auto"/>
              </w:rPr>
            </w:pPr>
          </w:p>
        </w:tc>
        <w:tc>
          <w:tcPr>
            <w:tcW w:w="27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NOTES</w:t>
            </w:r>
          </w:p>
        </w:tc>
        <w:tc>
          <w:tcPr>
            <w:tcW w:w="2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2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 THIS GLOBAL</w:t>
            </w:r>
          </w:p>
        </w:tc>
        <w:tc>
          <w:tcPr>
            <w:tcW w:w="0" w:type="dxa"/>
            <w:vAlign w:val="bottom"/>
          </w:tcPr>
          <w:p>
            <w:pPr>
              <w:spacing w:after="0"/>
              <w:rPr>
                <w:sz w:val="1"/>
                <w:szCs w:val="1"/>
                <w:color w:val="auto"/>
              </w:rPr>
            </w:pPr>
          </w:p>
        </w:tc>
      </w:tr>
      <w:tr>
        <w:trPr>
          <w:trHeight w:val="178"/>
        </w:trPr>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10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100" w:type="dxa"/>
            <w:vAlign w:val="bottom"/>
          </w:tcPr>
          <w:p>
            <w:pPr>
              <w:spacing w:after="0"/>
              <w:rPr>
                <w:sz w:val="15"/>
                <w:szCs w:val="15"/>
                <w:color w:val="auto"/>
              </w:rPr>
            </w:pPr>
          </w:p>
        </w:tc>
        <w:tc>
          <w:tcPr>
            <w:tcW w:w="2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w:t>
            </w:r>
          </w:p>
        </w:tc>
        <w:tc>
          <w:tcPr>
            <w:tcW w:w="140" w:type="dxa"/>
            <w:vAlign w:val="bottom"/>
          </w:tcPr>
          <w:p>
            <w:pPr>
              <w:spacing w:after="0"/>
              <w:rPr>
                <w:sz w:val="15"/>
                <w:szCs w:val="15"/>
                <w:color w:val="auto"/>
              </w:rPr>
            </w:pPr>
          </w:p>
        </w:tc>
        <w:tc>
          <w:tcPr>
            <w:tcW w:w="2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NOTE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CERTIFICATE TO BE DELIVERED UPON EXCHANGE OR REGISTRATION</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OF TRANSFER OF RESTRICTED SECURITIES</w:t>
      </w:r>
      <w:r>
        <w:rPr>
          <w:rFonts w:ascii="Times New Roman" w:cs="Times New Roman" w:eastAsia="Times New Roman" w:hAnsi="Times New Roman"/>
          <w:sz w:val="26"/>
          <w:szCs w:val="26"/>
          <w:color w:val="auto"/>
          <w:vertAlign w:val="superscript"/>
        </w:rPr>
        <w:t>8</w:t>
      </w:r>
    </w:p>
    <w:p>
      <w:pPr>
        <w:spacing w:after="0" w:line="138"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color w:val="auto"/>
        </w:rPr>
        <w:t>7.250% Senior Secured Notes due 2031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of Versant Media Group, Inc.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certificate relates to $___________________ principal amount of Notes owned in (check applicable box)</w:t>
      </w:r>
    </w:p>
    <w:p>
      <w:pPr>
        <w:spacing w:after="0" w:line="76" w:lineRule="exact"/>
        <w:rPr>
          <w:sz w:val="20"/>
          <w:szCs w:val="20"/>
          <w:color w:val="auto"/>
        </w:rPr>
      </w:pPr>
    </w:p>
    <w:p>
      <w:pPr>
        <w:ind w:left="44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book-entry or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definitive form by____________________ (the “</w:t>
      </w:r>
      <w:r>
        <w:rPr>
          <w:rFonts w:ascii="Times New Roman" w:cs="Times New Roman" w:eastAsia="Times New Roman" w:hAnsi="Times New Roman"/>
          <w:sz w:val="18"/>
          <w:szCs w:val="18"/>
          <w:b w:val="1"/>
          <w:bCs w:val="1"/>
          <w:color w:val="auto"/>
        </w:rPr>
        <w:t>Transferor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Transferor has requested a Registrar or the Trustee to exchange or register the transfer of such Notes.</w:t>
      </w:r>
    </w:p>
    <w:p>
      <w:pPr>
        <w:spacing w:after="0" w:line="225"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connection with such request and in respect of each such Note, the Transferor does hereby certify that the Transferor is familiar with transfer restrictions relating to the Notes as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of the Indenture dated as of October 29, 2025 among Versant Media Group, Inc., the Guarantors party thereto, Citibank, N.A., as trustee and notes collateral agent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and the transfer of such Note is in accordance with any applicable securities laws of any state and is being made pursuant to an effective registration statement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(check applicable box) or the transfer or exchange, as the case may be, of such Note does not require registration under the Securities Act because (check applicable box):</w:t>
      </w:r>
    </w:p>
    <w:p>
      <w:pPr>
        <w:spacing w:after="0" w:line="214" w:lineRule="exact"/>
        <w:rPr>
          <w:sz w:val="20"/>
          <w:szCs w:val="20"/>
          <w:color w:val="auto"/>
        </w:rPr>
      </w:pPr>
    </w:p>
    <w:p>
      <w:pPr>
        <w:ind w:left="964" w:hanging="519"/>
        <w:spacing w:after="0"/>
        <w:tabs>
          <w:tab w:leader="none" w:pos="964" w:val="left"/>
        </w:tabs>
        <w:numPr>
          <w:ilvl w:val="0"/>
          <w:numId w:val="1020"/>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Such Note is being transferred pursuant to an effective registration statement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02" w:lineRule="exact"/>
        <w:rPr>
          <w:sz w:val="20"/>
          <w:szCs w:val="20"/>
          <w:color w:val="auto"/>
        </w:rPr>
      </w:pPr>
    </w:p>
    <w:p>
      <w:pPr>
        <w:ind w:left="424" w:hanging="424"/>
        <w:spacing w:after="0"/>
        <w:tabs>
          <w:tab w:leader="none" w:pos="424" w:val="left"/>
        </w:tabs>
        <w:numPr>
          <w:ilvl w:val="0"/>
          <w:numId w:val="10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This schedule should be included only if the Note is a Global Note.</w:t>
      </w:r>
    </w:p>
    <w:p>
      <w:pPr>
        <w:spacing w:after="0" w:line="1" w:lineRule="exact"/>
        <w:rPr>
          <w:sz w:val="20"/>
          <w:szCs w:val="20"/>
          <w:color w:val="auto"/>
        </w:rPr>
      </w:pPr>
    </w:p>
    <w:p>
      <w:pPr>
        <w:jc w:val="right"/>
        <w:ind w:left="5324" w:right="5340" w:hanging="5324"/>
        <w:spacing w:after="0" w:line="344" w:lineRule="auto"/>
        <w:tabs>
          <w:tab w:leader="none" w:pos="433" w:val="left"/>
        </w:tabs>
        <w:numPr>
          <w:ilvl w:val="0"/>
          <w:numId w:val="102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7"/>
          <w:szCs w:val="17"/>
          <w:color w:val="auto"/>
        </w:rPr>
        <w:t>This certificate should be included only if this Note is a Restricted Note. A-10</w:t>
      </w:r>
    </w:p>
    <w:p>
      <w:pPr>
        <w:sectPr>
          <w:pgSz w:w="11900" w:h="16838" w:orient="portrait"/>
          <w:cols w:equalWidth="0" w:num="1">
            <w:col w:w="11024"/>
          </w:cols>
          <w:pgMar w:left="436" w:top="270" w:right="439" w:bottom="1440" w:gutter="0" w:footer="0" w:header="0"/>
        </w:sectPr>
      </w:pPr>
    </w:p>
    <w:bookmarkStart w:id="768" w:name="page769"/>
    <w:bookmarkEnd w:id="768"/>
    <w:p>
      <w:pPr>
        <w:ind w:left="960" w:hanging="519"/>
        <w:spacing w:after="0"/>
        <w:tabs>
          <w:tab w:leader="none" w:pos="960" w:val="left"/>
        </w:tabs>
        <w:numPr>
          <w:ilvl w:val="0"/>
          <w:numId w:val="10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Note is being acquired for the Transferor’s own account, without transfer.</w:t>
      </w:r>
    </w:p>
    <w:p>
      <w:pPr>
        <w:spacing w:after="0" w:line="117" w:lineRule="exact"/>
        <w:rPr>
          <w:rFonts w:ascii="MS PGothic" w:cs="MS PGothic" w:eastAsia="MS PGothic" w:hAnsi="MS PGothic"/>
          <w:sz w:val="18"/>
          <w:szCs w:val="18"/>
          <w:color w:val="auto"/>
        </w:rPr>
      </w:pPr>
    </w:p>
    <w:p>
      <w:pPr>
        <w:ind w:left="960" w:hanging="519"/>
        <w:spacing w:after="0"/>
        <w:tabs>
          <w:tab w:leader="none" w:pos="960" w:val="left"/>
        </w:tabs>
        <w:numPr>
          <w:ilvl w:val="0"/>
          <w:numId w:val="10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Such Note is being transferred to the Issuer or a Subsidiary (as defined in the Indenture) of the Issuer.</w:t>
      </w:r>
    </w:p>
    <w:p>
      <w:pPr>
        <w:spacing w:after="0" w:line="117" w:lineRule="exact"/>
        <w:rPr>
          <w:rFonts w:ascii="MS PGothic" w:cs="MS PGothic" w:eastAsia="MS PGothic" w:hAnsi="MS PGothic"/>
          <w:sz w:val="18"/>
          <w:szCs w:val="18"/>
          <w:color w:val="auto"/>
        </w:rPr>
      </w:pPr>
    </w:p>
    <w:p>
      <w:pPr>
        <w:ind w:left="960" w:hanging="519"/>
        <w:spacing w:after="0" w:line="261" w:lineRule="auto"/>
        <w:tabs>
          <w:tab w:leader="none" w:pos="960" w:val="left"/>
        </w:tabs>
        <w:numPr>
          <w:ilvl w:val="0"/>
          <w:numId w:val="10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Such Note is being transferred to a person the Transferor reasonably believes is a “qualified institutional buyer” (as defined in Rule 144A or any successor provision thereto (“</w:t>
      </w:r>
      <w:r>
        <w:rPr>
          <w:rFonts w:ascii="Times New Roman" w:cs="Times New Roman" w:eastAsia="Times New Roman" w:hAnsi="Times New Roman"/>
          <w:sz w:val="18"/>
          <w:szCs w:val="18"/>
          <w:b w:val="1"/>
          <w:bCs w:val="1"/>
          <w:color w:val="auto"/>
        </w:rPr>
        <w:t>Rule 144A</w:t>
      </w:r>
      <w:r>
        <w:rPr>
          <w:rFonts w:ascii="Times New Roman" w:cs="Times New Roman" w:eastAsia="Times New Roman" w:hAnsi="Times New Roman"/>
          <w:sz w:val="18"/>
          <w:szCs w:val="18"/>
          <w:color w:val="auto"/>
        </w:rPr>
        <w:t>”) under the Securities Act) that is purchasing for its own account or for the account of a “qualified institutional buyer,” in each case to whom notice has been given that the transfer is being made in reliance on such Rule 144A, and in each case in reliance on Rule 144A.</w:t>
      </w:r>
    </w:p>
    <w:p>
      <w:pPr>
        <w:spacing w:after="0" w:line="71" w:lineRule="exact"/>
        <w:rPr>
          <w:rFonts w:ascii="MS PGothic" w:cs="MS PGothic" w:eastAsia="MS PGothic" w:hAnsi="MS PGothic"/>
          <w:sz w:val="18"/>
          <w:szCs w:val="18"/>
          <w:color w:val="auto"/>
        </w:rPr>
      </w:pPr>
    </w:p>
    <w:p>
      <w:pPr>
        <w:ind w:left="960" w:right="560" w:hanging="519"/>
        <w:spacing w:after="0" w:line="282" w:lineRule="auto"/>
        <w:tabs>
          <w:tab w:leader="none" w:pos="960" w:val="left"/>
        </w:tabs>
        <w:numPr>
          <w:ilvl w:val="0"/>
          <w:numId w:val="10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Such Note is being transferred pursuant to and in compliance with an exemption from the registration requirements under the Securities Act in accordance with Rule 144 (or any successor thereto) (“</w:t>
      </w:r>
      <w:r>
        <w:rPr>
          <w:rFonts w:ascii="Times New Roman" w:cs="Times New Roman" w:eastAsia="Times New Roman" w:hAnsi="Times New Roman"/>
          <w:sz w:val="18"/>
          <w:szCs w:val="18"/>
          <w:b w:val="1"/>
          <w:bCs w:val="1"/>
          <w:color w:val="auto"/>
        </w:rPr>
        <w:t>Rule 144</w:t>
      </w:r>
      <w:r>
        <w:rPr>
          <w:rFonts w:ascii="Times New Roman" w:cs="Times New Roman" w:eastAsia="Times New Roman" w:hAnsi="Times New Roman"/>
          <w:sz w:val="18"/>
          <w:szCs w:val="18"/>
          <w:color w:val="auto"/>
        </w:rPr>
        <w:t>”) under the Securities Act.</w:t>
      </w:r>
    </w:p>
    <w:p>
      <w:pPr>
        <w:spacing w:after="0" w:line="53" w:lineRule="exact"/>
        <w:rPr>
          <w:rFonts w:ascii="MS PGothic" w:cs="MS PGothic" w:eastAsia="MS PGothic" w:hAnsi="MS PGothic"/>
          <w:sz w:val="18"/>
          <w:szCs w:val="18"/>
          <w:color w:val="auto"/>
        </w:rPr>
      </w:pPr>
    </w:p>
    <w:p>
      <w:pPr>
        <w:ind w:left="960" w:right="160" w:hanging="519"/>
        <w:spacing w:after="0" w:line="282" w:lineRule="auto"/>
        <w:tabs>
          <w:tab w:leader="none" w:pos="960" w:val="left"/>
        </w:tabs>
        <w:numPr>
          <w:ilvl w:val="0"/>
          <w:numId w:val="10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Such Note is being transferred to a Non-U.S. Person in an offshore transaction in compliance with Rule 904 of Regulation S under the Securities Act (or any successor thereto).</w:t>
      </w:r>
    </w:p>
    <w:p>
      <w:pPr>
        <w:spacing w:after="0" w:line="53" w:lineRule="exact"/>
        <w:rPr>
          <w:rFonts w:ascii="MS PGothic" w:cs="MS PGothic" w:eastAsia="MS PGothic" w:hAnsi="MS PGothic"/>
          <w:sz w:val="18"/>
          <w:szCs w:val="18"/>
          <w:color w:val="auto"/>
        </w:rPr>
      </w:pPr>
    </w:p>
    <w:p>
      <w:pPr>
        <w:ind w:left="960" w:right="100" w:hanging="519"/>
        <w:spacing w:after="0" w:line="266" w:lineRule="auto"/>
        <w:tabs>
          <w:tab w:leader="none" w:pos="960" w:val="left"/>
        </w:tabs>
        <w:numPr>
          <w:ilvl w:val="0"/>
          <w:numId w:val="102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Such Note is being transferred to an institutional “accredited investor” (as defined in Rule 501(a)(1), (2), (3) or (7) of the Securities Act) that has provided a letter addressed to the Issuer,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attached to the Indenture, containing certain representations and agreements.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271780</wp:posOffset>
            </wp:positionH>
            <wp:positionV relativeFrom="paragraph">
              <wp:posOffset>17145</wp:posOffset>
            </wp:positionV>
            <wp:extent cx="672084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8">
                      <a:extLst>
                        <a:ext uri="{28A0092B-C50C-407E-A947-70E740481C1C}"/>
                      </a:extLst>
                    </a:blip>
                    <a:srcRect/>
                    <a:stretch>
                      <a:fillRect/>
                    </a:stretch>
                  </pic:blipFill>
                  <pic:spPr bwMode="auto">
                    <a:xfrm>
                      <a:off x="0" y="0"/>
                      <a:ext cx="6720840" cy="8255"/>
                    </a:xfrm>
                    <a:prstGeom prst="rect">
                      <a:avLst/>
                    </a:prstGeom>
                    <a:noFill/>
                  </pic:spPr>
                </pic:pic>
              </a:graphicData>
            </a:graphic>
          </wp:anchor>
        </w:drawing>
      </w:r>
    </w:p>
    <w:p>
      <w:pPr>
        <w:spacing w:after="0" w:line="7"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153" w:lineRule="exact"/>
        <w:rPr>
          <w:sz w:val="20"/>
          <w:szCs w:val="20"/>
          <w:color w:val="auto"/>
        </w:rPr>
      </w:pPr>
    </w:p>
    <w:p>
      <w:pPr>
        <w:jc w:val="center"/>
        <w:ind w:right="-49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520"/>
          </w:cols>
          <w:pgMar w:left="440" w:top="378" w:right="939" w:bottom="1440" w:gutter="0" w:footer="0" w:header="0"/>
        </w:sectPr>
      </w:pPr>
    </w:p>
    <w:bookmarkStart w:id="769" w:name="page770"/>
    <w:bookmarkEnd w:id="769"/>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SUPPLEMENTAL INDENTURE TO BE DELIVERED BY SUBSEQUENT GUARANTORS</w:t>
      </w:r>
    </w:p>
    <w:p>
      <w:pPr>
        <w:spacing w:after="0" w:line="2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 Supplemental Indenture (this “</w:t>
      </w:r>
      <w:r>
        <w:rPr>
          <w:rFonts w:ascii="Times New Roman" w:cs="Times New Roman" w:eastAsia="Times New Roman" w:hAnsi="Times New Roman"/>
          <w:sz w:val="18"/>
          <w:szCs w:val="18"/>
          <w:b w:val="1"/>
          <w:bCs w:val="1"/>
          <w:color w:val="auto"/>
        </w:rPr>
        <w:t>Supplemental Indenture</w:t>
      </w:r>
      <w:r>
        <w:rPr>
          <w:rFonts w:ascii="Times New Roman" w:cs="Times New Roman" w:eastAsia="Times New Roman" w:hAnsi="Times New Roman"/>
          <w:sz w:val="18"/>
          <w:szCs w:val="18"/>
          <w:color w:val="auto"/>
        </w:rPr>
        <w:t>”), dated as of [__________] [__], 20[__], between _________________</w:t>
      </w:r>
    </w:p>
    <w:p>
      <w:pPr>
        <w:spacing w:after="0" w:line="31" w:lineRule="exact"/>
        <w:rPr>
          <w:sz w:val="20"/>
          <w:szCs w:val="20"/>
          <w:color w:val="auto"/>
        </w:rPr>
      </w:pPr>
    </w:p>
    <w:p>
      <w:pPr>
        <w:ind w:right="1020"/>
        <w:spacing w:after="0" w:line="260"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color w:val="auto"/>
        </w:rPr>
        <w:t>Guaranteeing Subsidiary</w:t>
      </w:r>
      <w:r>
        <w:rPr>
          <w:rFonts w:ascii="Times New Roman" w:cs="Times New Roman" w:eastAsia="Times New Roman" w:hAnsi="Times New Roman"/>
          <w:sz w:val="18"/>
          <w:szCs w:val="18"/>
          <w:color w:val="auto"/>
        </w:rPr>
        <w:t>”), a subsidiary of Versant Media Group, Inc., a corporation organized under the laws of Pennsylvania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Citibank, N.A., national association, acting through its agency and trust division as trustee (the “</w:t>
      </w:r>
      <w:r>
        <w:rPr>
          <w:rFonts w:ascii="Times New Roman" w:cs="Times New Roman" w:eastAsia="Times New Roman" w:hAnsi="Times New Roman"/>
          <w:sz w:val="18"/>
          <w:szCs w:val="18"/>
          <w:b w:val="1"/>
          <w:bCs w:val="1"/>
          <w:color w:val="auto"/>
        </w:rPr>
        <w:t>Trustee</w:t>
      </w:r>
      <w:r>
        <w:rPr>
          <w:rFonts w:ascii="Times New Roman" w:cs="Times New Roman" w:eastAsia="Times New Roman" w:hAnsi="Times New Roman"/>
          <w:sz w:val="18"/>
          <w:szCs w:val="18"/>
          <w:color w:val="auto"/>
        </w:rPr>
        <w:t>”).</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each of the Issuer and the Guarantors (as defined in the Indenture referred to below) has heretofore executed and delivered to the Trustee an indenture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dated as of October 29, 2025, providing for the issuance of an unlimited aggregate principal amount of 7.250% Senior Secured Notes due 2031 (the “</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the Guaranteeing Subsidiary shall execute and deliver to the Trustee a supplemental indenture pursuant to which the Guaranteeing Subsidiary shall unconditionally Guarantee all of the Issuer’s Obligations under the Notes and the Indenture on the terms and conditions set forth herein and under the Indenture; and</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WHEREAS, pursuant to Section 9.01 of the Indenture, the Trustee is authorized to execute and deliver this Supplemental Indenture without the consent of Holders of the Notes.</w:t>
      </w:r>
    </w:p>
    <w:p>
      <w:pPr>
        <w:spacing w:after="0" w:line="162"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parties mutually covenant and agree for the equal and ratable benefit of the Holders as follows:</w:t>
      </w:r>
    </w:p>
    <w:p>
      <w:pPr>
        <w:spacing w:after="0" w:line="162" w:lineRule="exact"/>
        <w:rPr>
          <w:sz w:val="20"/>
          <w:szCs w:val="20"/>
          <w:color w:val="auto"/>
        </w:rPr>
      </w:pPr>
    </w:p>
    <w:p>
      <w:pPr>
        <w:ind w:left="1160" w:hanging="173"/>
        <w:spacing w:after="0"/>
        <w:tabs>
          <w:tab w:leader="none" w:pos="1160"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Capitalized Terms</w:t>
      </w:r>
      <w:r>
        <w:rPr>
          <w:rFonts w:ascii="Times New Roman" w:cs="Times New Roman" w:eastAsia="Times New Roman" w:hAnsi="Times New Roman"/>
          <w:sz w:val="18"/>
          <w:szCs w:val="18"/>
          <w:color w:val="auto"/>
        </w:rPr>
        <w:t>. Capitalized terms used herein without definition shall have the meanings assigned to them in the Indenture.</w:t>
      </w:r>
    </w:p>
    <w:p>
      <w:pPr>
        <w:spacing w:after="0" w:line="225" w:lineRule="exact"/>
        <w:rPr>
          <w:rFonts w:ascii="Times New Roman" w:cs="Times New Roman" w:eastAsia="Times New Roman" w:hAnsi="Times New Roman"/>
          <w:sz w:val="18"/>
          <w:szCs w:val="18"/>
          <w:color w:val="auto"/>
        </w:rPr>
      </w:pPr>
    </w:p>
    <w:p>
      <w:pPr>
        <w:ind w:right="540" w:firstLine="987"/>
        <w:spacing w:after="0" w:line="282" w:lineRule="auto"/>
        <w:tabs>
          <w:tab w:leader="none" w:pos="1171"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The Guaranteeing Subsidiary hereby agrees to be a Guarantor under the Indenture and to be bound by the terms of the Indenture applicable to Guarantors, including Article X thereof.</w:t>
      </w:r>
    </w:p>
    <w:p>
      <w:pPr>
        <w:spacing w:after="0" w:line="161" w:lineRule="exact"/>
        <w:rPr>
          <w:rFonts w:ascii="Times New Roman" w:cs="Times New Roman" w:eastAsia="Times New Roman" w:hAnsi="Times New Roman"/>
          <w:sz w:val="18"/>
          <w:szCs w:val="18"/>
          <w:color w:val="auto"/>
        </w:rPr>
      </w:pPr>
    </w:p>
    <w:p>
      <w:pPr>
        <w:ind w:right="720" w:firstLine="987"/>
        <w:spacing w:after="0" w:line="282" w:lineRule="auto"/>
        <w:tabs>
          <w:tab w:leader="none" w:pos="1171"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Unless specifically noted in the Indenture, this Supplemental Indenture shall be governed by, and construed in accordance with, the laws of the State of New York, without regard to principles of conflicts of laws.</w:t>
      </w:r>
    </w:p>
    <w:p>
      <w:pPr>
        <w:spacing w:after="0" w:line="161" w:lineRule="exact"/>
        <w:rPr>
          <w:rFonts w:ascii="Times New Roman" w:cs="Times New Roman" w:eastAsia="Times New Roman" w:hAnsi="Times New Roman"/>
          <w:sz w:val="18"/>
          <w:szCs w:val="18"/>
          <w:color w:val="auto"/>
        </w:rPr>
      </w:pPr>
    </w:p>
    <w:p>
      <w:pPr>
        <w:ind w:right="60" w:firstLine="987"/>
        <w:spacing w:after="0" w:line="261" w:lineRule="auto"/>
        <w:tabs>
          <w:tab w:leader="none" w:pos="1171"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GUARANTEEING SUBSIDIARY AND THE TRUSTEE HEREBY IRREVOCABLY WAIVES, TO THE FULLEST EXTENT PERMITTED BY APPLICABLE LAW, ANY AND ALL RIGHT TO TRIAL BY JURY IN ANY LEGAL PROCEEDING ARISING OUT OF OR RELATING TO THE INDENTURE, THE NOTES, OR THE TRANSACTIONS CONTEMPLATED HEREBY.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770" w:name="page771"/>
    <w:bookmarkEnd w:id="770"/>
    <w:p>
      <w:pPr>
        <w:ind w:firstLine="987"/>
        <w:spacing w:after="0" w:line="271" w:lineRule="auto"/>
        <w:tabs>
          <w:tab w:leader="none" w:pos="1171" w:val="left"/>
        </w:tabs>
        <w:numPr>
          <w:ilvl w:val="0"/>
          <w:numId w:val="10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Counterparts</w:t>
      </w:r>
      <w:r>
        <w:rPr>
          <w:rFonts w:ascii="Times New Roman" w:cs="Times New Roman" w:eastAsia="Times New Roman" w:hAnsi="Times New Roman"/>
          <w:sz w:val="17"/>
          <w:szCs w:val="17"/>
          <w:color w:val="auto"/>
        </w:rPr>
        <w:t>. The parties may sign multiple counterparts of this Supplemental Indenture. Each signed counterpart shall be deemed an original, but all of them together represent the same agreement. The words “execution,” “signed,” “signature,” and words of like import in this Supplemental Indenture or in any other certificate, agreement or document related to this Supplemental Indenture shall include images of manually executed signatures transmitted by facsimile or other electronic format (including, without limitation, “pdf”, “tif” or “jpg”) and other electronic signatures (including, without limitation, DocuSign).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w:t>
      </w:r>
    </w:p>
    <w:p>
      <w:pPr>
        <w:spacing w:after="0" w:line="173" w:lineRule="exact"/>
        <w:rPr>
          <w:rFonts w:ascii="Times New Roman" w:cs="Times New Roman" w:eastAsia="Times New Roman" w:hAnsi="Times New Roman"/>
          <w:sz w:val="17"/>
          <w:szCs w:val="17"/>
          <w:color w:val="auto"/>
        </w:rPr>
      </w:pPr>
    </w:p>
    <w:p>
      <w:pPr>
        <w:ind w:right="20" w:firstLine="987"/>
        <w:spacing w:after="0" w:line="282" w:lineRule="auto"/>
        <w:tabs>
          <w:tab w:leader="none" w:pos="1171"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of the Sections of this Supplemental Indenture have been inserted for convenience of reference only, are not to be considered a part of this Supplemental Indenture and shall in no way modify or restrict any of the terms or provisions hereof.</w:t>
      </w:r>
    </w:p>
    <w:p>
      <w:pPr>
        <w:spacing w:after="0" w:line="161" w:lineRule="exact"/>
        <w:rPr>
          <w:rFonts w:ascii="Times New Roman" w:cs="Times New Roman" w:eastAsia="Times New Roman" w:hAnsi="Times New Roman"/>
          <w:sz w:val="18"/>
          <w:szCs w:val="18"/>
          <w:color w:val="auto"/>
        </w:rPr>
      </w:pPr>
    </w:p>
    <w:p>
      <w:pPr>
        <w:ind w:right="180" w:firstLine="987"/>
        <w:spacing w:after="0" w:line="282" w:lineRule="auto"/>
        <w:tabs>
          <w:tab w:leader="none" w:pos="1171"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Trustee</w:t>
      </w:r>
      <w:r>
        <w:rPr>
          <w:rFonts w:ascii="Times New Roman" w:cs="Times New Roman" w:eastAsia="Times New Roman" w:hAnsi="Times New Roman"/>
          <w:sz w:val="18"/>
          <w:szCs w:val="18"/>
          <w:color w:val="auto"/>
        </w:rPr>
        <w:t>. The Trustee makes no representation or warranty as to the validity or sufficiency of this Supplemental Indenture or with respect to the recitals contained herein, all of which recitals are made solely by the other parties hereto.</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Supplemental Indenture to be duly executed, all as of the date first above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GUARANTEEING SUBSIDIARY]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CITIBANK, N.A., AS TRUSTEE, PAYING AGENT,</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REGISTRAR, TRANSFER AGENT AND NOTES</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CUSTODIAN</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20"/>
          </w:cols>
          <w:pgMar w:left="440" w:top="270" w:right="539" w:bottom="1440" w:gutter="0" w:footer="0" w:header="0"/>
        </w:sectPr>
      </w:pPr>
    </w:p>
    <w:bookmarkStart w:id="771" w:name="page772"/>
    <w:bookmarkEnd w:id="771"/>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FORM OF CERTIFICATE FROM ACQUIRING</w:t>
      </w:r>
    </w:p>
    <w:p>
      <w:pPr>
        <w:spacing w:after="0" w:line="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INSTITUTIONAL ACCREDITED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904 Sylvan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Englewood Cliffs, New Jersey 07632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Legal Department.</w:t>
      </w:r>
    </w:p>
    <w:p>
      <w:pPr>
        <w:spacing w:after="0" w:line="72" w:lineRule="exact"/>
        <w:rPr>
          <w:sz w:val="20"/>
          <w:szCs w:val="20"/>
          <w:color w:val="auto"/>
        </w:rPr>
      </w:pPr>
    </w:p>
    <w:p>
      <w:pPr>
        <w:ind w:left="980"/>
        <w:spacing w:after="0" w:line="207" w:lineRule="exact"/>
        <w:tabs>
          <w:tab w:leader="none" w:pos="1940" w:val="left"/>
        </w:tabs>
        <w:rPr>
          <w:sz w:val="20"/>
          <w:szCs w:val="20"/>
          <w:color w:val="auto"/>
        </w:rPr>
      </w:pPr>
      <w:r>
        <w:rPr>
          <w:rFonts w:ascii="Times New Roman" w:cs="Times New Roman" w:eastAsia="Times New Roman" w:hAnsi="Times New Roman"/>
          <w:sz w:val="18"/>
          <w:szCs w:val="18"/>
          <w:color w:val="auto"/>
        </w:rPr>
        <w:t xml:space="preserve">Re:   </w:t>
      </w:r>
      <w:r>
        <w:rPr>
          <w:rFonts w:ascii="MS PGothic" w:cs="MS PGothic" w:eastAsia="MS PGothic" w:hAnsi="MS PGothic"/>
          <w:sz w:val="18"/>
          <w:szCs w:val="18"/>
          <w:u w:val="single" w:color="auto"/>
          <w:color w:val="auto"/>
        </w:rPr>
        <w:t>☐</w:t>
      </w:r>
      <w:r>
        <w:rPr>
          <w:sz w:val="20"/>
          <w:szCs w:val="20"/>
          <w:color w:val="auto"/>
        </w:rPr>
        <w:tab/>
      </w:r>
      <w:r>
        <w:rPr>
          <w:rFonts w:ascii="Times New Roman" w:cs="Times New Roman" w:eastAsia="Times New Roman" w:hAnsi="Times New Roman"/>
          <w:sz w:val="17"/>
          <w:szCs w:val="17"/>
          <w:color w:val="auto"/>
        </w:rPr>
        <w:t>7.250% SENIOR SECURED NOTES DUE 2031</w:t>
      </w:r>
    </w:p>
    <w:p>
      <w:pPr>
        <w:spacing w:after="0" w:line="70" w:lineRule="exact"/>
        <w:rPr>
          <w:sz w:val="20"/>
          <w:szCs w:val="20"/>
          <w:color w:val="auto"/>
        </w:rPr>
      </w:pPr>
    </w:p>
    <w:p>
      <w:pPr>
        <w:ind w:left="1960" w:hanging="979"/>
        <w:spacing w:after="0"/>
        <w:tabs>
          <w:tab w:leader="none" w:pos="1960" w:val="left"/>
        </w:tabs>
        <w:numPr>
          <w:ilvl w:val="0"/>
          <w:numId w:val="10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144A: 925283 AA1, Reg. S: U91919 AA5</w:t>
      </w:r>
    </w:p>
    <w:p>
      <w:pPr>
        <w:spacing w:after="0" w:line="7" w:lineRule="exact"/>
        <w:rPr>
          <w:rFonts w:ascii="Times New Roman" w:cs="Times New Roman" w:eastAsia="Times New Roman" w:hAnsi="Times New Roman"/>
          <w:sz w:val="18"/>
          <w:szCs w:val="18"/>
          <w:color w:val="auto"/>
        </w:rPr>
      </w:pPr>
    </w:p>
    <w:p>
      <w:pPr>
        <w:ind w:left="1960" w:hanging="979"/>
        <w:spacing w:after="0"/>
        <w:tabs>
          <w:tab w:leader="none" w:pos="1960" w:val="left"/>
        </w:tabs>
        <w:numPr>
          <w:ilvl w:val="0"/>
          <w:numId w:val="10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ISIN: 144A: US925283AA12, Reg. S: USU91919AA59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Sirs:</w:t>
      </w:r>
    </w:p>
    <w:p>
      <w:pPr>
        <w:spacing w:after="0" w:line="221" w:lineRule="exact"/>
        <w:rPr>
          <w:sz w:val="20"/>
          <w:szCs w:val="20"/>
          <w:color w:val="auto"/>
        </w:rPr>
      </w:pPr>
    </w:p>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t>Reference is hereby made to the Indenture, dated as of October 29, 2025 (the “</w:t>
      </w:r>
      <w:r>
        <w:rPr>
          <w:rFonts w:ascii="Times New Roman" w:cs="Times New Roman" w:eastAsia="Times New Roman" w:hAnsi="Times New Roman"/>
          <w:sz w:val="18"/>
          <w:szCs w:val="18"/>
          <w:b w:val="1"/>
          <w:bCs w:val="1"/>
          <w:color w:val="auto"/>
        </w:rPr>
        <w:t>Indenture</w:t>
      </w:r>
      <w:r>
        <w:rPr>
          <w:rFonts w:ascii="Times New Roman" w:cs="Times New Roman" w:eastAsia="Times New Roman" w:hAnsi="Times New Roman"/>
          <w:sz w:val="18"/>
          <w:szCs w:val="18"/>
          <w:color w:val="auto"/>
        </w:rPr>
        <w:t>”), among Versant Media Group, Inc., as issuer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 the Guarantors party thereto, Citibank, N.A., as the Trustee and the Notes Collateral Agent. Capitalized terms used but not defined herein shall have the meanings given to them in the Indenture.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$___________________ aggregate principal amount of 7.250% Senior Secured Notes due 2031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Notes</w:t>
      </w:r>
      <w:r>
        <w:rPr>
          <w:rFonts w:ascii="Times New Roman" w:cs="Times New Roman" w:eastAsia="Times New Roman" w:hAnsi="Times New Roman"/>
          <w:sz w:val="18"/>
          <w:szCs w:val="18"/>
          <w:color w:val="auto"/>
        </w:rPr>
        <w:t>”), we confirm that:</w:t>
      </w:r>
    </w:p>
    <w:p>
      <w:pPr>
        <w:spacing w:after="0" w:line="207" w:lineRule="exact"/>
        <w:rPr>
          <w:sz w:val="20"/>
          <w:szCs w:val="20"/>
          <w:color w:val="auto"/>
        </w:rPr>
      </w:pPr>
    </w:p>
    <w:p>
      <w:pPr>
        <w:ind w:right="260" w:firstLine="436"/>
        <w:spacing w:after="0" w:line="266" w:lineRule="auto"/>
        <w:tabs>
          <w:tab w:leader="none" w:pos="620" w:val="left"/>
        </w:tabs>
        <w:numPr>
          <w:ilvl w:val="0"/>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20" w:firstLine="436"/>
        <w:spacing w:after="0" w:line="253" w:lineRule="auto"/>
        <w:tabs>
          <w:tab w:leader="none" w:pos="620" w:val="left"/>
        </w:tabs>
        <w:numPr>
          <w:ilvl w:val="0"/>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of its subsidiaries, (B) in accordance with Rule 144A under the Securities Act to a “qualified institutional buyer” (as defined therein), (C) inside the United States to an institutional “accredited investor” (as defined below) purchasing for its own account or for the account of another institutional accredited investor that, prior to such transfer, furnishes (or has furnished on its behalf by a U.S. broker-dealer) to you and to the Issuer a signed letter substantially in the form of this letter, (D) pursuant to the provisions of Rule 144 under the Securities Act (if available), (E) in accordance with another exemption from the registration requirements of the Securities Act (and based upon an opinion of counsel acceptable to the Issuer) or (F) pursuant to an effective registration statement under the Securities Act, and we further agree to provide to any person purchasing the Notes from us in a transaction meeting the requirements of clauses (A) through (F) of this paragraph a notice advising such purchaser that resales thereof are restricted as stated herein.</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772" w:name="page773"/>
    <w:bookmarkEnd w:id="772"/>
    <w:p>
      <w:pPr>
        <w:ind w:right="20" w:firstLine="436"/>
        <w:spacing w:after="0" w:line="266" w:lineRule="auto"/>
        <w:tabs>
          <w:tab w:leader="none" w:pos="620" w:val="left"/>
        </w:tabs>
        <w:numPr>
          <w:ilvl w:val="0"/>
          <w:numId w:val="10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20" w:val="left"/>
        </w:tabs>
        <w:numPr>
          <w:ilvl w:val="0"/>
          <w:numId w:val="10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5" w:lineRule="exact"/>
        <w:rPr>
          <w:rFonts w:ascii="Times New Roman" w:cs="Times New Roman" w:eastAsia="Times New Roman" w:hAnsi="Times New Roman"/>
          <w:sz w:val="18"/>
          <w:szCs w:val="18"/>
          <w:color w:val="auto"/>
        </w:rPr>
      </w:pPr>
    </w:p>
    <w:p>
      <w:pPr>
        <w:ind w:right="20" w:firstLine="436"/>
        <w:spacing w:after="0" w:line="282" w:lineRule="auto"/>
        <w:tabs>
          <w:tab w:leader="none" w:pos="620" w:val="left"/>
        </w:tabs>
        <w:numPr>
          <w:ilvl w:val="0"/>
          <w:numId w:val="10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acquiring the Notes or beneficial interest therein purchased by us for our own account or for one or more accounts (each of which is an institutional “</w:t>
      </w:r>
      <w:r>
        <w:rPr>
          <w:rFonts w:ascii="Times New Roman" w:cs="Times New Roman" w:eastAsia="Times New Roman" w:hAnsi="Times New Roman"/>
          <w:sz w:val="18"/>
          <w:szCs w:val="18"/>
          <w:b w:val="1"/>
          <w:bCs w:val="1"/>
          <w:color w:val="auto"/>
        </w:rPr>
        <w:t>Accredited Investor</w:t>
      </w:r>
      <w:r>
        <w:rPr>
          <w:rFonts w:ascii="Times New Roman" w:cs="Times New Roman" w:eastAsia="Times New Roman" w:hAnsi="Times New Roman"/>
          <w:sz w:val="18"/>
          <w:szCs w:val="18"/>
          <w:color w:val="auto"/>
        </w:rPr>
        <w:t>”) as to each of which we exercise sole investment discretion.</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89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5">
                      <a:extLst>
                        <a:ext uri="{28A0092B-C50C-407E-A947-70E740481C1C}"/>
                      </a:extLst>
                    </a:blip>
                    <a:srcRect/>
                    <a:stretch>
                      <a:fillRect/>
                    </a:stretch>
                  </pic:blipFill>
                  <pic:spPr bwMode="auto">
                    <a:xfrm>
                      <a:off x="0" y="0"/>
                      <a:ext cx="2400300"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325755</wp:posOffset>
            </wp:positionV>
            <wp:extent cx="279463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[Insert Name of Accredited Investor]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15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900"/>
          </w:cols>
          <w:pgMar w:left="440" w:top="270" w:right="559" w:bottom="1440" w:gutter="0" w:footer="0" w:header="0"/>
        </w:sectPr>
      </w:pPr>
    </w:p>
    <w:bookmarkStart w:id="773" w:name="page774"/>
    <w:bookmarkEnd w:id="7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Preliminary Information Statement</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FF4338"/>
        </w:rPr>
        <w:t>(Subject to Completion, Dated October 31, 2025)</w:t>
      </w:r>
    </w:p>
    <w:p>
      <w:pPr>
        <w:spacing w:after="0" w:line="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INFORMATION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97155</wp:posOffset>
            </wp:positionV>
            <wp:extent cx="1423035" cy="95123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8">
                      <a:extLst>
                        <a:ext uri="{28A0092B-C50C-407E-A947-70E740481C1C}"/>
                      </a:extLst>
                    </a:blip>
                    <a:srcRect/>
                    <a:stretch>
                      <a:fillRect/>
                    </a:stretch>
                  </pic:blipFill>
                  <pic:spPr bwMode="auto">
                    <a:xfrm>
                      <a:off x="0" y="0"/>
                      <a:ext cx="1423035" cy="95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Versant Media Group, Inc.</w:t>
      </w:r>
    </w:p>
    <w:p>
      <w:pPr>
        <w:spacing w:after="0" w:line="129"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Class A common stock, par value $0.01 per share</w:t>
      </w:r>
    </w:p>
    <w:p>
      <w:pPr>
        <w:spacing w:after="0" w:line="3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Class B common stock, par value $0.01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6" w:lineRule="exact"/>
        <w:rPr>
          <w:sz w:val="20"/>
          <w:szCs w:val="20"/>
          <w:color w:val="auto"/>
        </w:rPr>
      </w:pPr>
    </w:p>
    <w:p>
      <w:pPr>
        <w:ind w:left="120" w:right="160" w:firstLine="440"/>
        <w:spacing w:after="0" w:line="271" w:lineRule="auto"/>
        <w:rPr>
          <w:sz w:val="20"/>
          <w:szCs w:val="20"/>
          <w:color w:val="auto"/>
        </w:rPr>
      </w:pPr>
      <w:r>
        <w:rPr>
          <w:rFonts w:ascii="Times New Roman" w:cs="Times New Roman" w:eastAsia="Times New Roman" w:hAnsi="Times New Roman"/>
          <w:sz w:val="16"/>
          <w:szCs w:val="16"/>
          <w:color w:val="auto"/>
        </w:rPr>
        <w:t>Comcast Corporation (“Comcast”) is furnishing this information statement in connection with the separation of certain cable television networks and complementary digital platforms from its remaining businesses, and the creation of an independent, publicly traded company named Versant Media Group, Inc. (“Versant”). Historically, this business has not been operated as a distinct business unit or division of Comcast. As a result, Comcast is undertaking a series of corporate reorganization transactions (the “Transactions”) in anticipation of the Distribution, which require strategic and structural realignment within Comcast’s operations. Following the Transactions, Versant, directly or indirectly through its subsidiaries, will hold the assets, liabilities and legal entities comprising the Spin Business (as defined herein). Versant is currently a wholly owned subsidiary of Comcast.</w:t>
      </w:r>
    </w:p>
    <w:p>
      <w:pPr>
        <w:spacing w:after="0" w:line="76" w:lineRule="exact"/>
        <w:rPr>
          <w:sz w:val="20"/>
          <w:szCs w:val="20"/>
          <w:color w:val="auto"/>
        </w:rPr>
      </w:pPr>
    </w:p>
    <w:p>
      <w:pPr>
        <w:ind w:left="120" w:right="80" w:firstLine="440"/>
        <w:spacing w:after="0" w:line="272" w:lineRule="auto"/>
        <w:rPr>
          <w:sz w:val="20"/>
          <w:szCs w:val="20"/>
          <w:color w:val="auto"/>
        </w:rPr>
      </w:pPr>
      <w:r>
        <w:rPr>
          <w:rFonts w:ascii="Times New Roman" w:cs="Times New Roman" w:eastAsia="Times New Roman" w:hAnsi="Times New Roman"/>
          <w:sz w:val="16"/>
          <w:szCs w:val="16"/>
          <w:color w:val="auto"/>
        </w:rPr>
        <w:t>All of the shares of Versant Class A common stock, par value $0.01 per share (the “Versant Class A common stock”), and Versant Class B common stock, par value $0.01 per share (the “Versant Class B common stock” and, together with the Versant Class A common stock, the “Versant common stock”), will be distributed, respectively, to the holders of Comcast Class A common stock, par value $0.01 per share (the “Comcast Class A common stock”), and holders of Comcast Class B common stock, par value $0.01 per share (the “Comcast Class B common stock” and, together with the Comcast Class A common stock, the “Comcast common stock”), of record as of the close of business on         , 2025, the record date (the “Distribution” and, together with the Transactions, the “Separation”). </w:t>
      </w:r>
    </w:p>
    <w:p>
      <w:pPr>
        <w:spacing w:after="0" w:line="78" w:lineRule="exact"/>
        <w:rPr>
          <w:sz w:val="20"/>
          <w:szCs w:val="20"/>
          <w:color w:val="auto"/>
        </w:rPr>
      </w:pPr>
    </w:p>
    <w:p>
      <w:pPr>
        <w:ind w:left="120" w:right="220" w:firstLine="440"/>
        <w:spacing w:after="0" w:line="298" w:lineRule="auto"/>
        <w:rPr>
          <w:sz w:val="20"/>
          <w:szCs w:val="20"/>
          <w:color w:val="auto"/>
        </w:rPr>
      </w:pPr>
      <w:r>
        <w:rPr>
          <w:rFonts w:ascii="Times New Roman" w:cs="Times New Roman" w:eastAsia="Times New Roman" w:hAnsi="Times New Roman"/>
          <w:sz w:val="16"/>
          <w:szCs w:val="16"/>
          <w:color w:val="auto"/>
        </w:rPr>
        <w:t>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w:t>
      </w:r>
    </w:p>
    <w:p>
      <w:pPr>
        <w:spacing w:after="0" w:line="56"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6"/>
          <w:szCs w:val="16"/>
          <w:color w:val="auto"/>
        </w:rPr>
        <w:t>The Distribution is expected to be completed after the close of trading on The Nasdaq Stock Market LLC (“Nasdaq”) on        , 2026. Upon the effectiveness of the Distribution, Versant will be an independent, publicly traded company. We expect that, for U.S. federal income tax purposes, no gain or loss will be recognized by you, and no amount will be included in your income in connection with the Distribution, except to the extent of any cash you receive in lieu of fractional shares of Versant common stock.</w:t>
      </w:r>
    </w:p>
    <w:p>
      <w:pPr>
        <w:spacing w:after="0" w:line="75"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No vote or other action is required by you to receive shares of Versant common stock in the Distribution. You will not be required to pay anything for the new shares of Versant common stock or to surrender any of your shares of Comcast common stock. We are not asking you for a proxy and you should not send us a proxy.</w:t>
      </w:r>
    </w:p>
    <w:p>
      <w:pPr>
        <w:spacing w:after="0" w:line="56" w:lineRule="exact"/>
        <w:rPr>
          <w:sz w:val="20"/>
          <w:szCs w:val="20"/>
          <w:color w:val="auto"/>
        </w:rPr>
      </w:pPr>
    </w:p>
    <w:p>
      <w:pPr>
        <w:jc w:val="both"/>
        <w:ind w:left="120" w:right="220" w:firstLine="440"/>
        <w:spacing w:after="0" w:line="275" w:lineRule="auto"/>
        <w:rPr>
          <w:sz w:val="20"/>
          <w:szCs w:val="20"/>
          <w:color w:val="auto"/>
        </w:rPr>
      </w:pPr>
      <w:r>
        <w:rPr>
          <w:rFonts w:ascii="Times New Roman" w:cs="Times New Roman" w:eastAsia="Times New Roman" w:hAnsi="Times New Roman"/>
          <w:sz w:val="16"/>
          <w:szCs w:val="16"/>
          <w:color w:val="auto"/>
        </w:rPr>
        <w:t>There currently is no trading market for Versant Class A common stock. Versant has applied to have its shares of Class A common stock listed on Nasdaq under the ticker symbol “VSNT.” Assuming Nasdaq authorizes Versant Class A common stock for listing, we anticipate that a limited market, commonly known as a “when-issued” trading market, for Versant Class A common stock will commence on         , 2025 and will continue up to and including the Distribution Date (as defined herein). We expect the “regular-way” trading of Versant Class A common stock will begin on the first trading day following the Distribution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142240</wp:posOffset>
            </wp:positionV>
            <wp:extent cx="147447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b w:val="1"/>
          <w:bCs w:val="1"/>
          <w:i w:val="1"/>
          <w:iCs w:val="1"/>
          <w:color w:val="auto"/>
        </w:rPr>
        <w:t>In reviewing this information statement, you should carefully consider the matters described under the caption “</w:t>
      </w:r>
      <w:r>
        <w:rPr>
          <w:rFonts w:ascii="Times New Roman" w:cs="Times New Roman" w:eastAsia="Times New Roman" w:hAnsi="Times New Roman"/>
          <w:sz w:val="16"/>
          <w:szCs w:val="16"/>
          <w:b w:val="1"/>
          <w:bCs w:val="1"/>
          <w:i w:val="1"/>
          <w:iCs w:val="1"/>
          <w:u w:val="single" w:color="auto"/>
          <w:color w:val="0000EE"/>
        </w:rPr>
        <w:t>Risk Factors</w:t>
      </w:r>
      <w:r>
        <w:rPr>
          <w:rFonts w:ascii="Times New Roman" w:cs="Times New Roman" w:eastAsia="Times New Roman" w:hAnsi="Times New Roman"/>
          <w:sz w:val="16"/>
          <w:szCs w:val="16"/>
          <w:b w:val="1"/>
          <w:bCs w:val="1"/>
          <w:i w:val="1"/>
          <w:iCs w:val="1"/>
          <w:color w:val="auto"/>
        </w:rPr>
        <w:t>” beginning on page 23.</w:t>
      </w:r>
    </w:p>
    <w:p>
      <w:pPr>
        <w:spacing w:after="0" w:line="131" w:lineRule="exact"/>
        <w:rPr>
          <w:sz w:val="20"/>
          <w:szCs w:val="20"/>
          <w:color w:val="auto"/>
        </w:rPr>
      </w:pPr>
    </w:p>
    <w:p>
      <w:pPr>
        <w:ind w:left="120" w:right="80" w:firstLine="440"/>
        <w:spacing w:after="0" w:line="298" w:lineRule="auto"/>
        <w:rPr>
          <w:sz w:val="20"/>
          <w:szCs w:val="20"/>
          <w:color w:val="auto"/>
        </w:rPr>
      </w:pPr>
      <w:r>
        <w:rPr>
          <w:rFonts w:ascii="Times New Roman" w:cs="Times New Roman" w:eastAsia="Times New Roman" w:hAnsi="Times New Roman"/>
          <w:sz w:val="16"/>
          <w:szCs w:val="16"/>
          <w:color w:val="auto"/>
        </w:rPr>
        <w:t>Neither the U.S. Securities and Exchange Commission (“SEC”) nor any state securities commission has approved or disapproved these securities or determined if this information statement is truthful or complete. Any representation to the contrary is a criminal offense.</w:t>
      </w:r>
    </w:p>
    <w:p>
      <w:pPr>
        <w:spacing w:after="0" w:line="5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This information statement does not constitute an offer to sell or the solicitation of an offer to buy any securities.</w:t>
      </w:r>
    </w:p>
    <w:p>
      <w:pPr>
        <w:spacing w:after="0" w:line="125"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 xml:space="preserve">The date of this information statement is </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  , 2025.</w:t>
      </w:r>
    </w:p>
    <w:p>
      <w:pPr>
        <w:spacing w:after="0" w:line="129" w:lineRule="exact"/>
        <w:rPr>
          <w:sz w:val="20"/>
          <w:szCs w:val="20"/>
          <w:color w:val="auto"/>
        </w:rPr>
      </w:pPr>
    </w:p>
    <w:p>
      <w:pPr>
        <w:ind w:left="120" w:right="280" w:firstLine="440"/>
        <w:spacing w:after="0" w:line="298" w:lineRule="auto"/>
        <w:rPr>
          <w:sz w:val="20"/>
          <w:szCs w:val="20"/>
          <w:color w:val="auto"/>
        </w:rPr>
      </w:pPr>
      <w:r>
        <w:rPr>
          <w:rFonts w:ascii="Times New Roman" w:cs="Times New Roman" w:eastAsia="Times New Roman" w:hAnsi="Times New Roman"/>
          <w:sz w:val="16"/>
          <w:szCs w:val="16"/>
          <w:color w:val="auto"/>
        </w:rPr>
        <w:t>A Notice of Internet Availability of Information Statement Materials containing instructions describing how to access the information statement was first made available to Comcast shareholders on or about         , 2025.</w:t>
      </w:r>
    </w:p>
    <w:p>
      <w:pPr>
        <w:sectPr>
          <w:pgSz w:w="11900" w:h="16838" w:orient="portrait"/>
          <w:cols w:equalWidth="0" w:num="1">
            <w:col w:w="11140"/>
          </w:cols>
          <w:pgMar w:left="320" w:top="118" w:right="439" w:bottom="1440" w:gutter="0" w:footer="0" w:header="0"/>
        </w:sectPr>
      </w:pPr>
    </w:p>
    <w:bookmarkStart w:id="774" w:name="page775"/>
    <w:bookmarkEnd w:id="7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740" w:type="dxa"/>
            <w:vAlign w:val="bottom"/>
            <w:gridSpan w:val="3"/>
          </w:tcPr>
          <w:p>
            <w:pPr>
              <w:ind w:left="6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346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color w:val="0000EE"/>
                <w:w w:val="99"/>
              </w:rPr>
              <w:t>Presentation of Financial and Other Information</w:t>
            </w:r>
          </w:p>
        </w:tc>
        <w:tc>
          <w:tcPr>
            <w:tcW w:w="7180" w:type="dxa"/>
            <w:vAlign w:val="bottom"/>
            <w:gridSpan w:val="6"/>
            <w:vMerge w:val="restart"/>
          </w:tcPr>
          <w:p>
            <w:pPr>
              <w:spacing w:after="0"/>
              <w:rPr>
                <w:sz w:val="24"/>
                <w:szCs w:val="2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Page</w:t>
            </w:r>
          </w:p>
        </w:tc>
        <w:tc>
          <w:tcPr>
            <w:tcW w:w="0" w:type="dxa"/>
            <w:vAlign w:val="bottom"/>
          </w:tcPr>
          <w:p>
            <w:pPr>
              <w:spacing w:after="0"/>
              <w:rPr>
                <w:sz w:val="1"/>
                <w:szCs w:val="1"/>
                <w:color w:val="auto"/>
              </w:rPr>
            </w:pPr>
          </w:p>
        </w:tc>
      </w:tr>
      <w:tr>
        <w:trPr>
          <w:trHeight w:val="174"/>
        </w:trPr>
        <w:tc>
          <w:tcPr>
            <w:tcW w:w="3460" w:type="dxa"/>
            <w:vAlign w:val="bottom"/>
            <w:tcBorders>
              <w:bottom w:val="single" w:sz="8" w:color="0000EE"/>
            </w:tcBorders>
            <w:gridSpan w:val="12"/>
            <w:vMerge w:val="continue"/>
          </w:tcPr>
          <w:p>
            <w:pPr>
              <w:spacing w:after="0"/>
              <w:rPr>
                <w:sz w:val="14"/>
                <w:szCs w:val="14"/>
                <w:color w:val="auto"/>
              </w:rPr>
            </w:pPr>
          </w:p>
        </w:tc>
        <w:tc>
          <w:tcPr>
            <w:tcW w:w="7180" w:type="dxa"/>
            <w:vAlign w:val="bottom"/>
            <w:gridSpan w:val="6"/>
            <w:vMerge w:val="continue"/>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ii</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8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Special Note Regarding Forward-Looking Statements</w:t>
            </w:r>
          </w:p>
        </w:tc>
        <w:tc>
          <w:tcPr>
            <w:tcW w:w="6760" w:type="dxa"/>
            <w:vAlign w:val="bottom"/>
            <w:gridSpan w:val="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iv</w:t>
            </w:r>
          </w:p>
        </w:tc>
        <w:tc>
          <w:tcPr>
            <w:tcW w:w="0" w:type="dxa"/>
            <w:vAlign w:val="bottom"/>
          </w:tcPr>
          <w:p>
            <w:pPr>
              <w:spacing w:after="0"/>
              <w:rPr>
                <w:sz w:val="1"/>
                <w:szCs w:val="1"/>
                <w:color w:val="auto"/>
              </w:rPr>
            </w:pPr>
          </w:p>
        </w:tc>
      </w:tr>
      <w:tr>
        <w:trPr>
          <w:trHeight w:val="196"/>
        </w:trPr>
        <w:tc>
          <w:tcPr>
            <w:tcW w:w="7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Summary</w:t>
            </w:r>
          </w:p>
        </w:tc>
        <w:tc>
          <w:tcPr>
            <w:tcW w:w="9940" w:type="dxa"/>
            <w:vAlign w:val="bottom"/>
            <w:gridSpan w:val="16"/>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The Separation</w:t>
            </w:r>
          </w:p>
        </w:tc>
        <w:tc>
          <w:tcPr>
            <w:tcW w:w="9540" w:type="dxa"/>
            <w:vAlign w:val="bottom"/>
            <w:gridSpan w:val="1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196"/>
        </w:trPr>
        <w:tc>
          <w:tcPr>
            <w:tcW w:w="11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8"/>
              </w:rPr>
              <w:t>Dividend Policy</w:t>
            </w:r>
          </w:p>
        </w:tc>
        <w:tc>
          <w:tcPr>
            <w:tcW w:w="9460" w:type="dxa"/>
            <w:vAlign w:val="bottom"/>
            <w:gridSpan w:val="1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Capitalization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gridSpan w:val="3"/>
            <w:shd w:val="clear" w:color="auto" w:fill="0000EE"/>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0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Unaudited Pro Forma Combined Financial Statements</w:t>
            </w:r>
          </w:p>
        </w:tc>
        <w:tc>
          <w:tcPr>
            <w:tcW w:w="6740" w:type="dxa"/>
            <w:vAlign w:val="bottom"/>
            <w:gridSpan w:val="3"/>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196"/>
        </w:trPr>
        <w:tc>
          <w:tcPr>
            <w:tcW w:w="646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1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64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10000" w:type="dxa"/>
            <w:vAlign w:val="bottom"/>
            <w:gridSpan w:val="1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rPr>
              <w:t>Management</w:t>
            </w:r>
          </w:p>
        </w:tc>
        <w:tc>
          <w:tcPr>
            <w:tcW w:w="9640" w:type="dxa"/>
            <w:vAlign w:val="bottom"/>
            <w:gridSpan w:val="14"/>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Compensation Discussion and Analysis</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50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Certain Relationships and Related Party Transactions</w:t>
            </w:r>
          </w:p>
        </w:tc>
        <w:tc>
          <w:tcPr>
            <w:tcW w:w="6800" w:type="dxa"/>
            <w:vAlign w:val="bottom"/>
            <w:gridSpan w:val="5"/>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Ownership of Common Stock by Certain Beneficial Owners and Management</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196"/>
        </w:trPr>
        <w:tc>
          <w:tcPr>
            <w:tcW w:w="562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Description of Material Indebtedness</w:t>
            </w:r>
          </w:p>
        </w:tc>
        <w:tc>
          <w:tcPr>
            <w:tcW w:w="5020" w:type="dxa"/>
            <w:vAlign w:val="bottom"/>
            <w:gridSpan w:val="2"/>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6"/>
        </w:trPr>
        <w:tc>
          <w:tcPr>
            <w:tcW w:w="2660" w:type="dxa"/>
            <w:vAlign w:val="bottom"/>
            <w:tcBorders>
              <w:top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Description of Capital Stock</w:t>
            </w:r>
          </w:p>
        </w:tc>
        <w:tc>
          <w:tcPr>
            <w:tcW w:w="7980" w:type="dxa"/>
            <w:vAlign w:val="bottom"/>
            <w:gridSpan w:val="10"/>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0"/>
        </w:trPr>
        <w:tc>
          <w:tcPr>
            <w:tcW w:w="2040" w:type="dxa"/>
            <w:vAlign w:val="bottom"/>
            <w:gridSpan w:val="7"/>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Where You Can Find More Information</w:t>
            </w: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0"/>
        </w:trPr>
        <w:tc>
          <w:tcPr>
            <w:tcW w:w="2860" w:type="dxa"/>
            <w:vAlign w:val="bottom"/>
            <w:gridSpan w:val="10"/>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70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4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Index to Combined Financial Statements</w:t>
            </w:r>
          </w:p>
        </w:tc>
        <w:tc>
          <w:tcPr>
            <w:tcW w:w="7700" w:type="dxa"/>
            <w:vAlign w:val="bottom"/>
            <w:gridSpan w:val="7"/>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F-1</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080"/>
          </w:cols>
          <w:pgMar w:left="320" w:top="455" w:right="499" w:bottom="1440" w:gutter="0" w:footer="0" w:header="0"/>
        </w:sectPr>
      </w:pPr>
    </w:p>
    <w:bookmarkStart w:id="775" w:name="page776"/>
    <w:bookmarkEnd w:id="7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PRESENTATION OF FINANCIAL AND OTHER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use the following terms to refer to the items indicated:</w:t>
      </w:r>
    </w:p>
    <w:p>
      <w:pPr>
        <w:spacing w:after="0" w:line="131" w:lineRule="exact"/>
        <w:rPr>
          <w:sz w:val="20"/>
          <w:szCs w:val="20"/>
          <w:color w:val="auto"/>
        </w:rPr>
      </w:pPr>
    </w:p>
    <w:p>
      <w:pPr>
        <w:ind w:left="1080" w:hanging="424"/>
        <w:spacing w:after="0" w:line="258" w:lineRule="auto"/>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“us,” “our,” “Company,” and “Versant,” unless the context otherwise requires, refer to Versant Media Group, Inc., the entity that, after giving effect to the Transactions, will hold, directly or indirectly through its subsidiaries, the assets and liabilities comprising the Spin Business, as defined below, and the shares of common stock of which Comcast will distribute in connection with the Separation. Where appropriate given the context, the foregoing terms also include the subsidiaries of this entity; these terms may be used to describe the Spin Business prior to completion of the Separation.</w:t>
      </w:r>
    </w:p>
    <w:p>
      <w:pPr>
        <w:spacing w:after="0" w:line="88" w:lineRule="exact"/>
        <w:rPr>
          <w:rFonts w:ascii="Times New Roman" w:cs="Times New Roman" w:eastAsia="Times New Roman" w:hAnsi="Times New Roman"/>
          <w:sz w:val="18"/>
          <w:szCs w:val="18"/>
          <w:color w:val="auto"/>
        </w:rPr>
      </w:pPr>
    </w:p>
    <w:p>
      <w:pPr>
        <w:ind w:left="1080" w:right="80" w:hanging="424"/>
        <w:spacing w:after="0" w:line="266" w:lineRule="auto"/>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 Business” refers to the business, operations, products, services and activities of certain of Comcast’s cable television networks, including MSNBC, CNBC, USA Network, Golf Channel, E!, SYFY and Oxygen, and complementary digital platforms, including GolfNow, Fandango, Rotten Tomatoes and SportsEngine. See “Business” for more information.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common stock means, together, Comcast Class A common stock and Comcast Class B common stock.</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common stock means, together, Versant Class A common stock and Versant Class B common stock.</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where the context otherwise requires, the term “Comcast” refers to Comcast, the entity that owns Versant prior to the Separation and that after the Separation will remain a separately traded public company consisting of its remaining operations.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refers to the distribution of all of the shares of Versant common stock owned by Comcast to the holders of Comcast common stock as of the record date.</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“Transactions” refers to the series of corporate reorganization transactions which will result in the assets, liabilities and legal entities comprising the Spin Business being owned directly or indirectly by Versant.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312" w:lineRule="auto"/>
        <w:tabs>
          <w:tab w:leader="none" w:pos="1080" w:val="left"/>
        </w:tabs>
        <w:numPr>
          <w:ilvl w:val="0"/>
          <w:numId w:val="10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where the context otherwise requires, the term “Separation” refers to the separation of the Spin Business from Comcast and the creation of an independent, publicly traded company named Versant, through the consummation of the Transactions and the Distribution.</w:t>
      </w:r>
    </w:p>
    <w:p>
      <w:pPr>
        <w:spacing w:after="0" w:line="45" w:lineRule="exact"/>
        <w:rPr>
          <w:rFonts w:ascii="Times New Roman" w:cs="Times New Roman" w:eastAsia="Times New Roman" w:hAnsi="Times New Roman"/>
          <w:sz w:val="17"/>
          <w:szCs w:val="17"/>
          <w:color w:val="auto"/>
        </w:rPr>
      </w:pPr>
    </w:p>
    <w:p>
      <w:pPr>
        <w:ind w:left="1080" w:hanging="424"/>
        <w:spacing w:after="0"/>
        <w:tabs>
          <w:tab w:leader="none" w:pos="108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“Distribution Date” means the date on which the Distribution occurs.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Trademarks and Trade Names</w:t>
      </w:r>
    </w:p>
    <w:p>
      <w:pPr>
        <w:spacing w:after="0" w:line="121" w:lineRule="exact"/>
        <w:rPr>
          <w:sz w:val="20"/>
          <w:szCs w:val="20"/>
          <w:color w:val="auto"/>
        </w:rPr>
      </w:pPr>
    </w:p>
    <w:p>
      <w:pPr>
        <w:ind w:left="120" w:right="100" w:firstLine="440"/>
        <w:spacing w:after="0" w:line="247" w:lineRule="auto"/>
        <w:rPr>
          <w:sz w:val="20"/>
          <w:szCs w:val="20"/>
          <w:color w:val="auto"/>
        </w:rPr>
      </w:pPr>
      <w:r>
        <w:rPr>
          <w:rFonts w:ascii="Times New Roman" w:cs="Times New Roman" w:eastAsia="Times New Roman" w:hAnsi="Times New Roman"/>
          <w:sz w:val="17"/>
          <w:szCs w:val="17"/>
          <w:color w:val="auto"/>
        </w:rPr>
        <w:t xml:space="preserve">We own and license various trademark registrations, trademark applications and unregistered trademarks. All other trade names, trademarks and service marks of other companies appearing in this information statement are the property of their respective holders. Solely for convenience, the trademarks and trade names in this information statement may be referred to without the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25"/>
          <w:szCs w:val="25"/>
          <w:color w:val="auto"/>
          <w:vertAlign w:val="superscript"/>
        </w:rPr>
        <w:t>™</w:t>
      </w:r>
      <w:r>
        <w:rPr>
          <w:rFonts w:ascii="Times New Roman" w:cs="Times New Roman" w:eastAsia="Times New Roman" w:hAnsi="Times New Roman"/>
          <w:sz w:val="17"/>
          <w:szCs w:val="17"/>
          <w:color w:val="auto"/>
        </w:rPr>
        <w:t xml:space="preserve"> symbols, but such references should not be construed as any indicator that their respective owners will not assert, to the fullest extent under applicable law, their rights thereto. We do not intend to use or display other companies’ trademarks and trade names to imply a relationship with, or endorsement or sponsorship of us by, any other companies.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information statement includes industry and market data that we obtained from industry publications, third-party studies and surveys, such as from The Nielsen Company (US), LLC (“Nielsen”) and Comscore, Inc. (“comScore”), as well as internal analysis. Industry publications and surveys generally state that the information</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1080"/>
          </w:cols>
          <w:pgMar w:left="320" w:top="455" w:right="499" w:bottom="1440" w:gutter="0" w:footer="0" w:header="0"/>
        </w:sectPr>
      </w:pPr>
    </w:p>
    <w:bookmarkStart w:id="776" w:name="page777"/>
    <w:bookmarkEnd w:id="7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contained therein has been obtained from sources believed to be reliable. Each publication, study and report speaks as of its original publication date (and not as of the date of this information statement). While we are not aware of any misstatements regarding the industry or market data presented herein, such data and estimates, particularly as they relate to market size, market growth and our general expectations, involve important risks, uncertainties and assumptions and are subject to change based on various factors, including those discussed under the headings “Risk Factors,” “Special Note Regarding Forward-Looking Information,” and “Management’s Discussion and Analysis of Financial Condition and Results of Operations” in this information statement. These and other factors could cause results to differ materially from those expressed in the estimates and beliefs made by third parties and by us.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Historical Financial Information</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historical financial information of Versant has not been included in this information statement as, from its formation on May 1, 2025 to the date of this information statement, Versant has had no material assets, liabilities, operations, business transactions or activities other than those taken in contemplation of the Separation and those incidental to the preparation of this information statement and the registration statement on Form 10 to which this information statement is filed as an exhibit.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addition to our results provided throughout this information statement that are in accordance with generally accepted accounting principles in the United States (“GAAP”), we use Adjusted EBITDA, which is a non-GAAP financial measure, in this information statement. Adjusted EBITDA should not be considered in isolation, or as a substitute for our results as reported under GAAP. See “Management’s Discussion and Analysis of Financial Condition and Results of Operation—Non-GAAP Financial Measures” for a discussion on how we define and calculate Adjusted EBITDA, why we believe this measure is important and a reconciliation of the most directly comparable GAAP measure. Adjusted EBITDA should be read in conjunction with our unaudited condensed combined financial statements for the six months ended June 30, 2025 and our audited combined financial statements for the year ended December 31, 2024 (collectively, the “combined financial statements”) and accompanying notes included elsewhere in this information statement, “Summary—Summary Combined Financial and Other Data,” “Management’s Discussion and Analysis of Financial Condition and Results of Operations” and “Unaudited Pro Forma Combined Financial Statements.”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Rounding</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Numerical information in this report is presented on a rounded basis using actual amounts. Minor differences in totals and percentage calculations may exist due to rounding.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120"/>
          </w:cols>
          <w:pgMar w:left="320" w:top="455" w:right="459" w:bottom="1440" w:gutter="0" w:footer="0" w:header="0"/>
        </w:sectPr>
      </w:pPr>
    </w:p>
    <w:bookmarkStart w:id="777" w:name="page778"/>
    <w:bookmarkEnd w:id="7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made statements under the captions “Summary,” “Risk Factors,” “Management’s Discussion and Analysis of Financial Condition and Results of Operations,” “Business” and in other sections of this information statement that are forward-looking statements. In some cases, you can identify these statements by forward-looking words such as “may,” “might,” “will,” “should,” “expects,” “plans,” “anticipates,” “believes,” “estimates,” “predicts,” “potential” or “continue,” the negative of these terms and other comparable terminology. These forward-looking statements, which are subject to risks, uncertainties and assumptions about us, may include projections, forecasts or assumptions of our future financial performance, our anticipated growth strategies and anticipated trends in our business. These statements are only predictions based on our current expectations and projections about future events. There are important factors that could cause our actual results, level of activity, performance or achievements to differ materially from the results, level of activity, performance or achievements expressed or implied by the forward-looking statements, including the numerous risks discussed under the caption entitled “Risk Factors.”</w:t>
      </w:r>
    </w:p>
    <w:p>
      <w:pPr>
        <w:spacing w:after="0" w:line="18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Although we believe the expectations reflected in the forward-looking statements are reasonable, we cannot guarantee future results, level of activity, performance or achievements. Moreover, neither we nor any other person assumes responsibility for the accuracy and completeness of any of these forward-looking statements. Except as required by law, neither Comcast is nor we are under any duty to update any of these forward-looking statements after the date of this information statement to conform our prior statements to actual results or revised expectations.</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1080"/>
          </w:cols>
          <w:pgMar w:left="320" w:top="455" w:right="499" w:bottom="1440" w:gutter="0" w:footer="0" w:header="0"/>
        </w:sectPr>
      </w:pPr>
    </w:p>
    <w:bookmarkStart w:id="778" w:name="page779"/>
    <w:bookmarkEnd w:id="7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15061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6">
                      <a:extLst>
                        <a:ext uri="{28A0092B-C50C-407E-A947-70E740481C1C}"/>
                      </a:extLst>
                    </a:blip>
                    <a:srcRect/>
                    <a:stretch>
                      <a:fillRect/>
                    </a:stretch>
                  </pic:blipFill>
                  <pic:spPr bwMode="auto">
                    <a:xfrm>
                      <a:off x="0" y="0"/>
                      <a:ext cx="6998970" cy="615061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7" w:lineRule="exact"/>
        <w:rPr>
          <w:sz w:val="20"/>
          <w:szCs w:val="20"/>
          <w:color w:val="auto"/>
        </w:rPr>
      </w:pPr>
    </w:p>
    <w:p>
      <w:pPr>
        <w:ind w:left="30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information statement. This summary does not contain all of the information that you should consider. You should read this entire information statement carefully, especially the risks of owning our common stock discussed under “Risk Factors” and our combined financial statements, our unaudited pro forma combined financial statements and the respective notes to those statements appearing elsewhere in this information statement. Except as otherwise indicated or unless the context otherwise requires, the information included in this information statement assumes the completion of all the transactions referred to in this information statement in connection with the Separation.</w:t>
      </w:r>
    </w:p>
    <w:p>
      <w:pPr>
        <w:spacing w:after="0" w:line="28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300" w:right="220" w:firstLine="426"/>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300" w:right="60" w:firstLine="426"/>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300" w:right="200" w:firstLine="426"/>
        <w:spacing w:after="0" w:line="255" w:lineRule="auto"/>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 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300" w:right="40" w:firstLine="426"/>
        <w:spacing w:after="0" w:line="282"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w:t>
      </w:r>
    </w:p>
    <w:p>
      <w:pPr>
        <w:spacing w:after="0" w:line="67" w:lineRule="exact"/>
        <w:rPr>
          <w:sz w:val="20"/>
          <w:szCs w:val="20"/>
          <w:color w:val="auto"/>
        </w:rPr>
      </w:pPr>
    </w:p>
    <w:p>
      <w:pPr>
        <w:ind w:left="1240" w:hanging="415"/>
        <w:spacing w:after="0" w:line="272" w:lineRule="auto"/>
        <w:tabs>
          <w:tab w:leader="none" w:pos="1240" w:val="left"/>
        </w:tabs>
        <w:numPr>
          <w:ilvl w:val="0"/>
          <w:numId w:val="10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MSNBC is a premier destination for politics, news and opinion through informed, distinct perspectives and analysis. MSNBC operates across multiple media platforms: multichannel video programming distributors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In August 2025, we announced the rebranding of MSNBC as My Source News Opinion World (MS NOW). This gives us the opportunity to create a distinct brand that underscores our mission to serve as the destination for domestic and international breaking news and best-in-class opinion journalism. The rebranding will become effective towards the end of 2025, at which time we expect to discontinue use of the MSNBC brand and begin using My Source News Opinion World (MS NOW) for the network and all related platforms and products.</w:t>
      </w:r>
    </w:p>
    <w:p>
      <w:pPr>
        <w:spacing w:after="0" w:line="77" w:lineRule="exact"/>
        <w:rPr>
          <w:rFonts w:ascii="Times New Roman" w:cs="Times New Roman" w:eastAsia="Times New Roman" w:hAnsi="Times New Roman"/>
          <w:sz w:val="17"/>
          <w:szCs w:val="17"/>
          <w:color w:val="auto"/>
        </w:rPr>
      </w:pPr>
    </w:p>
    <w:p>
      <w:pPr>
        <w:ind w:left="1240" w:right="480" w:hanging="415"/>
        <w:spacing w:after="0" w:line="282" w:lineRule="auto"/>
        <w:tabs>
          <w:tab w:leader="none" w:pos="1240" w:val="left"/>
        </w:tabs>
        <w:numPr>
          <w:ilvl w:val="0"/>
          <w:numId w:val="10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w:t>
      </w:r>
    </w:p>
    <w:p>
      <w:pPr>
        <w:spacing w:after="0" w:line="283"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40"/>
          </w:cols>
          <w:pgMar w:left="320" w:top="455" w:right="639" w:bottom="1440" w:gutter="0" w:footer="0" w:header="0"/>
        </w:sectPr>
      </w:pPr>
    </w:p>
    <w:bookmarkStart w:id="779" w:name="page780"/>
    <w:bookmarkEnd w:id="7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3626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8">
                      <a:extLst>
                        <a:ext uri="{28A0092B-C50C-407E-A947-70E740481C1C}"/>
                      </a:extLst>
                    </a:blip>
                    <a:srcRect/>
                    <a:stretch>
                      <a:fillRect/>
                    </a:stretch>
                  </pic:blipFill>
                  <pic:spPr bwMode="auto">
                    <a:xfrm>
                      <a:off x="0" y="0"/>
                      <a:ext cx="6998970" cy="563626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240"/>
        <w:spacing w:after="0" w:line="266" w:lineRule="auto"/>
        <w:rPr>
          <w:sz w:val="20"/>
          <w:szCs w:val="20"/>
          <w:color w:val="auto"/>
        </w:rPr>
      </w:pPr>
      <w:r>
        <w:rPr>
          <w:rFonts w:ascii="Times New Roman" w:cs="Times New Roman" w:eastAsia="Times New Roman" w:hAnsi="Times New Roman"/>
          <w:sz w:val="18"/>
          <w:szCs w:val="18"/>
          <w:color w:val="auto"/>
        </w:rPr>
        <w:t>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1" w:lineRule="exact"/>
        <w:rPr>
          <w:sz w:val="20"/>
          <w:szCs w:val="20"/>
          <w:color w:val="auto"/>
        </w:rPr>
      </w:pPr>
    </w:p>
    <w:p>
      <w:pPr>
        <w:ind w:left="1240" w:right="80" w:hanging="415"/>
        <w:spacing w:after="0" w:line="261"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 USA Network has been a top-five cable entertainment network each year for the past 30 years.</w:t>
      </w:r>
    </w:p>
    <w:p>
      <w:pPr>
        <w:spacing w:after="0" w:line="85" w:lineRule="exact"/>
        <w:rPr>
          <w:rFonts w:ascii="Times New Roman" w:cs="Times New Roman" w:eastAsia="Times New Roman" w:hAnsi="Times New Roman"/>
          <w:sz w:val="18"/>
          <w:szCs w:val="18"/>
          <w:color w:val="auto"/>
        </w:rPr>
      </w:pPr>
    </w:p>
    <w:p>
      <w:pPr>
        <w:ind w:left="1240" w:right="500" w:hanging="415"/>
        <w:spacing w:after="0" w:line="266"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 Golf Channel celebrated its 30th anniversary in 2025, making it the longest-running single-sport television network.</w:t>
      </w:r>
    </w:p>
    <w:p>
      <w:pPr>
        <w:spacing w:after="0" w:line="81" w:lineRule="exact"/>
        <w:rPr>
          <w:rFonts w:ascii="Times New Roman" w:cs="Times New Roman" w:eastAsia="Times New Roman" w:hAnsi="Times New Roman"/>
          <w:sz w:val="18"/>
          <w:szCs w:val="18"/>
          <w:color w:val="auto"/>
        </w:rPr>
      </w:pPr>
    </w:p>
    <w:p>
      <w:pPr>
        <w:ind w:left="1240" w:right="240" w:hanging="415"/>
        <w:spacing w:after="0" w:line="289" w:lineRule="auto"/>
        <w:tabs>
          <w:tab w:leader="none" w:pos="1240" w:val="left"/>
        </w:tabs>
        <w:numPr>
          <w:ilvl w:val="1"/>
          <w:numId w:val="10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63" w:lineRule="exact"/>
        <w:rPr>
          <w:rFonts w:ascii="Times New Roman" w:cs="Times New Roman" w:eastAsia="Times New Roman" w:hAnsi="Times New Roman"/>
          <w:sz w:val="17"/>
          <w:szCs w:val="17"/>
          <w:color w:val="auto"/>
        </w:rPr>
      </w:pPr>
    </w:p>
    <w:p>
      <w:pPr>
        <w:ind w:left="1240" w:right="40" w:hanging="415"/>
        <w:spacing w:after="0" w:line="261"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240" w:right="80" w:hanging="415"/>
        <w:spacing w:after="0" w:line="261"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 With a history of multiplatform digital and social content expertise, E! News Digital delivers audience, scale and premium content to fans across owned and third-party digital and social platforms.</w:t>
      </w:r>
    </w:p>
    <w:p>
      <w:pPr>
        <w:spacing w:after="0" w:line="85" w:lineRule="exact"/>
        <w:rPr>
          <w:rFonts w:ascii="Times New Roman" w:cs="Times New Roman" w:eastAsia="Times New Roman" w:hAnsi="Times New Roman"/>
          <w:sz w:val="18"/>
          <w:szCs w:val="18"/>
          <w:color w:val="auto"/>
        </w:rPr>
      </w:pPr>
    </w:p>
    <w:p>
      <w:pPr>
        <w:jc w:val="both"/>
        <w:ind w:left="1240" w:right="360" w:hanging="415"/>
        <w:spacing w:after="0" w:line="266"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 SYFY provides content on a multiplatform basis through SYFY’s network and related digital services.</w:t>
      </w:r>
    </w:p>
    <w:p>
      <w:pPr>
        <w:spacing w:after="0" w:line="81" w:lineRule="exact"/>
        <w:rPr>
          <w:rFonts w:ascii="Times New Roman" w:cs="Times New Roman" w:eastAsia="Times New Roman" w:hAnsi="Times New Roman"/>
          <w:sz w:val="18"/>
          <w:szCs w:val="18"/>
          <w:color w:val="auto"/>
        </w:rPr>
      </w:pPr>
    </w:p>
    <w:p>
      <w:pPr>
        <w:ind w:left="1240" w:right="300" w:hanging="415"/>
        <w:spacing w:after="0" w:line="261"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 Oxygen True Crime was the second most-viewed true crime network in 2024.</w:t>
      </w:r>
    </w:p>
    <w:p>
      <w:pPr>
        <w:spacing w:after="0" w:line="85" w:lineRule="exact"/>
        <w:rPr>
          <w:rFonts w:ascii="Times New Roman" w:cs="Times New Roman" w:eastAsia="Times New Roman" w:hAnsi="Times New Roman"/>
          <w:sz w:val="18"/>
          <w:szCs w:val="18"/>
          <w:color w:val="auto"/>
        </w:rPr>
      </w:pPr>
    </w:p>
    <w:p>
      <w:pPr>
        <w:ind w:left="1240" w:hanging="415"/>
        <w:spacing w:after="0" w:line="230" w:lineRule="auto"/>
        <w:tabs>
          <w:tab w:leader="none" w:pos="1240" w:val="left"/>
        </w:tabs>
        <w:numPr>
          <w:ilvl w:val="1"/>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Fandango Media includes Rotten Tomatoes, one of the world’s most trusted sources of movie and television reviews.</w:t>
      </w:r>
    </w:p>
    <w:p>
      <w:pPr>
        <w:spacing w:after="0" w:line="169" w:lineRule="exact"/>
        <w:rPr>
          <w:rFonts w:ascii="Times New Roman" w:cs="Times New Roman" w:eastAsia="Times New Roman" w:hAnsi="Times New Roman"/>
          <w:sz w:val="18"/>
          <w:szCs w:val="18"/>
          <w:color w:val="auto"/>
        </w:rPr>
      </w:pPr>
    </w:p>
    <w:p>
      <w:pPr>
        <w:ind w:left="500" w:right="220" w:hanging="203"/>
        <w:spacing w:after="0" w:line="214" w:lineRule="auto"/>
        <w:rPr>
          <w:rFonts w:ascii="Times New Roman" w:cs="Times New Roman" w:eastAsia="Times New Roman" w:hAnsi="Times New Roman"/>
          <w:sz w:val="18"/>
          <w:szCs w:val="18"/>
          <w:color w:val="auto"/>
        </w:rPr>
      </w:pP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i w:val="1"/>
          <w:iCs w:val="1"/>
          <w:color w:val="auto"/>
        </w:rPr>
        <w:t xml:space="preserve"> Source: Comscore Media Metrix Multi-Platform, July 2024 – August 2024, Desktop &amp; Mobile excluding Social Incremental, Monthly Unique Visitors, Desktop 2+ and Total Mobile 18+, [C] Fandango Sites.</w:t>
      </w:r>
    </w:p>
    <w:p>
      <w:pPr>
        <w:spacing w:after="0" w:line="320"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320" w:top="455" w:right="659" w:bottom="1440" w:gutter="0" w:footer="0" w:header="0"/>
        </w:sectPr>
      </w:pPr>
    </w:p>
    <w:bookmarkStart w:id="780" w:name="page781"/>
    <w:bookmarkEnd w:id="7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40778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0">
                      <a:extLst>
                        <a:ext uri="{28A0092B-C50C-407E-A947-70E740481C1C}"/>
                      </a:extLst>
                    </a:blip>
                    <a:srcRect/>
                    <a:stretch>
                      <a:fillRect/>
                    </a:stretch>
                  </pic:blipFill>
                  <pic:spPr bwMode="auto">
                    <a:xfrm>
                      <a:off x="0" y="0"/>
                      <a:ext cx="6998970" cy="64077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300" w:right="240" w:firstLine="426"/>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300" w:right="200" w:firstLine="426"/>
        <w:spacing w:after="0" w:line="261" w:lineRule="auto"/>
        <w:rPr>
          <w:sz w:val="20"/>
          <w:szCs w:val="20"/>
          <w:color w:val="auto"/>
        </w:rPr>
      </w:pPr>
      <w:r>
        <w:rPr>
          <w:rFonts w:ascii="Times New Roman" w:cs="Times New Roman" w:eastAsia="Times New Roman" w:hAnsi="Times New Roman"/>
          <w:sz w:val="18"/>
          <w:szCs w:val="18"/>
          <w:color w:val="auto"/>
        </w:rPr>
        <w:t>We generate revenue through sales of advertising on our networks and digital platforms. The price charged for each advertising unit on our networks is generally based on audience ratings, the value of our audiences to</w:t>
      </w:r>
    </w:p>
    <w:p>
      <w:pPr>
        <w:ind w:left="300" w:right="80"/>
        <w:spacing w:after="0" w:line="255" w:lineRule="auto"/>
        <w:rPr>
          <w:sz w:val="20"/>
          <w:szCs w:val="20"/>
          <w:color w:val="auto"/>
        </w:rPr>
      </w:pPr>
      <w:r>
        <w:rPr>
          <w:rFonts w:ascii="Times New Roman" w:cs="Times New Roman" w:eastAsia="Times New Roman" w:hAnsi="Times New Roman"/>
          <w:sz w:val="18"/>
          <w:szCs w:val="18"/>
          <w:color w:val="auto"/>
        </w:rPr>
        <w:t>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300" w:firstLine="426"/>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300" w:right="560" w:firstLine="426"/>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300" w:right="80" w:firstLine="426"/>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 research, technical and production staff to provide quality news programming. This model is designed to enable in-depth reporting and political analysis while streamlining production costs.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300" w:right="280" w:firstLine="426"/>
        <w:spacing w:after="0" w:line="282" w:lineRule="auto"/>
        <w:rPr>
          <w:sz w:val="20"/>
          <w:szCs w:val="20"/>
          <w:color w:val="auto"/>
        </w:rPr>
      </w:pPr>
      <w:r>
        <w:rPr>
          <w:rFonts w:ascii="Times New Roman" w:cs="Times New Roman" w:eastAsia="Times New Roman" w:hAnsi="Times New Roman"/>
          <w:sz w:val="18"/>
          <w:szCs w:val="18"/>
          <w:color w:val="auto"/>
        </w:rPr>
        <w:t>Our sports programming and related content is typically licensed under multiyear contractual agreements with the relevant sports leagues, and is produced by a combination of in-house and third-party teams. Following</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20"/>
          </w:cols>
          <w:pgMar w:left="320" w:top="455" w:right="659" w:bottom="1440" w:gutter="0" w:footer="0" w:header="0"/>
        </w:sectPr>
      </w:pPr>
    </w:p>
    <w:bookmarkStart w:id="781" w:name="page782"/>
    <w:bookmarkEnd w:id="7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2">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0"/>
        <w:spacing w:after="0" w:line="281" w:lineRule="auto"/>
        <w:rPr>
          <w:sz w:val="20"/>
          <w:szCs w:val="20"/>
          <w:color w:val="auto"/>
        </w:rPr>
      </w:pPr>
      <w:r>
        <w:rPr>
          <w:rFonts w:ascii="Times New Roman" w:cs="Times New Roman" w:eastAsia="Times New Roman" w:hAnsi="Times New Roman"/>
          <w:sz w:val="17"/>
          <w:szCs w:val="17"/>
          <w:color w:val="auto"/>
        </w:rPr>
        <w:t>the Separation, for sports programming displayed on our networks and platforms that remains covered by an agreement between NBCUniversal (including its subsidiaries) and the relevant sports league, NBCUniversal will enter into time purchase agreements with us on standard market terms pursuant to which NBCUniversal is permitted to exhibit such content on our networks and platforms. See “Business—How We Acquire Content—Sports Programming” and “The Separation—Agreements with Comcast—Certain Commercial Arrangements” for more information.</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300" w:right="20" w:firstLine="426"/>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ind w:left="300" w:right="80" w:firstLine="426"/>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300" w:right="160" w:firstLine="426"/>
        <w:spacing w:after="0" w:line="261"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MSNBC enjoyed the second highest audience engagement, measured by the average weekly watch time per viewer, among cable networks in 2024. Golf Channel aired more live golf for golf fans than all other U.S. television networks combined in 2024.</w:t>
      </w:r>
    </w:p>
    <w:p>
      <w:pPr>
        <w:spacing w:after="0" w:line="180" w:lineRule="exact"/>
        <w:rPr>
          <w:sz w:val="20"/>
          <w:szCs w:val="20"/>
          <w:color w:val="auto"/>
        </w:rPr>
      </w:pPr>
    </w:p>
    <w:p>
      <w:pPr>
        <w:ind w:left="300" w:right="180" w:firstLine="426"/>
        <w:spacing w:after="0" w:line="258"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was the number one news brand on YouTube in 2024, while CNBC has had the number one business website, based on total minutes of consumption, for four consecutive years as of 2024. Also in 2024, E! News Digital was the most followed pop culture news brand on social platforms.</w:t>
      </w:r>
    </w:p>
    <w:p>
      <w:pPr>
        <w:spacing w:after="0" w:line="30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60"/>
          </w:cols>
          <w:pgMar w:left="320" w:top="455" w:right="719" w:bottom="1440" w:gutter="0" w:footer="0" w:header="0"/>
        </w:sectPr>
      </w:pPr>
    </w:p>
    <w:bookmarkStart w:id="782" w:name="page783"/>
    <w:bookmarkEnd w:id="7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9630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4">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both"/>
        <w:ind w:left="300" w:right="360" w:firstLine="426"/>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300" w:right="100" w:firstLine="426"/>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89" w:lineRule="exact"/>
        <w:rPr>
          <w:sz w:val="20"/>
          <w:szCs w:val="20"/>
          <w:color w:val="auto"/>
        </w:rPr>
      </w:pPr>
    </w:p>
    <w:p>
      <w:pPr>
        <w:ind w:left="300" w:right="180" w:firstLine="426"/>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80" w:lineRule="exact"/>
        <w:rPr>
          <w:sz w:val="20"/>
          <w:szCs w:val="20"/>
          <w:color w:val="auto"/>
        </w:rPr>
      </w:pPr>
    </w:p>
    <w:p>
      <w:pPr>
        <w:ind w:left="300" w:right="100" w:firstLine="426"/>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300" w:firstLine="426"/>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 business represents a significant growth opportunity, both from underlying market growth and continued share gains.</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jc w:val="both"/>
        <w:ind w:left="300" w:right="180" w:firstLine="426"/>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9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320" w:top="455" w:right="699" w:bottom="1440" w:gutter="0" w:footer="0" w:header="0"/>
        </w:sectPr>
      </w:pPr>
    </w:p>
    <w:bookmarkStart w:id="783" w:name="page784"/>
    <w:bookmarkEnd w:id="7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6488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6">
                      <a:extLst>
                        <a:ext uri="{28A0092B-C50C-407E-A947-70E740481C1C}"/>
                      </a:extLst>
                    </a:blip>
                    <a:srcRect/>
                    <a:stretch>
                      <a:fillRect/>
                    </a:stretch>
                  </pic:blipFill>
                  <pic:spPr bwMode="auto">
                    <a:xfrm>
                      <a:off x="0" y="0"/>
                      <a:ext cx="6998970" cy="60648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300" w:right="680" w:firstLine="426"/>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ind w:left="300" w:right="120" w:firstLine="426"/>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300" w:firstLine="426"/>
        <w:spacing w:after="0" w:line="261"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 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80" w:lineRule="exact"/>
        <w:rPr>
          <w:sz w:val="20"/>
          <w:szCs w:val="20"/>
          <w:color w:val="auto"/>
        </w:rPr>
      </w:pPr>
    </w:p>
    <w:p>
      <w:pPr>
        <w:ind w:left="300" w:right="400" w:firstLine="426"/>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300" w:right="120" w:firstLine="426"/>
        <w:spacing w:after="0" w:line="258"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advertising-supported-video-on-demand (“AVOD”), subscription-video-on-demand (“SVOD”) and free-advertising-supported-streaming-television (“FAST”), as well as other distribution methods, including over-the-air (“OTA”) and live events. Building our presence on these platforms will further strengthen our business model.</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300" w:right="520" w:firstLine="426"/>
        <w:spacing w:after="0" w:line="266" w:lineRule="auto"/>
        <w:rPr>
          <w:sz w:val="20"/>
          <w:szCs w:val="20"/>
          <w:color w:val="auto"/>
        </w:rPr>
      </w:pPr>
      <w:r>
        <w:rPr>
          <w:rFonts w:ascii="Times New Roman" w:cs="Times New Roman" w:eastAsia="Times New Roman" w:hAnsi="Times New Roman"/>
          <w:sz w:val="18"/>
          <w:szCs w:val="18"/>
          <w:color w:val="auto"/>
        </w:rPr>
        <w:t>Our digital platforms, led by GolfNow, Fandango, Rotten Tomatoes and SportsEngine, have successfully delivered new value-added, monetizable services for core audiences. We expect to strategically grow and expand our digital platform business, helping to fuel long-term success. These digital brands are leaders in their</w:t>
      </w:r>
    </w:p>
    <w:p>
      <w:pPr>
        <w:spacing w:after="0" w:line="29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20"/>
          </w:cols>
          <w:pgMar w:left="320" w:top="455" w:right="659" w:bottom="1440" w:gutter="0" w:footer="0" w:header="0"/>
        </w:sectPr>
      </w:pPr>
    </w:p>
    <w:bookmarkStart w:id="784" w:name="page785"/>
    <w:bookmarkEnd w:id="7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93598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8">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We also see opportunities to continue to expand our product offerings leveraging other brands, as we have with CNBC’s branded streaming services, investing club, podcasts, conferences and live events.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300" w:right="100" w:firstLine="426"/>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121" w:lineRule="exact"/>
        <w:rPr>
          <w:sz w:val="20"/>
          <w:szCs w:val="20"/>
          <w:color w:val="auto"/>
        </w:rPr>
      </w:pPr>
    </w:p>
    <w:p>
      <w:pPr>
        <w:ind w:left="300" w:right="20" w:firstLine="426"/>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ind w:left="300" w:right="40" w:firstLine="426"/>
        <w:spacing w:after="0" w:line="255" w:lineRule="auto"/>
        <w:rPr>
          <w:sz w:val="20"/>
          <w:szCs w:val="20"/>
          <w:color w:val="auto"/>
        </w:rPr>
      </w:pPr>
      <w:r>
        <w:rPr>
          <w:rFonts w:ascii="Times New Roman" w:cs="Times New Roman" w:eastAsia="Times New Roman" w:hAnsi="Times New Roman"/>
          <w:sz w:val="18"/>
          <w:szCs w:val="18"/>
          <w:color w:val="auto"/>
        </w:rPr>
        <w:t>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(the “Distribution” and, together with the Transactions,</w:t>
      </w:r>
    </w:p>
    <w:p>
      <w:pPr>
        <w:spacing w:after="0" w:line="3" w:lineRule="exact"/>
        <w:rPr>
          <w:sz w:val="20"/>
          <w:szCs w:val="20"/>
          <w:color w:val="auto"/>
        </w:rPr>
      </w:pPr>
    </w:p>
    <w:p>
      <w:pPr>
        <w:ind w:left="300" w:right="260"/>
        <w:spacing w:after="0" w:line="253" w:lineRule="auto"/>
        <w:rPr>
          <w:sz w:val="20"/>
          <w:szCs w:val="20"/>
          <w:color w:val="auto"/>
        </w:rPr>
      </w:pPr>
      <w:r>
        <w:rPr>
          <w:rFonts w:ascii="Times New Roman" w:cs="Times New Roman" w:eastAsia="Times New Roman" w:hAnsi="Times New Roman"/>
          <w:sz w:val="18"/>
          <w:szCs w:val="18"/>
          <w:color w:val="auto"/>
        </w:rPr>
        <w:t>the “Separation”). Each of Comcast’s shareholders as of the record date will be entitled to receive        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9" w:lineRule="exact"/>
        <w:rPr>
          <w:sz w:val="20"/>
          <w:szCs w:val="20"/>
          <w:color w:val="auto"/>
        </w:rPr>
      </w:pPr>
    </w:p>
    <w:p>
      <w:pPr>
        <w:ind w:left="300" w:firstLine="426"/>
        <w:spacing w:after="0" w:line="25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Versant and Comcast will also enter into a Transition Services Agreement, which will set forth the terms under which Comcast will provide to Versant certain services or functions on a transitional basis that the companies historically have shared. For additional information, see “The Separation—Agreements with Comcast.”</w:t>
      </w:r>
    </w:p>
    <w:p>
      <w:pPr>
        <w:spacing w:after="0" w:line="187" w:lineRule="exact"/>
        <w:rPr>
          <w:sz w:val="20"/>
          <w:szCs w:val="20"/>
          <w:color w:val="auto"/>
        </w:rPr>
      </w:pPr>
    </w:p>
    <w:p>
      <w:pPr>
        <w:ind w:left="300" w:right="40" w:firstLine="426"/>
        <w:spacing w:after="0" w:line="266" w:lineRule="auto"/>
        <w:rPr>
          <w:sz w:val="20"/>
          <w:szCs w:val="20"/>
          <w:color w:val="auto"/>
        </w:rPr>
      </w:pPr>
      <w:r>
        <w:rPr>
          <w:rFonts w:ascii="Times New Roman" w:cs="Times New Roman" w:eastAsia="Times New Roman" w:hAnsi="Times New Roman"/>
          <w:sz w:val="18"/>
          <w:szCs w:val="18"/>
          <w:color w:val="auto"/>
        </w:rPr>
        <w:t>The Comcast Board of Directors (the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77" w:lineRule="exact"/>
        <w:rPr>
          <w:sz w:val="20"/>
          <w:szCs w:val="20"/>
          <w:color w:val="auto"/>
        </w:rPr>
      </w:pPr>
    </w:p>
    <w:p>
      <w:pPr>
        <w:ind w:left="1240" w:right="100" w:hanging="415"/>
        <w:spacing w:after="0" w:line="268" w:lineRule="auto"/>
        <w:tabs>
          <w:tab w:leader="none" w:pos="1240" w:val="left"/>
        </w:tabs>
        <w:numPr>
          <w:ilvl w:val="0"/>
          <w:numId w:val="10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Versant will seek to harness its business comprised of certain networks and complementary digital platforms to provide differentiated news, sports and entertainment content and</w:t>
      </w:r>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20"/>
          </w:cols>
          <w:pgMar w:left="320" w:top="455" w:right="659" w:bottom="1440" w:gutter="0" w:footer="0" w:header="0"/>
        </w:sectPr>
      </w:pPr>
    </w:p>
    <w:bookmarkStart w:id="785" w:name="page786"/>
    <w:bookmarkEnd w:id="7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1596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0">
                      <a:extLst>
                        <a:ext uri="{28A0092B-C50C-407E-A947-70E740481C1C}"/>
                      </a:extLst>
                    </a:blip>
                    <a:srcRect/>
                    <a:stretch>
                      <a:fillRect/>
                    </a:stretch>
                  </pic:blipFill>
                  <pic:spPr bwMode="auto">
                    <a:xfrm>
                      <a:off x="0" y="0"/>
                      <a:ext cx="6998970" cy="581596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right="60"/>
        <w:spacing w:after="0" w:line="261" w:lineRule="auto"/>
        <w:rPr>
          <w:sz w:val="20"/>
          <w:szCs w:val="20"/>
          <w:color w:val="auto"/>
        </w:rPr>
      </w:pPr>
      <w:r>
        <w:rPr>
          <w:rFonts w:ascii="Times New Roman" w:cs="Times New Roman" w:eastAsia="Times New Roman" w:hAnsi="Times New Roman"/>
          <w:sz w:val="18"/>
          <w:szCs w:val="18"/>
          <w:color w:val="auto"/>
        </w:rPr>
        <w:t>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1" w:lineRule="exact"/>
        <w:rPr>
          <w:sz w:val="20"/>
          <w:szCs w:val="20"/>
          <w:color w:val="auto"/>
        </w:rPr>
      </w:pPr>
    </w:p>
    <w:p>
      <w:pPr>
        <w:ind w:left="1240" w:right="20" w:hanging="415"/>
        <w:spacing w:after="0" w:line="254" w:lineRule="auto"/>
        <w:tabs>
          <w:tab w:leader="none" w:pos="124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drive shareholder returns. The Spin Business generated 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87" w:lineRule="exact"/>
        <w:rPr>
          <w:rFonts w:ascii="Times New Roman" w:cs="Times New Roman" w:eastAsia="Times New Roman" w:hAnsi="Times New Roman"/>
          <w:sz w:val="18"/>
          <w:szCs w:val="18"/>
          <w:color w:val="auto"/>
        </w:rPr>
      </w:pPr>
    </w:p>
    <w:p>
      <w:pPr>
        <w:ind w:left="1240" w:hanging="415"/>
        <w:spacing w:after="0" w:line="259" w:lineRule="auto"/>
        <w:tabs>
          <w:tab w:leader="none" w:pos="124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deep sector expertise and a dedicated board of directors (the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240" w:right="200" w:hanging="415"/>
        <w:spacing w:after="0" w:line="256" w:lineRule="auto"/>
        <w:tabs>
          <w:tab w:leader="none" w:pos="124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also will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7" w:lineRule="exact"/>
        <w:rPr>
          <w:sz w:val="20"/>
          <w:szCs w:val="20"/>
          <w:color w:val="auto"/>
        </w:rPr>
      </w:pPr>
    </w:p>
    <w:p>
      <w:pPr>
        <w:ind w:left="300" w:right="20" w:firstLine="426"/>
        <w:spacing w:after="0" w:line="254" w:lineRule="auto"/>
        <w:rPr>
          <w:sz w:val="20"/>
          <w:szCs w:val="20"/>
          <w:color w:val="auto"/>
        </w:rPr>
      </w:pPr>
      <w:r>
        <w:rPr>
          <w:rFonts w:ascii="Times New Roman" w:cs="Times New Roman" w:eastAsia="Times New Roman" w:hAnsi="Times New Roman"/>
          <w:sz w:val="18"/>
          <w:szCs w:val="18"/>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92" w:lineRule="exact"/>
        <w:rPr>
          <w:sz w:val="20"/>
          <w:szCs w:val="20"/>
          <w:color w:val="auto"/>
        </w:rPr>
      </w:pPr>
    </w:p>
    <w:p>
      <w:pPr>
        <w:ind w:left="300" w:right="200" w:firstLine="426"/>
        <w:spacing w:after="0" w:line="282" w:lineRule="auto"/>
        <w:rPr>
          <w:sz w:val="20"/>
          <w:szCs w:val="20"/>
          <w:color w:val="auto"/>
        </w:rPr>
      </w:pPr>
      <w:r>
        <w:rPr>
          <w:rFonts w:ascii="Times New Roman" w:cs="Times New Roman" w:eastAsia="Times New Roman" w:hAnsi="Times New Roman"/>
          <w:sz w:val="18"/>
          <w:szCs w:val="18"/>
          <w:color w:val="auto"/>
        </w:rPr>
        <w:t>The Distribution is subject to the satisfaction or waiver of certain conditions. For more information, see “Risk Factors—Spin-Related Risk Factors” and “The Separation—Conditions to the Distribution” included elsewhere in this information statement.</w:t>
      </w:r>
    </w:p>
    <w:p>
      <w:pPr>
        <w:spacing w:after="0" w:line="28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320" w:top="455" w:right="679" w:bottom="1440" w:gutter="0" w:footer="0" w:header="0"/>
        </w:sectPr>
      </w:pPr>
    </w:p>
    <w:bookmarkStart w:id="786" w:name="page787"/>
    <w:bookmarkEnd w:id="7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26428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2">
                      <a:extLst>
                        <a:ext uri="{28A0092B-C50C-407E-A947-70E740481C1C}"/>
                      </a:extLst>
                    </a:blip>
                    <a:srcRect/>
                    <a:stretch>
                      <a:fillRect/>
                    </a:stretch>
                  </pic:blipFill>
                  <pic:spPr bwMode="auto">
                    <a:xfrm>
                      <a:off x="0" y="0"/>
                      <a:ext cx="6998970" cy="12642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300" w:firstLine="426"/>
        <w:spacing w:after="0" w:line="274" w:lineRule="auto"/>
        <w:rPr>
          <w:sz w:val="20"/>
          <w:szCs w:val="20"/>
          <w:color w:val="auto"/>
        </w:rPr>
      </w:pPr>
      <w:r>
        <w:rPr>
          <w:rFonts w:ascii="Times New Roman" w:cs="Times New Roman" w:eastAsia="Times New Roman" w:hAnsi="Times New Roman"/>
          <w:sz w:val="17"/>
          <w:szCs w:val="17"/>
          <w:color w:val="auto"/>
        </w:rPr>
        <w:t>Versant was incorporated in Pennsylvania on May 1, 2025. Versant will not conduct any operations and will have no material assets or liabilities prior to the completion of the Transactions, pursuant to which the assets related to the Spin Business will be contributed to and the liabilities related to the Spin Business will be assumed by Versant in accordance with the Separation and Distribution Agreement and other agreements entered into in connection with the Separation. Our principal executive offices are located at 904 Sylvan Avenue, Englewood Cliffs, New Jersey 07632 and our telephone number is (201) 735-2622. Our Internet site will be www.versantmedia.com. Our website and the information contained therein or connected thereto is not incorporated into this information statement or the registration statement of which it forms a part.</w:t>
      </w:r>
    </w:p>
    <w:p>
      <w:pPr>
        <w:spacing w:after="0" w:line="294"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320" w:top="455" w:right="659" w:bottom="1440" w:gutter="0" w:footer="0" w:header="0"/>
        </w:sectPr>
      </w:pPr>
    </w:p>
    <w:bookmarkStart w:id="787" w:name="page788"/>
    <w:bookmarkEnd w:id="7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04774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4">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QUESTIONS AND ANSWERS ABOUT THE SEPARATION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Please see “The Separation” for a more detailed description of the matters summarized below.</w:t>
      </w:r>
    </w:p>
    <w:p>
      <w:pPr>
        <w:spacing w:after="0" w:line="133" w:lineRule="exact"/>
        <w:rPr>
          <w:sz w:val="20"/>
          <w:szCs w:val="20"/>
          <w:color w:val="auto"/>
        </w:rPr>
      </w:pPr>
    </w:p>
    <w:p>
      <w:pPr>
        <w:ind w:left="720" w:hanging="422"/>
        <w:spacing w:after="0"/>
        <w:tabs>
          <w:tab w:leader="none" w:pos="720" w:val="left"/>
        </w:tabs>
        <w:numPr>
          <w:ilvl w:val="0"/>
          <w:numId w:val="10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am I receiving this document?</w:t>
      </w:r>
    </w:p>
    <w:p>
      <w:pPr>
        <w:spacing w:after="0" w:line="133" w:lineRule="exact"/>
        <w:rPr>
          <w:sz w:val="20"/>
          <w:szCs w:val="20"/>
          <w:color w:val="auto"/>
        </w:rPr>
      </w:pPr>
    </w:p>
    <w:p>
      <w:pPr>
        <w:jc w:val="both"/>
        <w:ind w:left="720" w:right="20" w:hanging="422"/>
        <w:spacing w:after="0" w:line="261" w:lineRule="auto"/>
        <w:tabs>
          <w:tab w:leader="none" w:pos="720" w:val="left"/>
        </w:tabs>
        <w:numPr>
          <w:ilvl w:val="0"/>
          <w:numId w:val="10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receiving this document because you are a holder of shares of Comcast common stock on the record date for the Distribution and, as such, will be entitled to receive shares of Versant common stock upon completion of the transactions described in this information statement. We are sending you this document to inform you about the Separation and to provide you with information about Versant and its business and operations upon completion of the Separation.</w:t>
      </w:r>
    </w:p>
    <w:p>
      <w:pPr>
        <w:spacing w:after="0" w:line="326" w:lineRule="exact"/>
        <w:rPr>
          <w:sz w:val="20"/>
          <w:szCs w:val="20"/>
          <w:color w:val="auto"/>
        </w:rPr>
      </w:pPr>
    </w:p>
    <w:p>
      <w:pPr>
        <w:ind w:left="720" w:hanging="422"/>
        <w:spacing w:after="0"/>
        <w:tabs>
          <w:tab w:leader="none" w:pos="720" w:val="left"/>
        </w:tabs>
        <w:numPr>
          <w:ilvl w:val="0"/>
          <w:numId w:val="103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do I have to do to participate in the Separation?</w:t>
      </w:r>
    </w:p>
    <w:p>
      <w:pPr>
        <w:spacing w:after="0" w:line="133" w:lineRule="exact"/>
        <w:rPr>
          <w:sz w:val="20"/>
          <w:szCs w:val="20"/>
          <w:color w:val="auto"/>
        </w:rPr>
      </w:pPr>
    </w:p>
    <w:p>
      <w:pPr>
        <w:ind w:left="720" w:hanging="422"/>
        <w:spacing w:after="0" w:line="258" w:lineRule="auto"/>
        <w:tabs>
          <w:tab w:leader="none" w:pos="720" w:val="left"/>
        </w:tabs>
        <w:numPr>
          <w:ilvl w:val="0"/>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You will not be required to pay any cash or deliver any other consideration in order to receive the shares of Versant common stock that you will be entitled to receive upon completion of the Separation. In addition, no shareholder approval will be required for the Separation and therefore you are not being asked to provide a proxy with respect to any of your shares of Comcast common stock in connection with the Separation and you should not send us a proxy. The Distribution will not affect the number of outstanding shares of Comcast common stock or any rights of Comcast shareholders.</w:t>
      </w:r>
    </w:p>
    <w:p>
      <w:pPr>
        <w:spacing w:after="0" w:line="330" w:lineRule="exact"/>
        <w:rPr>
          <w:sz w:val="20"/>
          <w:szCs w:val="20"/>
          <w:color w:val="auto"/>
        </w:rPr>
      </w:pPr>
    </w:p>
    <w:p>
      <w:pPr>
        <w:ind w:left="720" w:hanging="422"/>
        <w:spacing w:after="0"/>
        <w:tabs>
          <w:tab w:leader="none" w:pos="720" w:val="left"/>
        </w:tabs>
        <w:numPr>
          <w:ilvl w:val="0"/>
          <w:numId w:val="103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Comcast separating the Spin Business from its other businesses?</w:t>
      </w:r>
    </w:p>
    <w:p>
      <w:pPr>
        <w:spacing w:after="0" w:line="133" w:lineRule="exact"/>
        <w:rPr>
          <w:sz w:val="20"/>
          <w:szCs w:val="20"/>
          <w:color w:val="auto"/>
        </w:rPr>
      </w:pPr>
    </w:p>
    <w:p>
      <w:pPr>
        <w:jc w:val="both"/>
        <w:ind w:left="720" w:right="220" w:hanging="422"/>
        <w:spacing w:after="0" w:line="266" w:lineRule="auto"/>
        <w:tabs>
          <w:tab w:leader="none" w:pos="720" w:val="left"/>
        </w:tabs>
        <w:numPr>
          <w:ilvl w:val="0"/>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believes separating the Spin Business from Comcast’s other businesses will provide both companies with a number of potential opportunities and benefits, such as improvements in strategic focus, resource allocation and capital deployment, management and employee incentives and increased investor choice and value creation. For more information, see “The Separation.”</w:t>
      </w:r>
    </w:p>
    <w:p>
      <w:pPr>
        <w:spacing w:after="0" w:line="322" w:lineRule="exact"/>
        <w:rPr>
          <w:sz w:val="20"/>
          <w:szCs w:val="20"/>
          <w:color w:val="auto"/>
        </w:rPr>
      </w:pPr>
    </w:p>
    <w:p>
      <w:pPr>
        <w:ind w:left="720" w:hanging="422"/>
        <w:spacing w:after="0"/>
        <w:tabs>
          <w:tab w:leader="none" w:pos="720" w:val="left"/>
        </w:tabs>
        <w:numPr>
          <w:ilvl w:val="0"/>
          <w:numId w:val="104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Versant?</w:t>
      </w:r>
    </w:p>
    <w:p>
      <w:pPr>
        <w:spacing w:after="0" w:line="133" w:lineRule="exact"/>
        <w:rPr>
          <w:sz w:val="20"/>
          <w:szCs w:val="20"/>
          <w:color w:val="auto"/>
        </w:rPr>
      </w:pPr>
    </w:p>
    <w:p>
      <w:pPr>
        <w:ind w:left="720" w:right="500" w:hanging="422"/>
        <w:spacing w:after="0" w:line="282" w:lineRule="auto"/>
        <w:tabs>
          <w:tab w:leader="none" w:pos="720" w:val="left"/>
        </w:tabs>
        <w:numPr>
          <w:ilvl w:val="0"/>
          <w:numId w:val="10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is a newly formed Pennsylvania corporation that will hold the Spin Business, directly or indirectly through its subsidiaries, and Versant Class A common stock will be publicly traded following the Separation.</w:t>
      </w:r>
    </w:p>
    <w:p>
      <w:pPr>
        <w:spacing w:after="0" w:line="308" w:lineRule="exact"/>
        <w:rPr>
          <w:sz w:val="20"/>
          <w:szCs w:val="20"/>
          <w:color w:val="auto"/>
        </w:rPr>
      </w:pPr>
    </w:p>
    <w:p>
      <w:pPr>
        <w:ind w:left="720" w:hanging="422"/>
        <w:spacing w:after="0"/>
        <w:tabs>
          <w:tab w:leader="none" w:pos="720" w:val="left"/>
        </w:tabs>
        <w:numPr>
          <w:ilvl w:val="0"/>
          <w:numId w:val="104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accomplish the Separation of Versant?</w:t>
      </w:r>
    </w:p>
    <w:p>
      <w:pPr>
        <w:spacing w:after="0" w:line="133" w:lineRule="exact"/>
        <w:rPr>
          <w:sz w:val="20"/>
          <w:szCs w:val="20"/>
          <w:color w:val="auto"/>
        </w:rPr>
      </w:pPr>
    </w:p>
    <w:p>
      <w:pPr>
        <w:ind w:left="720" w:right="100" w:hanging="422"/>
        <w:spacing w:after="0" w:line="281" w:lineRule="auto"/>
        <w:tabs>
          <w:tab w:leader="none" w:pos="720" w:val="left"/>
        </w:tabs>
        <w:numPr>
          <w:ilvl w:val="0"/>
          <w:numId w:val="10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Separation involves the consummation of (1) the Transactions, which will result in the transfer of the assets and liabilities related to the Spin Business to Versant or its subsidiaries, and (2) the Distribution, which will result in the distribution of all the shares of Versant common stock owned by Comcast to the holders of Comcast common stock as of the record date. Following the Transactions and the Distribution, Versant will be a publicly traded company independent from Comcast, and Comcast will not retain any ownership interest in Versant.</w:t>
      </w:r>
    </w:p>
    <w:p>
      <w:pPr>
        <w:spacing w:after="0" w:line="311" w:lineRule="exact"/>
        <w:rPr>
          <w:sz w:val="20"/>
          <w:szCs w:val="20"/>
          <w:color w:val="auto"/>
        </w:rPr>
      </w:pPr>
    </w:p>
    <w:p>
      <w:pPr>
        <w:ind w:left="720" w:hanging="422"/>
        <w:spacing w:after="0"/>
        <w:tabs>
          <w:tab w:leader="none" w:pos="720" w:val="left"/>
        </w:tabs>
        <w:numPr>
          <w:ilvl w:val="0"/>
          <w:numId w:val="104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I receive in the Distribution?</w:t>
      </w:r>
    </w:p>
    <w:p>
      <w:pPr>
        <w:spacing w:after="0" w:line="133" w:lineRule="exact"/>
        <w:rPr>
          <w:sz w:val="20"/>
          <w:szCs w:val="20"/>
          <w:color w:val="auto"/>
        </w:rPr>
      </w:pPr>
    </w:p>
    <w:p>
      <w:pPr>
        <w:ind w:left="720" w:right="140" w:hanging="422"/>
        <w:spacing w:after="0" w:line="266" w:lineRule="auto"/>
        <w:tabs>
          <w:tab w:leader="none" w:pos="72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Comcast common stock as of the record date will be entitled to receive share(s) of Versant Class A common stock or Versant Class B common stock for every share(s) of Comcast Class A common stock or Comcast Class B common stock, respectively, held by them on the record date.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40"/>
          </w:cols>
          <w:pgMar w:left="320" w:top="455" w:right="639" w:bottom="1440" w:gutter="0" w:footer="0" w:header="0"/>
        </w:sectPr>
      </w:pPr>
    </w:p>
    <w:bookmarkStart w:id="788" w:name="page789"/>
    <w:bookmarkEnd w:id="7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82752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6">
                      <a:extLst>
                        <a:ext uri="{28A0092B-C50C-407E-A947-70E740481C1C}"/>
                      </a:extLst>
                    </a:blip>
                    <a:srcRect/>
                    <a:stretch>
                      <a:fillRect/>
                    </a:stretch>
                  </pic:blipFill>
                  <pic:spPr bwMode="auto">
                    <a:xfrm>
                      <a:off x="0" y="0"/>
                      <a:ext cx="6998970" cy="682752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ind w:left="720" w:hanging="422"/>
        <w:spacing w:after="0"/>
        <w:tabs>
          <w:tab w:leader="none" w:pos="720" w:val="left"/>
        </w:tabs>
        <w:numPr>
          <w:ilvl w:val="0"/>
          <w:numId w:val="104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does my ownership in Comcast change as a result of the Separation?</w:t>
      </w:r>
    </w:p>
    <w:p>
      <w:pPr>
        <w:spacing w:after="0" w:line="133" w:lineRule="exact"/>
        <w:rPr>
          <w:sz w:val="20"/>
          <w:szCs w:val="20"/>
          <w:color w:val="auto"/>
        </w:rPr>
      </w:pPr>
    </w:p>
    <w:p>
      <w:pPr>
        <w:ind w:left="720" w:hanging="422"/>
        <w:spacing w:after="0"/>
        <w:tabs>
          <w:tab w:leader="none" w:pos="720" w:val="left"/>
        </w:tabs>
        <w:numPr>
          <w:ilvl w:val="0"/>
          <w:numId w:val="10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proportionate interest in Comcast will not change as a result of the Separation.</w:t>
      </w:r>
    </w:p>
    <w:p>
      <w:pPr>
        <w:spacing w:after="0" w:line="372" w:lineRule="exact"/>
        <w:rPr>
          <w:sz w:val="20"/>
          <w:szCs w:val="20"/>
          <w:color w:val="auto"/>
        </w:rPr>
      </w:pPr>
    </w:p>
    <w:p>
      <w:pPr>
        <w:ind w:left="720" w:hanging="422"/>
        <w:spacing w:after="0"/>
        <w:tabs>
          <w:tab w:leader="none" w:pos="720" w:val="left"/>
        </w:tabs>
        <w:numPr>
          <w:ilvl w:val="0"/>
          <w:numId w:val="10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is the record date for the Distribution?</w:t>
      </w:r>
    </w:p>
    <w:p>
      <w:pPr>
        <w:spacing w:after="0" w:line="133" w:lineRule="exact"/>
        <w:rPr>
          <w:sz w:val="20"/>
          <w:szCs w:val="20"/>
          <w:color w:val="auto"/>
        </w:rPr>
      </w:pPr>
    </w:p>
    <w:p>
      <w:pPr>
        <w:ind w:left="720" w:right="200" w:hanging="419"/>
        <w:spacing w:after="0" w:line="282" w:lineRule="auto"/>
        <w:tabs>
          <w:tab w:leader="none" w:pos="700" w:val="left"/>
        </w:tabs>
        <w:rPr>
          <w:sz w:val="20"/>
          <w:szCs w:val="20"/>
          <w:color w:val="auto"/>
        </w:rPr>
      </w:pPr>
      <w:r>
        <w:rPr>
          <w:rFonts w:ascii="Times New Roman" w:cs="Times New Roman" w:eastAsia="Times New Roman" w:hAnsi="Times New Roman"/>
          <w:sz w:val="18"/>
          <w:szCs w:val="18"/>
          <w:color w:val="auto"/>
        </w:rPr>
        <w:t>A:</w:t>
        <w:tab/>
        <w:t>The record date for the Distribution is        , 2025, and ownership will be determined as of the close of business on that date. When we refer to the record date in this information statement, we are referring to that time and date.</w:t>
      </w:r>
    </w:p>
    <w:p>
      <w:pPr>
        <w:spacing w:after="0" w:line="308" w:lineRule="exact"/>
        <w:rPr>
          <w:sz w:val="20"/>
          <w:szCs w:val="20"/>
          <w:color w:val="auto"/>
        </w:rPr>
      </w:pPr>
    </w:p>
    <w:p>
      <w:pPr>
        <w:ind w:left="720" w:hanging="422"/>
        <w:spacing w:after="0"/>
        <w:tabs>
          <w:tab w:leader="none" w:pos="720" w:val="left"/>
        </w:tabs>
        <w:numPr>
          <w:ilvl w:val="0"/>
          <w:numId w:val="10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When will the Distribution occur?</w:t>
      </w:r>
    </w:p>
    <w:p>
      <w:pPr>
        <w:spacing w:after="0" w:line="133" w:lineRule="exact"/>
        <w:rPr>
          <w:sz w:val="20"/>
          <w:szCs w:val="20"/>
          <w:color w:val="auto"/>
        </w:rPr>
      </w:pPr>
    </w:p>
    <w:p>
      <w:pPr>
        <w:ind w:left="720" w:hanging="422"/>
        <w:spacing w:after="0"/>
        <w:tabs>
          <w:tab w:leader="none" w:pos="720" w:val="left"/>
        </w:tabs>
        <w:numPr>
          <w:ilvl w:val="0"/>
          <w:numId w:val="10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is expected to occur on            , 2026.</w:t>
      </w:r>
    </w:p>
    <w:p>
      <w:pPr>
        <w:spacing w:after="0" w:line="372" w:lineRule="exact"/>
        <w:rPr>
          <w:sz w:val="20"/>
          <w:szCs w:val="20"/>
          <w:color w:val="auto"/>
        </w:rPr>
      </w:pPr>
    </w:p>
    <w:p>
      <w:pPr>
        <w:ind w:left="720" w:right="540" w:hanging="422"/>
        <w:spacing w:after="0" w:line="284" w:lineRule="auto"/>
        <w:tabs>
          <w:tab w:leader="none" w:pos="720" w:val="left"/>
        </w:tabs>
        <w:numPr>
          <w:ilvl w:val="0"/>
          <w:numId w:val="105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As a holder of shares of Comcast common stock as of the record date for the Distribution, how will shares of Versant common stock be distributed to me?</w:t>
      </w:r>
    </w:p>
    <w:p>
      <w:pPr>
        <w:spacing w:after="0" w:line="66" w:lineRule="exact"/>
        <w:rPr>
          <w:sz w:val="20"/>
          <w:szCs w:val="20"/>
          <w:color w:val="auto"/>
        </w:rPr>
      </w:pPr>
    </w:p>
    <w:p>
      <w:pPr>
        <w:ind w:left="720" w:right="120" w:hanging="422"/>
        <w:spacing w:after="0" w:line="261" w:lineRule="auto"/>
        <w:tabs>
          <w:tab w:leader="none" w:pos="720" w:val="left"/>
        </w:tabs>
        <w:numPr>
          <w:ilvl w:val="0"/>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registered shareholder that owns shares of Comcast Class A common stock directly in book-entry form through an account at Equiniti, you will receive your shares of Versant Class A common stock by way of direct registration in book-entry form. On or shortly after the Distribution Date, the distribution agent will mail to you an account statement that indicates the number of shares of Versant Class A common stock that have been registered in book-entry form in your name.</w:t>
      </w:r>
    </w:p>
    <w:p>
      <w:pPr>
        <w:spacing w:after="0" w:line="71" w:lineRule="exact"/>
        <w:rPr>
          <w:rFonts w:ascii="Times New Roman" w:cs="Times New Roman" w:eastAsia="Times New Roman" w:hAnsi="Times New Roman"/>
          <w:sz w:val="18"/>
          <w:szCs w:val="18"/>
          <w:color w:val="auto"/>
        </w:rPr>
      </w:pPr>
    </w:p>
    <w:p>
      <w:pPr>
        <w:ind w:left="720" w:right="1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are a beneficial shareholder and hold shares of Comcast Class A common stock through a bank or brokerage firm, your ownership would be recorded on the bank or brokerage firm’s books, and your bank or brokerage firm will credit your account for the shares of Versant Class A common stock that you are entitled to receive in the Distribution.</w:t>
      </w:r>
    </w:p>
    <w:p>
      <w:pPr>
        <w:spacing w:after="0" w:line="67" w:lineRule="exact"/>
        <w:rPr>
          <w:rFonts w:ascii="Times New Roman" w:cs="Times New Roman" w:eastAsia="Times New Roman" w:hAnsi="Times New Roman"/>
          <w:sz w:val="18"/>
          <w:szCs w:val="18"/>
          <w:color w:val="auto"/>
        </w:rPr>
      </w:pPr>
    </w:p>
    <w:p>
      <w:pPr>
        <w:ind w:left="72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holders of Comcast Class B common stock, you will be issued a share certificate representing the shares of Versant Class B common stock that you are entitled to receive. For additional information, see “The Separation—When and How You Will Receive the Distribution of Versant Shares.”</w:t>
      </w:r>
    </w:p>
    <w:p>
      <w:pPr>
        <w:spacing w:after="0" w:line="322" w:lineRule="exact"/>
        <w:rPr>
          <w:sz w:val="20"/>
          <w:szCs w:val="20"/>
          <w:color w:val="auto"/>
        </w:rPr>
      </w:pPr>
    </w:p>
    <w:p>
      <w:pPr>
        <w:ind w:left="720" w:hanging="422"/>
        <w:spacing w:after="0"/>
        <w:tabs>
          <w:tab w:leader="none" w:pos="720" w:val="left"/>
        </w:tabs>
        <w:numPr>
          <w:ilvl w:val="0"/>
          <w:numId w:val="105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Why is no Comcast shareholder vote required to approve the Separation and its material terms?</w:t>
      </w:r>
    </w:p>
    <w:p>
      <w:pPr>
        <w:spacing w:after="0" w:line="133" w:lineRule="exact"/>
        <w:rPr>
          <w:sz w:val="20"/>
          <w:szCs w:val="20"/>
          <w:color w:val="auto"/>
        </w:rPr>
      </w:pPr>
    </w:p>
    <w:p>
      <w:pPr>
        <w:ind w:left="720" w:right="260" w:hanging="422"/>
        <w:spacing w:after="0" w:line="312" w:lineRule="auto"/>
        <w:tabs>
          <w:tab w:leader="none" w:pos="720" w:val="left"/>
        </w:tabs>
        <w:numPr>
          <w:ilvl w:val="0"/>
          <w:numId w:val="10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Comcast is incorporated in Pennsylvania. Pennsylvania law does not require a shareholder vote to approve the Separation because the Separation does not constitute a sale, lease, exchange or other disposition of all, or substantially all, of the property and assets of Comcast.</w:t>
      </w:r>
    </w:p>
    <w:p>
      <w:pPr>
        <w:spacing w:after="0" w:line="286" w:lineRule="exact"/>
        <w:rPr>
          <w:sz w:val="20"/>
          <w:szCs w:val="20"/>
          <w:color w:val="auto"/>
        </w:rPr>
      </w:pPr>
    </w:p>
    <w:p>
      <w:pPr>
        <w:ind w:left="720" w:hanging="422"/>
        <w:spacing w:after="0"/>
        <w:tabs>
          <w:tab w:leader="none" w:pos="720" w:val="left"/>
        </w:tabs>
        <w:numPr>
          <w:ilvl w:val="0"/>
          <w:numId w:val="105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fractional shares be treated in the Distribution?</w:t>
      </w:r>
    </w:p>
    <w:p>
      <w:pPr>
        <w:spacing w:after="0" w:line="133" w:lineRule="exact"/>
        <w:rPr>
          <w:sz w:val="20"/>
          <w:szCs w:val="20"/>
          <w:color w:val="auto"/>
        </w:rPr>
      </w:pPr>
    </w:p>
    <w:p>
      <w:pPr>
        <w:ind w:left="720" w:hanging="422"/>
        <w:spacing w:after="0" w:line="256" w:lineRule="auto"/>
        <w:tabs>
          <w:tab w:leader="none" w:pos="720" w:val="left"/>
        </w:tabs>
        <w:numPr>
          <w:ilvl w:val="0"/>
          <w:numId w:val="10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will not receive fractional shares of Versant common stock in the Distribution. The distribution agent will aggregate fractional shares of Versant Class A common stock into whole shares, sell the whole shares (or cause 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 and at what price to sell the whole shares of Versant Class A common stock.</w:t>
      </w:r>
    </w:p>
    <w:p>
      <w:pPr>
        <w:spacing w:after="0" w:line="334" w:lineRule="exact"/>
        <w:rPr>
          <w:sz w:val="20"/>
          <w:szCs w:val="20"/>
          <w:color w:val="auto"/>
        </w:rPr>
      </w:pPr>
    </w:p>
    <w:p>
      <w:pPr>
        <w:ind w:left="720" w:hanging="422"/>
        <w:spacing w:after="0"/>
        <w:tabs>
          <w:tab w:leader="none" w:pos="720" w:val="left"/>
        </w:tabs>
        <w:numPr>
          <w:ilvl w:val="0"/>
          <w:numId w:val="105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are the U.S. federal income tax consequences to me of the Distribution?</w:t>
      </w:r>
    </w:p>
    <w:p>
      <w:pPr>
        <w:spacing w:after="0" w:line="133" w:lineRule="exact"/>
        <w:rPr>
          <w:sz w:val="20"/>
          <w:szCs w:val="20"/>
          <w:color w:val="auto"/>
        </w:rPr>
      </w:pPr>
    </w:p>
    <w:p>
      <w:pPr>
        <w:ind w:left="720" w:right="200" w:hanging="422"/>
        <w:spacing w:after="0" w:line="266" w:lineRule="auto"/>
        <w:tabs>
          <w:tab w:leader="none" w:pos="720" w:val="left"/>
        </w:tabs>
        <w:numPr>
          <w:ilvl w:val="0"/>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condition to the Distribution is Comcast’s receipt of an opinion of Davis Polk &amp; Wardwell LLP, to the effect that for U.S. federal income tax purposes, the Distribution, together with certain related transactions, will qualify as a “reorganization” within the meaning of Section 368(a)(1)(D) of the Internal Revenue Code</w:t>
      </w:r>
    </w:p>
    <w:p>
      <w:pPr>
        <w:spacing w:after="0" w:line="29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320" w:top="455" w:right="639" w:bottom="1440" w:gutter="0" w:footer="0" w:header="0"/>
        </w:sectPr>
      </w:pPr>
    </w:p>
    <w:bookmarkStart w:id="789" w:name="page790"/>
    <w:bookmarkEnd w:id="7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20204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20"/>
        <w:spacing w:after="0" w:line="255" w:lineRule="auto"/>
        <w:rPr>
          <w:sz w:val="20"/>
          <w:szCs w:val="20"/>
          <w:color w:val="auto"/>
        </w:rPr>
      </w:pPr>
      <w:r>
        <w:rPr>
          <w:rFonts w:ascii="Times New Roman" w:cs="Times New Roman" w:eastAsia="Times New Roman" w:hAnsi="Times New Roman"/>
          <w:sz w:val="18"/>
          <w:szCs w:val="18"/>
          <w:color w:val="auto"/>
        </w:rPr>
        <w:t>of 1986, as amended (the “Code”) and a distribution to which Section 355 of the Code applies, and the distribution by Comcast of the proceeds from the Special Cash Payment (as defined below) as provided in the Separation and Distribution Agreement (the “Comcast Cash Distribution”) will qualify as money distributed to Comcast creditors or shareholders in connection with the reorganization for purposes of Section 361(b) of the Code. On the basis that the Distribution so qualifies, for U.S. federal income tax purposes, you will not recognize any gain or loss, and no amount will be included in your income in connection with the Distribution, except with respect to any cash received in lieu of fractional shares of Versant common stock. You should review the section entitled “The Separation—Material U.S. Federal Income Tax Consequences of the Distribution” for a discussion of the material U.S. federal income tax consequences of the Distribution.</w:t>
      </w:r>
    </w:p>
    <w:p>
      <w:pPr>
        <w:spacing w:after="0" w:line="335" w:lineRule="exact"/>
        <w:rPr>
          <w:sz w:val="20"/>
          <w:szCs w:val="20"/>
          <w:color w:val="auto"/>
        </w:rPr>
      </w:pPr>
    </w:p>
    <w:p>
      <w:pPr>
        <w:ind w:left="720" w:hanging="422"/>
        <w:spacing w:after="0"/>
        <w:tabs>
          <w:tab w:leader="none" w:pos="720" w:val="left"/>
        </w:tabs>
        <w:numPr>
          <w:ilvl w:val="0"/>
          <w:numId w:val="105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I determine the tax basis I will have in my Comcast shares after the Distribution and Versant shares I receive in the Distribution?</w:t>
      </w:r>
    </w:p>
    <w:p>
      <w:pPr>
        <w:spacing w:after="0" w:line="133" w:lineRule="exact"/>
        <w:rPr>
          <w:sz w:val="20"/>
          <w:szCs w:val="20"/>
          <w:color w:val="auto"/>
        </w:rPr>
      </w:pPr>
    </w:p>
    <w:p>
      <w:pPr>
        <w:ind w:left="720" w:right="200" w:hanging="422"/>
        <w:spacing w:after="0" w:line="256" w:lineRule="auto"/>
        <w:tabs>
          <w:tab w:leader="none" w:pos="720"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Generally, for U.S. federal income tax purposes, your aggregate basis in your shares of Comcast common stock and the shares of Versant common stock you receive in the Distribution (including any fractional shares for which cash is received) will equal the aggregate basis of Comcast common stock held by you immediately before the Distribution. This aggregate basis will be allocated between your shares of Comcast common stock and the shares of Versant common stock you receive in the Distribution (including any fractional shares for which cash is received) in proportion to the relative fair market value of each immediately following the Distribution. See “The Separation— Material U.S. Federal Income Tax Consequences of the Distribution.”</w:t>
      </w:r>
    </w:p>
    <w:p>
      <w:pPr>
        <w:spacing w:after="0" w:line="334" w:lineRule="exact"/>
        <w:rPr>
          <w:sz w:val="20"/>
          <w:szCs w:val="20"/>
          <w:color w:val="auto"/>
        </w:rPr>
      </w:pPr>
    </w:p>
    <w:p>
      <w:pPr>
        <w:ind w:left="720" w:hanging="422"/>
        <w:spacing w:after="0"/>
        <w:tabs>
          <w:tab w:leader="none" w:pos="720" w:val="left"/>
        </w:tabs>
        <w:numPr>
          <w:ilvl w:val="0"/>
          <w:numId w:val="106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How will Comcast Class A common stock and Versant Class A common stock trade after the Separation?</w:t>
      </w:r>
    </w:p>
    <w:p>
      <w:pPr>
        <w:spacing w:after="0" w:line="133" w:lineRule="exact"/>
        <w:rPr>
          <w:sz w:val="20"/>
          <w:szCs w:val="20"/>
          <w:color w:val="auto"/>
        </w:rPr>
      </w:pPr>
    </w:p>
    <w:p>
      <w:pPr>
        <w:ind w:left="720" w:right="60" w:hanging="422"/>
        <w:spacing w:after="0" w:line="266" w:lineRule="auto"/>
        <w:tabs>
          <w:tab w:leader="none" w:pos="720"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currently no public market for Versant Class A common stock. We expect to have shares of Versant Class A common stock listed on Nasdaq under the ticker symbol “VSNT.” Comcast Class A common stock will continue to trade on Nasdaq under the ticker symbol “CMCSA.” The Versant Class B common stock will not be listed on any stock exchange.</w:t>
      </w:r>
    </w:p>
    <w:p>
      <w:pPr>
        <w:spacing w:after="0" w:line="322" w:lineRule="exact"/>
        <w:rPr>
          <w:sz w:val="20"/>
          <w:szCs w:val="20"/>
          <w:color w:val="auto"/>
        </w:rPr>
      </w:pPr>
    </w:p>
    <w:p>
      <w:pPr>
        <w:ind w:left="720" w:hanging="422"/>
        <w:spacing w:after="0" w:line="284" w:lineRule="auto"/>
        <w:tabs>
          <w:tab w:leader="none" w:pos="720" w:val="left"/>
        </w:tabs>
        <w:numPr>
          <w:ilvl w:val="0"/>
          <w:numId w:val="106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If I sell my shares of Comcast Class A common stock before or on the Distribution Date, will I still be entitled to receive Versant shares in the Distribution with respect to the sold shares?</w:t>
      </w:r>
    </w:p>
    <w:p>
      <w:pPr>
        <w:spacing w:after="0" w:line="66" w:lineRule="exact"/>
        <w:rPr>
          <w:sz w:val="20"/>
          <w:szCs w:val="20"/>
          <w:color w:val="auto"/>
        </w:rPr>
      </w:pPr>
    </w:p>
    <w:p>
      <w:pPr>
        <w:ind w:left="720" w:right="20" w:hanging="422"/>
        <w:spacing w:after="0" w:line="277" w:lineRule="auto"/>
        <w:tabs>
          <w:tab w:leader="none" w:pos="720" w:val="left"/>
        </w:tabs>
        <w:numPr>
          <w:ilvl w:val="0"/>
          <w:numId w:val="10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w:t>
      </w:r>
    </w:p>
    <w:p>
      <w:pPr>
        <w:spacing w:after="0" w:line="59" w:lineRule="exact"/>
        <w:rPr>
          <w:rFonts w:ascii="Times New Roman" w:cs="Times New Roman" w:eastAsia="Times New Roman" w:hAnsi="Times New Roman"/>
          <w:sz w:val="17"/>
          <w:szCs w:val="17"/>
          <w:color w:val="auto"/>
        </w:rPr>
      </w:pPr>
    </w:p>
    <w:p>
      <w:pPr>
        <w:ind w:left="720" w:right="160"/>
        <w:spacing w:after="0" w:line="25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 You are encouraged to consult with your financial advisor regarding the specific implications of selling your Comcast Class A common stock prior to or on the Distribution Date.</w:t>
      </w:r>
    </w:p>
    <w:p>
      <w:pPr>
        <w:spacing w:after="0" w:line="334" w:lineRule="exact"/>
        <w:rPr>
          <w:sz w:val="20"/>
          <w:szCs w:val="20"/>
          <w:color w:val="auto"/>
        </w:rPr>
      </w:pPr>
    </w:p>
    <w:p>
      <w:pPr>
        <w:ind w:left="720" w:hanging="422"/>
        <w:spacing w:after="0"/>
        <w:tabs>
          <w:tab w:leader="none" w:pos="720" w:val="left"/>
        </w:tabs>
        <w:numPr>
          <w:ilvl w:val="0"/>
          <w:numId w:val="106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I receive a stock certificate for Versant shares distributed as a result of the Distribution?</w:t>
      </w:r>
    </w:p>
    <w:p>
      <w:pPr>
        <w:spacing w:after="0" w:line="133" w:lineRule="exact"/>
        <w:rPr>
          <w:sz w:val="20"/>
          <w:szCs w:val="20"/>
          <w:color w:val="auto"/>
        </w:rPr>
      </w:pPr>
    </w:p>
    <w:p>
      <w:pPr>
        <w:ind w:left="720" w:right="260" w:hanging="422"/>
        <w:spacing w:after="0" w:line="282" w:lineRule="auto"/>
        <w:tabs>
          <w:tab w:leader="none" w:pos="720" w:val="left"/>
        </w:tabs>
        <w:numPr>
          <w:ilvl w:val="0"/>
          <w:numId w:val="10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who are entitled to participate in the Distribution will receive a book-entry account statement reflecting their ownership of Versant Class A common stock. We</w:t>
      </w:r>
    </w:p>
    <w:p>
      <w:pPr>
        <w:spacing w:after="0" w:line="283"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320" w:top="455" w:right="679" w:bottom="1440" w:gutter="0" w:footer="0" w:header="0"/>
        </w:sectPr>
      </w:pPr>
    </w:p>
    <w:bookmarkStart w:id="790" w:name="page791"/>
    <w:bookmarkEnd w:id="7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64781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0">
                      <a:extLst>
                        <a:ext uri="{28A0092B-C50C-407E-A947-70E740481C1C}"/>
                      </a:extLst>
                    </a:blip>
                    <a:srcRect/>
                    <a:stretch>
                      <a:fillRect/>
                    </a:stretch>
                  </pic:blipFill>
                  <pic:spPr bwMode="auto">
                    <a:xfrm>
                      <a:off x="0" y="0"/>
                      <a:ext cx="6998970" cy="664781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220"/>
        <w:spacing w:after="0" w:line="258" w:lineRule="auto"/>
        <w:rPr>
          <w:sz w:val="20"/>
          <w:szCs w:val="20"/>
          <w:color w:val="auto"/>
        </w:rPr>
      </w:pPr>
      <w:r>
        <w:rPr>
          <w:rFonts w:ascii="Times New Roman" w:cs="Times New Roman" w:eastAsia="Times New Roman" w:hAnsi="Times New Roman"/>
          <w:sz w:val="18"/>
          <w:szCs w:val="18"/>
          <w:color w:val="auto"/>
        </w:rPr>
        <w:t>will make book-entry credits on the books of Versant for the respective shares of Versant Class A common stock that you are entitled to receive. Registered holders of Comcast Class B common stock who are entitled to participate in the Distribution will be issued share certificates representing their ownership of Versant Class B common stock. For additional information, registered shareholders in the U.S., Canada or Puerto Rico should contact Comcast’s transfer agent, Equiniti Trust Company, LLC. See “The Separation—When and How You Will Receive the Distribution of Versant Shares.”</w:t>
      </w:r>
    </w:p>
    <w:p>
      <w:pPr>
        <w:spacing w:after="0" w:line="330" w:lineRule="exact"/>
        <w:rPr>
          <w:sz w:val="20"/>
          <w:szCs w:val="20"/>
          <w:color w:val="auto"/>
        </w:rPr>
      </w:pPr>
    </w:p>
    <w:p>
      <w:pPr>
        <w:ind w:left="720" w:hanging="422"/>
        <w:spacing w:after="0"/>
        <w:tabs>
          <w:tab w:leader="none" w:pos="720" w:val="left"/>
        </w:tabs>
        <w:numPr>
          <w:ilvl w:val="0"/>
          <w:numId w:val="106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Can Comcast decide to cancel the Distribution of Versant common stock even if all the conditions have been met?</w:t>
      </w:r>
    </w:p>
    <w:p>
      <w:pPr>
        <w:spacing w:after="0" w:line="133" w:lineRule="exact"/>
        <w:rPr>
          <w:sz w:val="20"/>
          <w:szCs w:val="20"/>
          <w:color w:val="auto"/>
        </w:rPr>
      </w:pPr>
    </w:p>
    <w:p>
      <w:pPr>
        <w:ind w:left="720" w:right="700" w:hanging="422"/>
        <w:spacing w:after="0" w:line="282" w:lineRule="auto"/>
        <w:tabs>
          <w:tab w:leader="none" w:pos="720" w:val="left"/>
        </w:tabs>
        <w:numPr>
          <w:ilvl w:val="0"/>
          <w:numId w:val="10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Comcast has the right to terminate, or modify the terms of, the Separation at any time prior to the Distribution, even if all of the conditions to the Distribution are satisfied.</w:t>
      </w:r>
    </w:p>
    <w:p>
      <w:pPr>
        <w:spacing w:after="0" w:line="308" w:lineRule="exact"/>
        <w:rPr>
          <w:sz w:val="20"/>
          <w:szCs w:val="20"/>
          <w:color w:val="auto"/>
        </w:rPr>
      </w:pPr>
    </w:p>
    <w:p>
      <w:pPr>
        <w:ind w:left="720" w:hanging="422"/>
        <w:spacing w:after="0"/>
        <w:tabs>
          <w:tab w:leader="none" w:pos="720" w:val="left"/>
        </w:tabs>
        <w:numPr>
          <w:ilvl w:val="0"/>
          <w:numId w:val="106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 I have dissenters’ rights?</w:t>
      </w:r>
    </w:p>
    <w:p>
      <w:pPr>
        <w:spacing w:after="0" w:line="133" w:lineRule="exact"/>
        <w:rPr>
          <w:sz w:val="20"/>
          <w:szCs w:val="20"/>
          <w:color w:val="auto"/>
        </w:rPr>
      </w:pPr>
    </w:p>
    <w:p>
      <w:pPr>
        <w:ind w:left="720" w:hanging="422"/>
        <w:spacing w:after="0"/>
        <w:tabs>
          <w:tab w:leader="none" w:pos="720" w:val="left"/>
        </w:tabs>
        <w:numPr>
          <w:ilvl w:val="0"/>
          <w:numId w:val="10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Comcast shareholders do not have any dissenters’ rights in connection with the Separation.</w:t>
      </w:r>
    </w:p>
    <w:p>
      <w:pPr>
        <w:spacing w:after="0" w:line="372" w:lineRule="exact"/>
        <w:rPr>
          <w:sz w:val="20"/>
          <w:szCs w:val="20"/>
          <w:color w:val="auto"/>
        </w:rPr>
      </w:pPr>
    </w:p>
    <w:p>
      <w:pPr>
        <w:ind w:left="720" w:hanging="422"/>
        <w:spacing w:after="0"/>
        <w:tabs>
          <w:tab w:leader="none" w:pos="720" w:val="left"/>
        </w:tabs>
        <w:numPr>
          <w:ilvl w:val="0"/>
          <w:numId w:val="107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Versant incur any debt in connection with the Separation?</w:t>
      </w:r>
    </w:p>
    <w:p>
      <w:pPr>
        <w:spacing w:after="0" w:line="133" w:lineRule="exact"/>
        <w:rPr>
          <w:sz w:val="20"/>
          <w:szCs w:val="20"/>
          <w:color w:val="auto"/>
        </w:rPr>
      </w:pPr>
    </w:p>
    <w:p>
      <w:pPr>
        <w:ind w:left="720" w:right="40" w:hanging="422"/>
        <w:spacing w:after="0" w:line="253" w:lineRule="auto"/>
        <w:tabs>
          <w:tab w:leader="none" w:pos="720" w:val="left"/>
        </w:tabs>
        <w:numPr>
          <w:ilvl w:val="0"/>
          <w:numId w:val="10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Yes. In connection with the Separation, on October 3, 2025, we entered into a credit agreement (the “TLA/Revolver Credit Agreement”) with respect to (i) a $1.0 billion senior secured term A loan facility due January 2031 (the “Term A Loan Facility”) and (ii) a $750 million revolving credit facility due January 2031 (the “Revolving Credit Facility”) (which is expected to be undrawn at the time of the Separation). Additionally, on October 29, 2025, we entered into an indenture (the “Indenture”) pursuant to which we issued $1.0 billion aggregate principal amount of 7.250% senior secured notes due 2031 (the “Notes”). We also intend to enter into a credit agreement (the “TLB Credit Agreement”) with respect to a five-year $1.0 billion term B loan facility (the “Term B Loan Facility”) and, together with the Term A Loan Facility, the “Term Loan Facilities” in connection with the Separation. We intend to use a portion of the proceeds of such indebtedness to make a cash payment of approximately $2.25 billion to Comcast as consideration for assets that will be contributed to us in connection with the Separation (the “Special Cash Payment”), with the remainder being used for general corporate purposes. See “Description of Material Indebtedness.”</w:t>
      </w:r>
    </w:p>
    <w:p>
      <w:pPr>
        <w:spacing w:after="0" w:line="86" w:lineRule="exact"/>
        <w:rPr>
          <w:rFonts w:ascii="Times New Roman" w:cs="Times New Roman" w:eastAsia="Times New Roman" w:hAnsi="Times New Roman"/>
          <w:sz w:val="18"/>
          <w:szCs w:val="18"/>
          <w:color w:val="auto"/>
        </w:rPr>
      </w:pPr>
    </w:p>
    <w:p>
      <w:pPr>
        <w:ind w:left="72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our separation from Comcast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Factors” and “Description of Material Indebtedness.”</w:t>
      </w:r>
    </w:p>
    <w:p>
      <w:pPr>
        <w:spacing w:after="0" w:line="330" w:lineRule="exact"/>
        <w:rPr>
          <w:sz w:val="20"/>
          <w:szCs w:val="20"/>
          <w:color w:val="auto"/>
        </w:rPr>
      </w:pPr>
    </w:p>
    <w:p>
      <w:pPr>
        <w:ind w:left="720" w:hanging="422"/>
        <w:spacing w:after="0"/>
        <w:tabs>
          <w:tab w:leader="none" w:pos="720" w:val="left"/>
        </w:tabs>
        <w:numPr>
          <w:ilvl w:val="0"/>
          <w:numId w:val="107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Does Versant intend to pay cash dividends?</w:t>
      </w:r>
    </w:p>
    <w:p>
      <w:pPr>
        <w:spacing w:after="0" w:line="133" w:lineRule="exact"/>
        <w:rPr>
          <w:sz w:val="20"/>
          <w:szCs w:val="20"/>
          <w:color w:val="auto"/>
        </w:rPr>
      </w:pPr>
    </w:p>
    <w:p>
      <w:pPr>
        <w:ind w:left="720" w:right="180" w:hanging="422"/>
        <w:spacing w:after="0" w:line="261" w:lineRule="auto"/>
        <w:tabs>
          <w:tab w:leader="none" w:pos="720" w:val="left"/>
        </w:tabs>
        <w:numPr>
          <w:ilvl w:val="0"/>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See “Dividend Policy.”</w:t>
      </w:r>
    </w:p>
    <w:p>
      <w:pPr>
        <w:spacing w:after="0" w:line="326" w:lineRule="exact"/>
        <w:rPr>
          <w:sz w:val="20"/>
          <w:szCs w:val="20"/>
          <w:color w:val="auto"/>
        </w:rPr>
      </w:pPr>
    </w:p>
    <w:p>
      <w:pPr>
        <w:ind w:left="720" w:hanging="422"/>
        <w:spacing w:after="0"/>
        <w:tabs>
          <w:tab w:leader="none" w:pos="720" w:val="left"/>
        </w:tabs>
        <w:numPr>
          <w:ilvl w:val="0"/>
          <w:numId w:val="107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Will the Separation affect the trading price of my Comcast Class A common stock?</w:t>
      </w:r>
    </w:p>
    <w:p>
      <w:pPr>
        <w:spacing w:after="0" w:line="133" w:lineRule="exact"/>
        <w:rPr>
          <w:sz w:val="20"/>
          <w:szCs w:val="20"/>
          <w:color w:val="auto"/>
        </w:rPr>
      </w:pPr>
    </w:p>
    <w:p>
      <w:pPr>
        <w:ind w:left="720" w:right="100" w:hanging="422"/>
        <w:spacing w:after="0" w:line="266" w:lineRule="auto"/>
        <w:tabs>
          <w:tab w:leader="none" w:pos="720" w:val="left"/>
        </w:tabs>
        <w:numPr>
          <w:ilvl w:val="0"/>
          <w:numId w:val="10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trading price of shares of Comcast Class A common stock immediately following the Distribution to be lower than the trading price immediately prior to the Distribution because the trading price will no longer reflect the value of the Spin Business. There can be no assurance that, following the</w:t>
      </w:r>
    </w:p>
    <w:p>
      <w:pPr>
        <w:spacing w:after="0" w:line="29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40"/>
          </w:cols>
          <w:pgMar w:left="320" w:top="455" w:right="639" w:bottom="1440" w:gutter="0" w:footer="0" w:header="0"/>
        </w:sectPr>
      </w:pPr>
    </w:p>
    <w:bookmarkStart w:id="791" w:name="page792"/>
    <w:bookmarkEnd w:id="7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51065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2">
                      <a:extLst>
                        <a:ext uri="{28A0092B-C50C-407E-A947-70E740481C1C}"/>
                      </a:extLst>
                    </a:blip>
                    <a:srcRect/>
                    <a:stretch>
                      <a:fillRect/>
                    </a:stretch>
                  </pic:blipFill>
                  <pic:spPr bwMode="auto">
                    <a:xfrm>
                      <a:off x="0" y="0"/>
                      <a:ext cx="6998970" cy="65106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720" w:right="140"/>
        <w:spacing w:after="0" w:line="282" w:lineRule="auto"/>
        <w:rPr>
          <w:sz w:val="20"/>
          <w:szCs w:val="20"/>
          <w:color w:val="auto"/>
        </w:rPr>
      </w:pPr>
      <w:r>
        <w:rPr>
          <w:rFonts w:ascii="Times New Roman" w:cs="Times New Roman" w:eastAsia="Times New Roman" w:hAnsi="Times New Roman"/>
          <w:sz w:val="18"/>
          <w:szCs w:val="18"/>
          <w:color w:val="auto"/>
        </w:rPr>
        <w:t>Distribution, the combined trading prices of Comcast Class A common stock and our Class A common stock will equal or exceed what the trading price of Comcast Class A common stock would have been in the absence of the Distribution.</w:t>
      </w:r>
    </w:p>
    <w:p>
      <w:pPr>
        <w:spacing w:after="0" w:line="308" w:lineRule="exact"/>
        <w:rPr>
          <w:sz w:val="20"/>
          <w:szCs w:val="20"/>
          <w:color w:val="auto"/>
        </w:rPr>
      </w:pPr>
    </w:p>
    <w:p>
      <w:pPr>
        <w:ind w:left="720" w:hanging="422"/>
        <w:spacing w:after="0"/>
        <w:tabs>
          <w:tab w:leader="none" w:pos="720" w:val="left"/>
        </w:tabs>
        <w:numPr>
          <w:ilvl w:val="0"/>
          <w:numId w:val="107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happen to outstanding Comcast equity compensation awards?</w:t>
      </w:r>
    </w:p>
    <w:p>
      <w:pPr>
        <w:spacing w:after="0" w:line="133" w:lineRule="exact"/>
        <w:rPr>
          <w:sz w:val="20"/>
          <w:szCs w:val="20"/>
          <w:color w:val="auto"/>
        </w:rPr>
      </w:pPr>
    </w:p>
    <w:p>
      <w:pPr>
        <w:ind w:left="720" w:right="80" w:hanging="422"/>
        <w:spacing w:after="0" w:line="266" w:lineRule="auto"/>
        <w:tabs>
          <w:tab w:leader="none" w:pos="720"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outstanding time-based restricted stock units (“RSUs”) in respect of Comcast Class A common stock (“Comcast RSUs”) and options to purchase Comcast Class A common stock (the “Comcast Options” and together with the Comcast RSUs, the “Comcast Equity Awards”) will be equitably adjusted in accordance with the terms of the Comcast equity incentive plans.</w:t>
      </w:r>
    </w:p>
    <w:p>
      <w:pPr>
        <w:spacing w:after="0" w:line="67" w:lineRule="exact"/>
        <w:rPr>
          <w:rFonts w:ascii="Times New Roman" w:cs="Times New Roman" w:eastAsia="Times New Roman" w:hAnsi="Times New Roman"/>
          <w:sz w:val="18"/>
          <w:szCs w:val="18"/>
          <w:color w:val="auto"/>
        </w:rPr>
      </w:pPr>
    </w:p>
    <w:p>
      <w:pPr>
        <w:ind w:left="7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322" w:lineRule="exact"/>
        <w:rPr>
          <w:sz w:val="20"/>
          <w:szCs w:val="20"/>
          <w:color w:val="auto"/>
        </w:rPr>
      </w:pPr>
    </w:p>
    <w:p>
      <w:pPr>
        <w:ind w:left="720" w:hanging="422"/>
        <w:spacing w:after="0"/>
        <w:tabs>
          <w:tab w:leader="none" w:pos="720" w:val="left"/>
        </w:tabs>
        <w:numPr>
          <w:ilvl w:val="0"/>
          <w:numId w:val="107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What will the relationship between Comcast and Versant be following the Separation?</w:t>
      </w:r>
    </w:p>
    <w:p>
      <w:pPr>
        <w:spacing w:after="0" w:line="133" w:lineRule="exact"/>
        <w:rPr>
          <w:sz w:val="20"/>
          <w:szCs w:val="20"/>
          <w:color w:val="auto"/>
        </w:rPr>
      </w:pPr>
    </w:p>
    <w:p>
      <w:pPr>
        <w:ind w:left="720" w:right="100" w:hanging="422"/>
        <w:spacing w:after="0" w:line="256" w:lineRule="auto"/>
        <w:tabs>
          <w:tab w:leader="none" w:pos="720" w:val="left"/>
        </w:tabs>
        <w:numPr>
          <w:ilvl w:val="0"/>
          <w:numId w:val="10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Separation, Comcast will not own any shares of Versant common stock, and each of Comcast and Versant will be independent, publicly traded companies with their own management teams and boards of directors. However, in connection with the Separation, we will enter into a number of agreements with Comcast and certain of its subsidiaries that, among other things, govern the Separation and allocate responsibilities for obligations arising before and after the Separation, including, among others, obligations relating to transition services, employee matters, tax matters, intellectual property matters and certain commercial arrangements. See “The Separation—Agreements with Comcast.”</w:t>
      </w:r>
    </w:p>
    <w:p>
      <w:pPr>
        <w:spacing w:after="0" w:line="334" w:lineRule="exact"/>
        <w:rPr>
          <w:sz w:val="20"/>
          <w:szCs w:val="20"/>
          <w:color w:val="auto"/>
        </w:rPr>
      </w:pPr>
    </w:p>
    <w:p>
      <w:pPr>
        <w:ind w:left="720" w:hanging="422"/>
        <w:spacing w:after="0"/>
        <w:tabs>
          <w:tab w:leader="none" w:pos="720" w:val="left"/>
        </w:tabs>
        <w:numPr>
          <w:ilvl w:val="0"/>
          <w:numId w:val="108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transfer agent for Versant Class A common stock?</w:t>
      </w:r>
    </w:p>
    <w:p>
      <w:pPr>
        <w:spacing w:after="0" w:line="133" w:lineRule="exact"/>
        <w:rPr>
          <w:sz w:val="20"/>
          <w:szCs w:val="20"/>
          <w:color w:val="auto"/>
        </w:rPr>
      </w:pPr>
    </w:p>
    <w:p>
      <w:pPr>
        <w:ind w:left="720" w:right="120" w:hanging="422"/>
        <w:spacing w:after="0" w:line="282" w:lineRule="auto"/>
        <w:tabs>
          <w:tab w:leader="none" w:pos="720" w:val="left"/>
        </w:tabs>
        <w:numPr>
          <w:ilvl w:val="0"/>
          <w:numId w:val="10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will be the transfer agent for the Versant Class A common stock. You can contact at or by signing on to your account at         .</w:t>
      </w:r>
    </w:p>
    <w:p>
      <w:pPr>
        <w:spacing w:after="0" w:line="308" w:lineRule="exact"/>
        <w:rPr>
          <w:sz w:val="20"/>
          <w:szCs w:val="20"/>
          <w:color w:val="auto"/>
        </w:rPr>
      </w:pPr>
    </w:p>
    <w:p>
      <w:pPr>
        <w:ind w:left="720" w:hanging="422"/>
        <w:spacing w:after="0"/>
        <w:tabs>
          <w:tab w:leader="none" w:pos="720" w:val="left"/>
        </w:tabs>
        <w:numPr>
          <w:ilvl w:val="0"/>
          <w:numId w:val="108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is the distribution agent for the Distribution of Versant Class A common stock?</w:t>
      </w:r>
    </w:p>
    <w:p>
      <w:pPr>
        <w:spacing w:after="0" w:line="133" w:lineRule="exact"/>
        <w:rPr>
          <w:sz w:val="20"/>
          <w:szCs w:val="20"/>
          <w:color w:val="auto"/>
        </w:rPr>
      </w:pPr>
    </w:p>
    <w:p>
      <w:pPr>
        <w:ind w:left="720" w:hanging="422"/>
        <w:spacing w:after="0"/>
        <w:tabs>
          <w:tab w:leader="none" w:pos="720" w:val="left"/>
        </w:tabs>
        <w:numPr>
          <w:ilvl w:val="0"/>
          <w:numId w:val="10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w:t>
      </w:r>
    </w:p>
    <w:p>
      <w:pPr>
        <w:spacing w:after="0" w:line="372" w:lineRule="exact"/>
        <w:rPr>
          <w:sz w:val="20"/>
          <w:szCs w:val="20"/>
          <w:color w:val="auto"/>
        </w:rPr>
      </w:pPr>
    </w:p>
    <w:p>
      <w:pPr>
        <w:ind w:left="720" w:hanging="422"/>
        <w:spacing w:after="0"/>
        <w:tabs>
          <w:tab w:leader="none" w:pos="720" w:val="left"/>
        </w:tabs>
        <w:numPr>
          <w:ilvl w:val="0"/>
          <w:numId w:val="108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Who can I contact for more information?</w:t>
      </w:r>
    </w:p>
    <w:p>
      <w:pPr>
        <w:spacing w:after="0" w:line="133" w:lineRule="exact"/>
        <w:rPr>
          <w:sz w:val="20"/>
          <w:szCs w:val="20"/>
          <w:color w:val="auto"/>
        </w:rPr>
      </w:pPr>
    </w:p>
    <w:p>
      <w:pPr>
        <w:ind w:left="720" w:hanging="422"/>
        <w:spacing w:after="0"/>
        <w:tabs>
          <w:tab w:leader="none" w:pos="720" w:val="left"/>
        </w:tabs>
        <w:numPr>
          <w:ilvl w:val="0"/>
          <w:numId w:val="10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have questions relating to the mechanics of the Distribution, you should contact the distribution agent:</w:t>
      </w:r>
    </w:p>
    <w:p>
      <w:pPr>
        <w:spacing w:after="0" w:line="117" w:lineRule="exact"/>
        <w:rPr>
          <w:rFonts w:ascii="Times New Roman" w:cs="Times New Roman" w:eastAsia="Times New Roman" w:hAnsi="Times New Roman"/>
          <w:sz w:val="18"/>
          <w:szCs w:val="18"/>
          <w:color w:val="auto"/>
        </w:rPr>
      </w:pPr>
    </w:p>
    <w:p>
      <w:pPr>
        <w:ind w:left="720" w:right="558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Equiniti Trust Company, LLC D/B/A EQ Shareowner Services P.O. Box 64854</w:t>
      </w: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 Paul, MN 55164-0854</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Before the Separation, if you have questions relating to the transactions described herein, you should contact Comcast at:</w:t>
      </w:r>
    </w:p>
    <w:p>
      <w:pPr>
        <w:spacing w:after="0" w:line="11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Thomas J. Reid</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One Comcast Center</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Philadelphia, PA 19013-2838</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(866) 281-2100</w:t>
      </w:r>
    </w:p>
    <w:p>
      <w:pPr>
        <w:spacing w:after="0" w:line="328"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40"/>
          </w:cols>
          <w:pgMar w:left="320" w:top="455" w:right="739" w:bottom="1440" w:gutter="0" w:footer="0" w:header="0"/>
        </w:sectPr>
      </w:pPr>
    </w:p>
    <w:bookmarkStart w:id="792" w:name="page793"/>
    <w:bookmarkEnd w:id="7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119570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4">
                      <a:extLst>
                        <a:ext uri="{28A0092B-C50C-407E-A947-70E740481C1C}"/>
                      </a:extLst>
                    </a:blip>
                    <a:srcRect/>
                    <a:stretch>
                      <a:fillRect/>
                    </a:stretch>
                  </pic:blipFill>
                  <pic:spPr bwMode="auto">
                    <a:xfrm>
                      <a:off x="0" y="0"/>
                      <a:ext cx="6998970" cy="119570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After the Separation, if you have questions relating to the transactions described herein, you should contact Versant at:</w:t>
      </w:r>
    </w:p>
    <w:p>
      <w:pPr>
        <w:spacing w:after="0" w:line="23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Legal Department</w:t>
      </w:r>
    </w:p>
    <w:p>
      <w:pPr>
        <w:spacing w:after="0" w:line="27"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Versant Media Group, Inc.</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904 Sylvan Avenue</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Englewood Cliffs, NJ 07632</w:t>
      </w:r>
    </w:p>
    <w:p>
      <w:pPr>
        <w:spacing w:after="0" w:line="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(201) 735-2622</w:t>
      </w:r>
    </w:p>
    <w:p>
      <w:pPr>
        <w:spacing w:after="0" w:line="32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139"/>
          </w:cols>
          <w:pgMar w:left="320" w:top="455" w:right="1440" w:bottom="1440" w:gutter="0" w:footer="0" w:header="0"/>
        </w:sectPr>
      </w:pPr>
    </w:p>
    <w:bookmarkStart w:id="793" w:name="page794"/>
    <w:bookmarkEnd w:id="7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4738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6">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OF THE SEPARATION</w:t>
      </w:r>
    </w:p>
    <w:p>
      <w:pPr>
        <w:spacing w:after="0" w:line="229" w:lineRule="exact"/>
        <w:rPr>
          <w:sz w:val="20"/>
          <w:szCs w:val="20"/>
          <w:color w:val="auto"/>
        </w:rPr>
      </w:pPr>
    </w:p>
    <w:p>
      <w:pPr>
        <w:ind w:left="300" w:right="340" w:firstLine="426"/>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terms of the Separation, including the Transactions, the Distribution and certain other related transactions.</w:t>
      </w:r>
    </w:p>
    <w:p>
      <w:pPr>
        <w:spacing w:after="0" w:line="67"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Distributing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Corporation (“Comcast”), a Pennsylvania corporation. After the Distribution,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Comcast will not own any shares of Versant common stock.</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Media Group, Inc. (“Versant”), a Pennsylvania corporation, is a wholly owned</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subsidiary of Comcast that, after giving effect to the Transactions, will hold, directly or</w:t>
            </w: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indirectly through its subsidiaries, the assets and liabilities comprising the Spin Business.</w:t>
            </w:r>
          </w:p>
        </w:tc>
      </w:tr>
      <w:tr>
        <w:trPr>
          <w:trHeight w:val="234"/>
        </w:trPr>
        <w:tc>
          <w:tcPr>
            <w:tcW w:w="3140" w:type="dxa"/>
            <w:vAlign w:val="bottom"/>
          </w:tcPr>
          <w:p>
            <w:pPr>
              <w:spacing w:after="0"/>
              <w:rPr>
                <w:sz w:val="20"/>
                <w:szCs w:val="20"/>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After the Distribution, Versant will be an independent, publicly traded company.</w:t>
            </w: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Company Structure</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Versant is a holding company. At the time of the Distribution, it will own the shares of a</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number of subsidiaries operating the Spin Business.</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38"/>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Record Date</w:t>
            </w: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 xml:space="preserve">The record date for the Distribution is on the close of business on        </w:t>
            </w:r>
          </w:p>
        </w:tc>
        <w:tc>
          <w:tcPr>
            <w:tcW w:w="22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88"/>
              </w:rPr>
              <w:t> </w:t>
            </w:r>
          </w:p>
        </w:tc>
        <w:tc>
          <w:tcPr>
            <w:tcW w:w="108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color w:val="auto"/>
                <w:w w:val="96"/>
              </w:rPr>
              <w:t>, 2025.</w:t>
            </w:r>
          </w:p>
        </w:tc>
      </w:tr>
      <w:tr>
        <w:trPr>
          <w:trHeight w:val="351"/>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Date</w:t>
            </w: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rPr>
              <w:t xml:space="preserve">The Distribution Date is 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0" w:type="dxa"/>
            <w:vAlign w:val="bottom"/>
            <w:gridSpan w:val="2"/>
          </w:tcPr>
          <w:p>
            <w:pPr>
              <w:jc w:val="right"/>
              <w:ind w:right="2190"/>
              <w:spacing w:after="0"/>
              <w:rPr>
                <w:sz w:val="20"/>
                <w:szCs w:val="20"/>
                <w:color w:val="auto"/>
              </w:rPr>
            </w:pPr>
            <w:r>
              <w:rPr>
                <w:rFonts w:ascii="Times New Roman" w:cs="Times New Roman" w:eastAsia="Times New Roman" w:hAnsi="Times New Roman"/>
                <w:sz w:val="18"/>
                <w:szCs w:val="18"/>
                <w:color w:val="auto"/>
              </w:rPr>
              <w:t>, 2026.</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33"/>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Distributed Securities</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Comcast will distribute 100% of the shares of Versant common stock outstanding</w:t>
            </w:r>
          </w:p>
        </w:tc>
        <w:tc>
          <w:tcPr>
            <w:tcW w:w="680" w:type="dxa"/>
            <w:vAlign w:val="bottom"/>
          </w:tcPr>
          <w:p>
            <w:pPr>
              <w:spacing w:after="0"/>
              <w:rPr>
                <w:sz w:val="24"/>
                <w:szCs w:val="24"/>
                <w:color w:val="auto"/>
              </w:rPr>
            </w:pPr>
          </w:p>
        </w:tc>
      </w:tr>
      <w:tr>
        <w:trPr>
          <w:trHeight w:val="234"/>
        </w:trPr>
        <w:tc>
          <w:tcPr>
            <w:tcW w:w="3140" w:type="dxa"/>
            <w:vAlign w:val="bottom"/>
          </w:tcPr>
          <w:p>
            <w:pPr>
              <w:spacing w:after="0"/>
              <w:rPr>
                <w:sz w:val="20"/>
                <w:szCs w:val="20"/>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9"/>
              </w:rPr>
              <w:t>immediately prior to the Distribution.</w:t>
            </w:r>
          </w:p>
        </w:tc>
        <w:tc>
          <w:tcPr>
            <w:tcW w:w="2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4"/>
                <w:szCs w:val="24"/>
                <w:color w:val="auto"/>
              </w:rPr>
            </w:pPr>
          </w:p>
        </w:tc>
        <w:tc>
          <w:tcPr>
            <w:tcW w:w="2980" w:type="dxa"/>
            <w:vAlign w:val="bottom"/>
            <w:gridSpan w:val="8"/>
          </w:tcPr>
          <w:p>
            <w:pPr>
              <w:ind w:left="900"/>
              <w:spacing w:after="0"/>
              <w:rPr>
                <w:sz w:val="20"/>
                <w:szCs w:val="20"/>
                <w:color w:val="auto"/>
              </w:rPr>
            </w:pPr>
            <w:r>
              <w:rPr>
                <w:rFonts w:ascii="Times New Roman" w:cs="Times New Roman" w:eastAsia="Times New Roman" w:hAnsi="Times New Roman"/>
                <w:sz w:val="18"/>
                <w:szCs w:val="18"/>
                <w:color w:val="auto"/>
                <w:w w:val="93"/>
              </w:rPr>
              <w:t>Based on the approximately 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3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shares of Comcast Class A common stock</w:t>
            </w:r>
          </w:p>
        </w:tc>
        <w:tc>
          <w:tcPr>
            <w:tcW w:w="68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 xml:space="preserve">and    </w:t>
            </w:r>
          </w:p>
        </w:tc>
        <w:tc>
          <w:tcPr>
            <w:tcW w:w="180" w:type="dxa"/>
            <w:vAlign w:val="bottom"/>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4540" w:type="dxa"/>
            <w:vAlign w:val="bottom"/>
            <w:gridSpan w:val="10"/>
          </w:tcPr>
          <w:p>
            <w:pPr>
              <w:ind w:left="100"/>
              <w:spacing w:after="0"/>
              <w:rPr>
                <w:sz w:val="20"/>
                <w:szCs w:val="20"/>
                <w:color w:val="auto"/>
              </w:rPr>
            </w:pPr>
            <w:r>
              <w:rPr>
                <w:rFonts w:ascii="Times New Roman" w:cs="Times New Roman" w:eastAsia="Times New Roman" w:hAnsi="Times New Roman"/>
                <w:sz w:val="18"/>
                <w:szCs w:val="18"/>
                <w:color w:val="auto"/>
                <w:w w:val="95"/>
              </w:rPr>
              <w:t>   shares of Comcast Class B common stock outstanding on  </w:t>
            </w:r>
          </w:p>
        </w:tc>
        <w:tc>
          <w:tcPr>
            <w:tcW w:w="220" w:type="dxa"/>
            <w:vAlign w:val="bottom"/>
          </w:tcPr>
          <w:p>
            <w:pPr>
              <w:ind w:left="80"/>
              <w:spacing w:after="0"/>
              <w:rPr>
                <w:sz w:val="20"/>
                <w:szCs w:val="20"/>
                <w:color w:val="auto"/>
              </w:rPr>
            </w:pPr>
            <w:r>
              <w:rPr>
                <w:rFonts w:ascii="Times New Roman" w:cs="Times New Roman" w:eastAsia="Times New Roman" w:hAnsi="Times New Roman"/>
                <w:sz w:val="17"/>
                <w:szCs w:val="17"/>
                <w:color w:val="auto"/>
                <w:w w:val="70"/>
              </w:rPr>
              <w:t> </w:t>
            </w:r>
          </w:p>
        </w:tc>
        <w:tc>
          <w:tcPr>
            <w:tcW w:w="4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2025,</w:t>
            </w:r>
          </w:p>
        </w:tc>
      </w:tr>
      <w:tr>
        <w:trPr>
          <w:trHeight w:val="216"/>
        </w:trPr>
        <w:tc>
          <w:tcPr>
            <w:tcW w:w="3140" w:type="dxa"/>
            <w:vAlign w:val="bottom"/>
          </w:tcPr>
          <w:p>
            <w:pPr>
              <w:spacing w:after="0"/>
              <w:rPr>
                <w:sz w:val="18"/>
                <w:szCs w:val="18"/>
                <w:color w:val="auto"/>
              </w:rPr>
            </w:pPr>
          </w:p>
        </w:tc>
        <w:tc>
          <w:tcPr>
            <w:tcW w:w="3620" w:type="dxa"/>
            <w:vAlign w:val="bottom"/>
            <w:gridSpan w:val="11"/>
          </w:tcPr>
          <w:p>
            <w:pPr>
              <w:ind w:left="900"/>
              <w:spacing w:after="0"/>
              <w:rPr>
                <w:sz w:val="20"/>
                <w:szCs w:val="20"/>
                <w:color w:val="auto"/>
              </w:rPr>
            </w:pPr>
            <w:r>
              <w:rPr>
                <w:rFonts w:ascii="Times New Roman" w:cs="Times New Roman" w:eastAsia="Times New Roman" w:hAnsi="Times New Roman"/>
                <w:sz w:val="18"/>
                <w:szCs w:val="18"/>
                <w:color w:val="auto"/>
                <w:w w:val="95"/>
              </w:rPr>
              <w:t>and applying the distribution ratio of </w:t>
            </w:r>
          </w:p>
        </w:tc>
        <w:tc>
          <w:tcPr>
            <w:tcW w:w="3820" w:type="dxa"/>
            <w:vAlign w:val="bottom"/>
            <w:gridSpan w:val="4"/>
          </w:tcPr>
          <w:p>
            <w:pPr>
              <w:jc w:val="right"/>
              <w:ind w:right="390"/>
              <w:spacing w:after="0"/>
              <w:rPr>
                <w:sz w:val="20"/>
                <w:szCs w:val="20"/>
                <w:color w:val="auto"/>
              </w:rPr>
            </w:pPr>
            <w:r>
              <w:rPr>
                <w:rFonts w:ascii="Times New Roman" w:cs="Times New Roman" w:eastAsia="Times New Roman" w:hAnsi="Times New Roman"/>
                <w:sz w:val="18"/>
                <w:szCs w:val="18"/>
                <w:color w:val="auto"/>
              </w:rPr>
              <w:t>         share(s) of Versant common stock for</w:t>
            </w: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4360" w:type="dxa"/>
            <w:vAlign w:val="bottom"/>
            <w:gridSpan w:val="9"/>
          </w:tcPr>
          <w:p>
            <w:pPr>
              <w:ind w:left="60"/>
              <w:spacing w:after="0"/>
              <w:rPr>
                <w:sz w:val="20"/>
                <w:szCs w:val="20"/>
                <w:color w:val="auto"/>
              </w:rPr>
            </w:pPr>
            <w:r>
              <w:rPr>
                <w:rFonts w:ascii="Times New Roman" w:cs="Times New Roman" w:eastAsia="Times New Roman" w:hAnsi="Times New Roman"/>
                <w:sz w:val="18"/>
                <w:szCs w:val="18"/>
                <w:color w:val="auto"/>
                <w:w w:val="99"/>
              </w:rPr>
              <w:t>share(s) of Comcast common stock, Comcast will distribute</w:t>
            </w: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3560" w:type="dxa"/>
            <w:vAlign w:val="bottom"/>
            <w:gridSpan w:val="5"/>
          </w:tcPr>
          <w:p>
            <w:pPr>
              <w:ind w:left="80"/>
              <w:spacing w:after="0"/>
              <w:rPr>
                <w:sz w:val="20"/>
                <w:szCs w:val="20"/>
                <w:color w:val="auto"/>
              </w:rPr>
            </w:pPr>
            <w:r>
              <w:rPr>
                <w:rFonts w:ascii="Times New Roman" w:cs="Times New Roman" w:eastAsia="Times New Roman" w:hAnsi="Times New Roman"/>
                <w:sz w:val="18"/>
                <w:szCs w:val="18"/>
                <w:color w:val="auto"/>
              </w:rPr>
              <w:t>shares of Versant Class A common stock and</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4"/>
        </w:trPr>
        <w:tc>
          <w:tcPr>
            <w:tcW w:w="3140" w:type="dxa"/>
            <w:vAlign w:val="bottom"/>
          </w:tcPr>
          <w:p>
            <w:pPr>
              <w:spacing w:after="0"/>
              <w:rPr>
                <w:sz w:val="20"/>
                <w:szCs w:val="20"/>
                <w:color w:val="auto"/>
              </w:rPr>
            </w:pPr>
          </w:p>
        </w:tc>
        <w:tc>
          <w:tcPr>
            <w:tcW w:w="2000" w:type="dxa"/>
            <w:vAlign w:val="bottom"/>
            <w:gridSpan w:val="4"/>
          </w:tcPr>
          <w:p>
            <w:pPr>
              <w:ind w:left="900"/>
              <w:spacing w:after="0"/>
              <w:rPr>
                <w:sz w:val="20"/>
                <w:szCs w:val="20"/>
                <w:color w:val="auto"/>
              </w:rPr>
            </w:pPr>
            <w:r>
              <w:rPr>
                <w:rFonts w:ascii="Times New Roman" w:cs="Times New Roman" w:eastAsia="Times New Roman" w:hAnsi="Times New Roman"/>
                <w:sz w:val="18"/>
                <w:szCs w:val="18"/>
                <w:color w:val="auto"/>
                <w:w w:val="88"/>
              </w:rPr>
              <w:t>approximately </w:t>
            </w:r>
          </w:p>
        </w:tc>
        <w:tc>
          <w:tcPr>
            <w:tcW w:w="220" w:type="dxa"/>
            <w:vAlign w:val="bottom"/>
          </w:tcPr>
          <w:p>
            <w:pPr>
              <w:ind w:left="1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860" w:type="dxa"/>
            <w:vAlign w:val="bottom"/>
            <w:gridSpan w:val="8"/>
          </w:tcPr>
          <w:p>
            <w:pPr>
              <w:ind w:left="80"/>
              <w:spacing w:after="0"/>
              <w:rPr>
                <w:sz w:val="20"/>
                <w:szCs w:val="20"/>
                <w:color w:val="auto"/>
              </w:rPr>
            </w:pPr>
            <w:r>
              <w:rPr>
                <w:rFonts w:ascii="Times New Roman" w:cs="Times New Roman" w:eastAsia="Times New Roman" w:hAnsi="Times New Roman"/>
                <w:sz w:val="18"/>
                <w:szCs w:val="18"/>
                <w:color w:val="auto"/>
                <w:w w:val="98"/>
              </w:rPr>
              <w:t>shares of Versant Class B common stock to Comcast shareholders.</w:t>
            </w: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Distribution Ratio</w:t>
            </w: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Each of Comcast’s shareholders as of the record date will be entitled to receive </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       </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w:t>
            </w: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1420" w:type="dxa"/>
            <w:vAlign w:val="bottom"/>
          </w:tcPr>
          <w:p>
            <w:pPr>
              <w:ind w:left="900"/>
              <w:spacing w:after="0"/>
              <w:rPr>
                <w:sz w:val="20"/>
                <w:szCs w:val="20"/>
                <w:color w:val="auto"/>
              </w:rPr>
            </w:pPr>
            <w:r>
              <w:rPr>
                <w:rFonts w:ascii="Times New Roman" w:cs="Times New Roman" w:eastAsia="Times New Roman" w:hAnsi="Times New Roman"/>
                <w:sz w:val="18"/>
                <w:szCs w:val="18"/>
                <w:color w:val="auto"/>
                <w:w w:val="86"/>
              </w:rPr>
              <w:t>every 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77"/>
              </w:rPr>
              <w:t> </w:t>
            </w:r>
          </w:p>
        </w:tc>
        <w:tc>
          <w:tcPr>
            <w:tcW w:w="5440" w:type="dxa"/>
            <w:vAlign w:val="bottom"/>
            <w:gridSpan w:val="11"/>
          </w:tcPr>
          <w:p>
            <w:pPr>
              <w:ind w:left="20"/>
              <w:spacing w:after="0"/>
              <w:rPr>
                <w:sz w:val="20"/>
                <w:szCs w:val="20"/>
                <w:color w:val="auto"/>
              </w:rPr>
            </w:pPr>
            <w:r>
              <w:rPr>
                <w:rFonts w:ascii="Times New Roman" w:cs="Times New Roman" w:eastAsia="Times New Roman" w:hAnsi="Times New Roman"/>
                <w:sz w:val="18"/>
                <w:szCs w:val="18"/>
                <w:color w:val="auto"/>
              </w:rPr>
              <w:t>share(s) of Comcast Class A common stock or Comcast Class B common</w:t>
            </w:r>
          </w:p>
        </w:tc>
      </w:tr>
      <w:tr>
        <w:trPr>
          <w:trHeight w:val="234"/>
        </w:trPr>
        <w:tc>
          <w:tcPr>
            <w:tcW w:w="3140" w:type="dxa"/>
            <w:vAlign w:val="bottom"/>
          </w:tcPr>
          <w:p>
            <w:pPr>
              <w:spacing w:after="0"/>
              <w:rPr>
                <w:sz w:val="20"/>
                <w:szCs w:val="20"/>
                <w:color w:val="auto"/>
              </w:rPr>
            </w:pPr>
          </w:p>
        </w:tc>
        <w:tc>
          <w:tcPr>
            <w:tcW w:w="6140" w:type="dxa"/>
            <w:vAlign w:val="bottom"/>
            <w:gridSpan w:val="12"/>
          </w:tcPr>
          <w:p>
            <w:pPr>
              <w:ind w:left="900"/>
              <w:spacing w:after="0"/>
              <w:rPr>
                <w:sz w:val="20"/>
                <w:szCs w:val="20"/>
                <w:color w:val="auto"/>
              </w:rPr>
            </w:pPr>
            <w:r>
              <w:rPr>
                <w:rFonts w:ascii="Times New Roman" w:cs="Times New Roman" w:eastAsia="Times New Roman" w:hAnsi="Times New Roman"/>
                <w:sz w:val="18"/>
                <w:szCs w:val="18"/>
                <w:color w:val="auto"/>
              </w:rPr>
              <w:t>stock, respectively, held by such shareholder on the record date.</w:t>
            </w:r>
          </w:p>
        </w:tc>
        <w:tc>
          <w:tcPr>
            <w:tcW w:w="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319"/>
        </w:trPr>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Fractional Shares</w:t>
            </w: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Comcast will not distribute any fractional shares of Versant common stock to Comcast</w:t>
            </w:r>
          </w:p>
        </w:tc>
      </w:tr>
      <w:tr>
        <w:trPr>
          <w:trHeight w:val="216"/>
        </w:trPr>
        <w:tc>
          <w:tcPr>
            <w:tcW w:w="3140" w:type="dxa"/>
            <w:vAlign w:val="bottom"/>
          </w:tcPr>
          <w:p>
            <w:pPr>
              <w:spacing w:after="0"/>
              <w:rPr>
                <w:sz w:val="18"/>
                <w:szCs w:val="18"/>
                <w:color w:val="auto"/>
              </w:rPr>
            </w:pPr>
          </w:p>
        </w:tc>
        <w:tc>
          <w:tcPr>
            <w:tcW w:w="6760" w:type="dxa"/>
            <w:vAlign w:val="bottom"/>
            <w:gridSpan w:val="14"/>
          </w:tcPr>
          <w:p>
            <w:pPr>
              <w:ind w:left="900"/>
              <w:spacing w:after="0"/>
              <w:rPr>
                <w:sz w:val="20"/>
                <w:szCs w:val="20"/>
                <w:color w:val="auto"/>
              </w:rPr>
            </w:pPr>
            <w:r>
              <w:rPr>
                <w:rFonts w:ascii="Times New Roman" w:cs="Times New Roman" w:eastAsia="Times New Roman" w:hAnsi="Times New Roman"/>
                <w:sz w:val="18"/>
                <w:szCs w:val="18"/>
                <w:color w:val="auto"/>
                <w:w w:val="99"/>
              </w:rPr>
              <w:t>shareholders. Instead, as soon as practicable on or after the Distribution Date, the</w:t>
            </w:r>
          </w:p>
        </w:tc>
        <w:tc>
          <w:tcPr>
            <w:tcW w:w="68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distribution agent will aggregate fractional shares of Versant Class A common stock into</w:t>
            </w:r>
          </w:p>
        </w:tc>
      </w:tr>
      <w:tr>
        <w:trPr>
          <w:trHeight w:val="234"/>
        </w:trPr>
        <w:tc>
          <w:tcPr>
            <w:tcW w:w="3140" w:type="dxa"/>
            <w:vAlign w:val="bottom"/>
          </w:tcPr>
          <w:p>
            <w:pPr>
              <w:spacing w:after="0"/>
              <w:rPr>
                <w:sz w:val="20"/>
                <w:szCs w:val="20"/>
                <w:color w:val="auto"/>
              </w:rPr>
            </w:pPr>
          </w:p>
        </w:tc>
        <w:tc>
          <w:tcPr>
            <w:tcW w:w="7440" w:type="dxa"/>
            <w:vAlign w:val="bottom"/>
            <w:gridSpan w:val="15"/>
          </w:tcPr>
          <w:p>
            <w:pPr>
              <w:ind w:left="900"/>
              <w:spacing w:after="0"/>
              <w:rPr>
                <w:sz w:val="20"/>
                <w:szCs w:val="20"/>
                <w:color w:val="auto"/>
              </w:rPr>
            </w:pPr>
            <w:r>
              <w:rPr>
                <w:rFonts w:ascii="Times New Roman" w:cs="Times New Roman" w:eastAsia="Times New Roman" w:hAnsi="Times New Roman"/>
                <w:sz w:val="18"/>
                <w:szCs w:val="18"/>
                <w:color w:val="auto"/>
              </w:rPr>
              <w:t>whole shares, sell the whole shares (or cause the whole shares to be sold) in the open</w:t>
            </w:r>
          </w:p>
        </w:tc>
      </w:tr>
    </w:tbl>
    <w:p>
      <w:pPr>
        <w:ind w:left="4340"/>
        <w:spacing w:after="0" w:line="253" w:lineRule="auto"/>
        <w:rPr>
          <w:sz w:val="20"/>
          <w:szCs w:val="20"/>
          <w:color w:val="auto"/>
        </w:rPr>
      </w:pPr>
      <w:r>
        <w:rPr>
          <w:rFonts w:ascii="Times New Roman" w:cs="Times New Roman" w:eastAsia="Times New Roman" w:hAnsi="Times New Roman"/>
          <w:sz w:val="18"/>
          <w:szCs w:val="18"/>
          <w:color w:val="auto"/>
        </w:rPr>
        <w:t>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determine when, how, through which broker-dealers and at what prices to sell the aggregated fractional</w:t>
      </w:r>
    </w:p>
    <w:p>
      <w:pPr>
        <w:spacing w:after="0" w:line="30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20"/>
          </w:cols>
          <w:pgMar w:left="320" w:top="455" w:right="659" w:bottom="1440" w:gutter="0" w:footer="0" w:header="0"/>
        </w:sectPr>
      </w:pPr>
    </w:p>
    <w:bookmarkStart w:id="794" w:name="page795"/>
    <w:bookmarkEnd w:id="7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280" w:type="dxa"/>
            <w:vAlign w:val="bottom"/>
            <w:tcBorders>
              <w:top w:val="single" w:sz="8" w:color="auto"/>
              <w:left w:val="single" w:sz="8" w:color="auto"/>
            </w:tcBorders>
          </w:tcPr>
          <w:p>
            <w:pPr>
              <w:spacing w:after="0"/>
              <w:rPr>
                <w:sz w:val="24"/>
                <w:szCs w:val="24"/>
                <w:color w:val="auto"/>
              </w:rPr>
            </w:pPr>
          </w:p>
        </w:tc>
        <w:tc>
          <w:tcPr>
            <w:tcW w:w="7740" w:type="dxa"/>
            <w:vAlign w:val="bottom"/>
            <w:tcBorders>
              <w:top w:val="single" w:sz="8" w:color="auto"/>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shares. Recipients of cash in lieu of fractional shares of Versant common stock will not be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entitled to any minimum sale price for the fractional shares or to any interest on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amounts of payments made in lieu of fractional shares. The receipt of cash in lieu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fractional shares generally will be taxable to the recipient shareholders for U.S. federal</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income tax purposes as described in “The Separation—Material U.S. Federal Income Tax</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Distribution Method</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will be issued only by direct registration in book-entry</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form. Registration in book-entry form is a method of recording stock ownership when no</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physical paper share certificates are issued to shareholders, as is the case with respect to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Versant Class A common stock that will be distributed as part of the Distribution. Holders</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of Versant Class B common stock will be issued share certificates.</w:t>
            </w:r>
          </w:p>
        </w:tc>
      </w:tr>
      <w:tr>
        <w:trPr>
          <w:trHeight w:val="319"/>
        </w:trPr>
        <w:tc>
          <w:tcPr>
            <w:tcW w:w="328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The Distribution is subject to the satisfaction or waiver by Comcast of the following</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conditions, as well as other conditions described in this information statement in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Separation—Conditions to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registration statement on Form 10, of which this information statement is a part,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will have become effective, no stop order suspending the effectiveness of our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 statement on Form 10 will be in effect, and no proceedings for such</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 will be pending before or threatened by the SEC, and this information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statement, or a notice of Internet availability thereof, will have been made available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the holders of Comcast common stock as of the record date for the Distribution;</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Our Class A common stock to be delivered in the Distribution will have been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approved for listing on Nasdaq subject to official notice of issuance;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Comcast will have received the opinion of Davis Polk &amp; Wardwell LLP to the effect</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that, for U.S. federal income tax purposes, the Distribution, together with certain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related transactions, will qualify as a “reorganization” within the meaning of</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to Comcast creditors or shareholders in connection with the reorganization for</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purposes of Section 361(b) of the Code;</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Any material governmental approvals and consents and any material permits,</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registrations and consents from third parties, in each case, necessary to effect the</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Transactions or the Distribution will have been obtained; and</w:t>
            </w:r>
          </w:p>
        </w:tc>
      </w:tr>
      <w:tr>
        <w:trPr>
          <w:trHeight w:val="319"/>
        </w:trPr>
        <w:tc>
          <w:tcPr>
            <w:tcW w:w="3280" w:type="dxa"/>
            <w:vAlign w:val="bottom"/>
            <w:tcBorders>
              <w:left w:val="single" w:sz="8" w:color="auto"/>
            </w:tcBorders>
          </w:tcPr>
          <w:p>
            <w:pPr>
              <w:spacing w:after="0"/>
              <w:rPr>
                <w:sz w:val="24"/>
                <w:szCs w:val="24"/>
                <w:color w:val="auto"/>
              </w:rPr>
            </w:pPr>
          </w:p>
        </w:tc>
        <w:tc>
          <w:tcPr>
            <w:tcW w:w="7740" w:type="dxa"/>
            <w:vAlign w:val="bottom"/>
            <w:tcBorders>
              <w:right w:val="single" w:sz="8" w:color="auto"/>
            </w:tcBorders>
          </w:tcPr>
          <w:p>
            <w:pPr>
              <w:ind w:left="1160"/>
              <w:spacing w:after="0"/>
              <w:rPr>
                <w:sz w:val="20"/>
                <w:szCs w:val="20"/>
                <w:color w:val="auto"/>
              </w:rPr>
            </w:pPr>
            <w:r>
              <w:rPr>
                <w:rFonts w:ascii="Times New Roman" w:cs="Times New Roman" w:eastAsia="Times New Roman" w:hAnsi="Times New Roman"/>
                <w:sz w:val="18"/>
                <w:szCs w:val="18"/>
                <w:color w:val="auto"/>
              </w:rPr>
              <w:t>•   No event or development will have occurred or exist that, in the judgment of the</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Comcast Board, in its sole discretion, makes it inadvisable to effect the Distribution</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or other transactions contemplated by the Separation and Distribution Agreement or</w:t>
            </w:r>
          </w:p>
        </w:tc>
      </w:tr>
      <w:tr>
        <w:trPr>
          <w:trHeight w:val="216"/>
        </w:trPr>
        <w:tc>
          <w:tcPr>
            <w:tcW w:w="3280" w:type="dxa"/>
            <w:vAlign w:val="bottom"/>
            <w:tcBorders>
              <w:left w:val="single" w:sz="8" w:color="auto"/>
            </w:tcBorders>
          </w:tcPr>
          <w:p>
            <w:pPr>
              <w:spacing w:after="0"/>
              <w:rPr>
                <w:sz w:val="18"/>
                <w:szCs w:val="18"/>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by any of the ancillary agreements contemplated by the Separation and Distribution</w:t>
            </w:r>
          </w:p>
        </w:tc>
      </w:tr>
      <w:tr>
        <w:trPr>
          <w:trHeight w:val="234"/>
        </w:trPr>
        <w:tc>
          <w:tcPr>
            <w:tcW w:w="3280" w:type="dxa"/>
            <w:vAlign w:val="bottom"/>
            <w:tcBorders>
              <w:left w:val="single" w:sz="8" w:color="auto"/>
            </w:tcBorders>
          </w:tcPr>
          <w:p>
            <w:pPr>
              <w:spacing w:after="0"/>
              <w:rPr>
                <w:sz w:val="20"/>
                <w:szCs w:val="20"/>
                <w:color w:val="auto"/>
              </w:rPr>
            </w:pPr>
          </w:p>
        </w:tc>
        <w:tc>
          <w:tcPr>
            <w:tcW w:w="7740" w:type="dxa"/>
            <w:vAlign w:val="bottom"/>
            <w:tcBorders>
              <w:right w:val="single" w:sz="8" w:color="auto"/>
            </w:tcBorders>
          </w:tcPr>
          <w:p>
            <w:pPr>
              <w:ind w:left="1440"/>
              <w:spacing w:after="0"/>
              <w:rPr>
                <w:sz w:val="20"/>
                <w:szCs w:val="20"/>
                <w:color w:val="auto"/>
              </w:rPr>
            </w:pPr>
            <w:r>
              <w:rPr>
                <w:rFonts w:ascii="Times New Roman" w:cs="Times New Roman" w:eastAsia="Times New Roman" w:hAnsi="Times New Roman"/>
                <w:sz w:val="18"/>
                <w:szCs w:val="18"/>
                <w:color w:val="auto"/>
              </w:rPr>
              <w:t>Agreement.</w:t>
            </w:r>
          </w:p>
        </w:tc>
      </w:tr>
      <w:tr>
        <w:trPr>
          <w:trHeight w:val="172"/>
        </w:trPr>
        <w:tc>
          <w:tcPr>
            <w:tcW w:w="3280" w:type="dxa"/>
            <w:vAlign w:val="bottom"/>
            <w:tcBorders>
              <w:left w:val="single" w:sz="8" w:color="auto"/>
              <w:bottom w:val="single" w:sz="8" w:color="auto"/>
            </w:tcBorders>
          </w:tcPr>
          <w:p>
            <w:pPr>
              <w:spacing w:after="0"/>
              <w:rPr>
                <w:sz w:val="14"/>
                <w:szCs w:val="14"/>
                <w:color w:val="auto"/>
              </w:rPr>
            </w:pPr>
          </w:p>
        </w:tc>
        <w:tc>
          <w:tcPr>
            <w:tcW w:w="7740" w:type="dxa"/>
            <w:vAlign w:val="bottom"/>
            <w:tcBorders>
              <w:bottom w:val="single" w:sz="8" w:color="auto"/>
              <w:right w:val="single" w:sz="8" w:color="auto"/>
            </w:tcBorders>
          </w:tcPr>
          <w:p>
            <w:pPr>
              <w:spacing w:after="0"/>
              <w:rPr>
                <w:sz w:val="14"/>
                <w:szCs w:val="14"/>
                <w:color w:val="auto"/>
              </w:rPr>
            </w:pPr>
          </w:p>
        </w:tc>
      </w:tr>
      <w:tr>
        <w:trPr>
          <w:trHeight w:val="361"/>
        </w:trPr>
        <w:tc>
          <w:tcPr>
            <w:tcW w:w="3280" w:type="dxa"/>
            <w:vAlign w:val="bottom"/>
          </w:tcPr>
          <w:p>
            <w:pPr>
              <w:spacing w:after="0"/>
              <w:rPr>
                <w:sz w:val="24"/>
                <w:szCs w:val="24"/>
                <w:color w:val="auto"/>
              </w:rPr>
            </w:pPr>
          </w:p>
        </w:tc>
        <w:tc>
          <w:tcPr>
            <w:tcW w:w="7740" w:type="dxa"/>
            <w:vAlign w:val="bottom"/>
          </w:tcPr>
          <w:p>
            <w:pPr>
              <w:ind w:left="2140"/>
              <w:spacing w:after="0"/>
              <w:rPr>
                <w:sz w:val="20"/>
                <w:szCs w:val="20"/>
                <w:color w:val="auto"/>
              </w:rPr>
            </w:pPr>
            <w:r>
              <w:rPr>
                <w:rFonts w:ascii="Times New Roman" w:cs="Times New Roman" w:eastAsia="Times New Roman" w:hAnsi="Times New Roman"/>
                <w:sz w:val="18"/>
                <w:szCs w:val="18"/>
                <w:color w:val="auto"/>
              </w:rPr>
              <w:t>17</w:t>
            </w:r>
          </w:p>
        </w:tc>
      </w:tr>
    </w:tbl>
    <w:p>
      <w:pPr>
        <w:sectPr>
          <w:pgSz w:w="11900" w:h="16838" w:orient="portrait"/>
          <w:cols w:equalWidth="0" w:num="1">
            <w:col w:w="11140"/>
          </w:cols>
          <w:pgMar w:left="320" w:top="455" w:right="439" w:bottom="1440" w:gutter="0" w:footer="0" w:header="0"/>
        </w:sectPr>
      </w:pPr>
    </w:p>
    <w:bookmarkStart w:id="795" w:name="page796"/>
    <w:bookmarkEnd w:id="7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640" w:type="dxa"/>
            <w:vAlign w:val="bottom"/>
            <w:tcBorders>
              <w:top w:val="single" w:sz="8" w:color="auto"/>
              <w:left w:val="single" w:sz="8" w:color="auto"/>
            </w:tcBorders>
          </w:tcPr>
          <w:p>
            <w:pPr>
              <w:spacing w:after="0"/>
              <w:rPr>
                <w:sz w:val="24"/>
                <w:szCs w:val="24"/>
                <w:color w:val="auto"/>
              </w:rPr>
            </w:pPr>
          </w:p>
        </w:tc>
        <w:tc>
          <w:tcPr>
            <w:tcW w:w="73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The fulfillment</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of the conditions to the Distribution will not create any obligations on Comcast’s part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effect the Distribution, and Comcast has reserved the right to abandon, modify or change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the terms of the Separation, including by accelerating or delaying the timing of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consummation of all or part of the Distribution, at any time prior to the Distribution Date.</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Stock Exchange Listing</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Versant has applied to have its shares of Class A common stock listed on Nasdaq under the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ticker symbol “VSNT.”</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Dividend Policy</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While we expect to have the capacity to return capital to our shareholders following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Separation, the declaration and amount of any dividends to holders of our common stock</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will be at the discretion of our Board and will depend upon many factors, including our</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financial condition, earnings, cash flows, capital requirements of our business, covenants</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associated with our debt obligations, legal requirements, regulatory constraints, industry</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practice and any other factors the Board deems relevant. For more information, see</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“Dividend Policy.”</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Transfer Agent</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Equiniti Trust Company, LLC, with respect to the shares of Versant Class A common</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stock.</w:t>
            </w:r>
          </w:p>
        </w:tc>
      </w:tr>
      <w:tr>
        <w:trPr>
          <w:trHeight w:val="319"/>
        </w:trPr>
        <w:tc>
          <w:tcPr>
            <w:tcW w:w="36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U.S. Federal Income Tax Consequences</w:t>
            </w: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A condition to the Distribution is Comcast’s receipt of the opinion of Davis Polk &amp;</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Wardwell LLP to the effect that, for U.S. federal income tax purposes, the Distribution,</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together with certain related transactions, will qualify as a “reorganization” within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meaning of Section 368(a)(1)(D) of the Code and a distribution to which Section 355 of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Code applies, and the Comcast Cash Distribution will qualify as money distributed to</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Comcast creditors or shareholders in connection with the reorganization for purposes of</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Section 361(b) of the Code. In that case, for U.S. federal income tax purposes,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Distribution will be tax-free to beneficial owners of Comcast common stock, except to the</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extent of any cash received in lieu of fractional shares of Versant common stock. You</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should review the section entitled “The Separation—Material U.S. Federal Income Tax</w:t>
            </w:r>
          </w:p>
        </w:tc>
      </w:tr>
      <w:tr>
        <w:trPr>
          <w:trHeight w:val="216"/>
        </w:trPr>
        <w:tc>
          <w:tcPr>
            <w:tcW w:w="3640" w:type="dxa"/>
            <w:vAlign w:val="bottom"/>
            <w:tcBorders>
              <w:left w:val="single" w:sz="8" w:color="auto"/>
            </w:tcBorders>
          </w:tcPr>
          <w:p>
            <w:pPr>
              <w:spacing w:after="0"/>
              <w:rPr>
                <w:sz w:val="18"/>
                <w:szCs w:val="18"/>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 for a discussion of the material U.S. federal income tax</w:t>
            </w:r>
          </w:p>
        </w:tc>
      </w:tr>
      <w:tr>
        <w:trPr>
          <w:trHeight w:val="234"/>
        </w:trPr>
        <w:tc>
          <w:tcPr>
            <w:tcW w:w="3640" w:type="dxa"/>
            <w:vAlign w:val="bottom"/>
            <w:tcBorders>
              <w:left w:val="single" w:sz="8" w:color="auto"/>
            </w:tcBorders>
          </w:tcPr>
          <w:p>
            <w:pPr>
              <w:spacing w:after="0"/>
              <w:rPr>
                <w:sz w:val="20"/>
                <w:szCs w:val="20"/>
                <w:color w:val="auto"/>
              </w:rPr>
            </w:pPr>
          </w:p>
        </w:tc>
        <w:tc>
          <w:tcPr>
            <w:tcW w:w="7380" w:type="dxa"/>
            <w:vAlign w:val="bottom"/>
            <w:tcBorders>
              <w:right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consequences of the Distribution.</w:t>
            </w:r>
          </w:p>
        </w:tc>
      </w:tr>
      <w:tr>
        <w:trPr>
          <w:trHeight w:val="172"/>
        </w:trPr>
        <w:tc>
          <w:tcPr>
            <w:tcW w:w="3640" w:type="dxa"/>
            <w:vAlign w:val="bottom"/>
            <w:tcBorders>
              <w:left w:val="single" w:sz="8" w:color="auto"/>
              <w:bottom w:val="single" w:sz="8" w:color="auto"/>
            </w:tcBorders>
          </w:tcPr>
          <w:p>
            <w:pPr>
              <w:spacing w:after="0"/>
              <w:rPr>
                <w:sz w:val="14"/>
                <w:szCs w:val="14"/>
                <w:color w:val="auto"/>
              </w:rPr>
            </w:pPr>
          </w:p>
        </w:tc>
        <w:tc>
          <w:tcPr>
            <w:tcW w:w="7380" w:type="dxa"/>
            <w:vAlign w:val="bottom"/>
            <w:tcBorders>
              <w:bottom w:val="single" w:sz="8" w:color="auto"/>
              <w:right w:val="single" w:sz="8" w:color="auto"/>
            </w:tcBorders>
          </w:tcPr>
          <w:p>
            <w:pPr>
              <w:spacing w:after="0"/>
              <w:rPr>
                <w:sz w:val="14"/>
                <w:szCs w:val="14"/>
                <w:color w:val="auto"/>
              </w:rPr>
            </w:pPr>
          </w:p>
        </w:tc>
      </w:tr>
      <w:tr>
        <w:trPr>
          <w:trHeight w:val="361"/>
        </w:trPr>
        <w:tc>
          <w:tcPr>
            <w:tcW w:w="3640" w:type="dxa"/>
            <w:vAlign w:val="bottom"/>
          </w:tcPr>
          <w:p>
            <w:pPr>
              <w:spacing w:after="0"/>
              <w:rPr>
                <w:sz w:val="24"/>
                <w:szCs w:val="24"/>
                <w:color w:val="auto"/>
              </w:rPr>
            </w:pPr>
          </w:p>
        </w:tc>
        <w:tc>
          <w:tcPr>
            <w:tcW w:w="7380" w:type="dxa"/>
            <w:vAlign w:val="bottom"/>
          </w:tcPr>
          <w:p>
            <w:pPr>
              <w:ind w:left="1780"/>
              <w:spacing w:after="0"/>
              <w:rPr>
                <w:sz w:val="20"/>
                <w:szCs w:val="20"/>
                <w:color w:val="auto"/>
              </w:rPr>
            </w:pPr>
            <w:r>
              <w:rPr>
                <w:rFonts w:ascii="Times New Roman" w:cs="Times New Roman" w:eastAsia="Times New Roman" w:hAnsi="Times New Roman"/>
                <w:sz w:val="18"/>
                <w:szCs w:val="18"/>
                <w:color w:val="auto"/>
              </w:rPr>
              <w:t>18</w:t>
            </w:r>
          </w:p>
        </w:tc>
      </w:tr>
    </w:tbl>
    <w:p>
      <w:pPr>
        <w:sectPr>
          <w:pgSz w:w="11900" w:h="16838" w:orient="portrait"/>
          <w:cols w:equalWidth="0" w:num="1">
            <w:col w:w="11140"/>
          </w:cols>
          <w:pgMar w:left="320" w:top="455" w:right="439" w:bottom="1440" w:gutter="0" w:footer="0" w:header="0"/>
        </w:sectPr>
      </w:pPr>
    </w:p>
    <w:bookmarkStart w:id="796" w:name="page797"/>
    <w:bookmarkEnd w:id="7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75894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0">
                      <a:extLst>
                        <a:ext uri="{28A0092B-C50C-407E-A947-70E740481C1C}"/>
                      </a:extLst>
                    </a:blip>
                    <a:srcRect/>
                    <a:stretch>
                      <a:fillRect/>
                    </a:stretch>
                  </pic:blipFill>
                  <pic:spPr bwMode="auto">
                    <a:xfrm>
                      <a:off x="0" y="0"/>
                      <a:ext cx="6998970" cy="675894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SUMMARY RISK FACTORS</w:t>
      </w:r>
    </w:p>
    <w:p>
      <w:pPr>
        <w:spacing w:after="0" w:line="229" w:lineRule="exact"/>
        <w:rPr>
          <w:sz w:val="20"/>
          <w:szCs w:val="20"/>
          <w:color w:val="auto"/>
        </w:rPr>
      </w:pPr>
    </w:p>
    <w:p>
      <w:pPr>
        <w:ind w:left="300" w:right="340" w:firstLine="426"/>
        <w:spacing w:after="0" w:line="266" w:lineRule="auto"/>
        <w:rPr>
          <w:sz w:val="20"/>
          <w:szCs w:val="20"/>
          <w:color w:val="auto"/>
        </w:rPr>
      </w:pPr>
      <w:r>
        <w:rPr>
          <w:rFonts w:ascii="Times New Roman" w:cs="Times New Roman" w:eastAsia="Times New Roman" w:hAnsi="Times New Roman"/>
          <w:sz w:val="18"/>
          <w:szCs w:val="18"/>
          <w:color w:val="auto"/>
        </w:rPr>
        <w:t>We are subject to a number of risks, including risks related to the Separation, including the Transactions and the Distribution, and other related transactions. The following list of risk factors is not exhaustive. Please read “Risk Factors” carefully for a more thorough description of these and other risks.</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135" w:lineRule="exact"/>
        <w:rPr>
          <w:sz w:val="20"/>
          <w:szCs w:val="20"/>
          <w:color w:val="auto"/>
        </w:rPr>
      </w:pPr>
    </w:p>
    <w:p>
      <w:pPr>
        <w:ind w:left="1240" w:right="38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intense competition, and if we are unable to compete effectively, our business, financial condition and results of operations could suffer.</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behavior, evolving technologies and distribution platforms continue to adversely affect our business.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programming distribution agreements, or the renewal of these agreements on less favorable terms, could adversely affect our businesses.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advertisers’ expenditures or changes in advertising markets could negatively impact our business.</w:t>
      </w:r>
    </w:p>
    <w:p>
      <w:pPr>
        <w:spacing w:after="0" w:line="130" w:lineRule="exact"/>
        <w:rPr>
          <w:rFonts w:ascii="Times New Roman" w:cs="Times New Roman" w:eastAsia="Times New Roman" w:hAnsi="Times New Roman"/>
          <w:sz w:val="18"/>
          <w:szCs w:val="18"/>
          <w:color w:val="auto"/>
        </w:rPr>
      </w:pPr>
    </w:p>
    <w:p>
      <w:pPr>
        <w:ind w:left="1240" w:right="72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Damage to our brands or our reputation could have a material adverse effect on our business, financial condition or results of operations.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network rebrands may result in customer confusion and disruption, leading to lower ratings and monetization.</w:t>
      </w:r>
    </w:p>
    <w:p>
      <w:pPr>
        <w:spacing w:after="0" w:line="130" w:lineRule="exact"/>
        <w:rPr>
          <w:rFonts w:ascii="Times New Roman" w:cs="Times New Roman" w:eastAsia="Times New Roman" w:hAnsi="Times New Roman"/>
          <w:sz w:val="18"/>
          <w:szCs w:val="18"/>
          <w:color w:val="auto"/>
        </w:rPr>
      </w:pPr>
    </w:p>
    <w:p>
      <w:pPr>
        <w:ind w:left="1240" w:right="60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the continued appeal of the content we distribute. The preferences of our viewers and distributors are difficult to forecast and subject to change.</w:t>
      </w:r>
    </w:p>
    <w:p>
      <w:pPr>
        <w:spacing w:after="0" w:line="67" w:lineRule="exact"/>
        <w:rPr>
          <w:rFonts w:ascii="Times New Roman" w:cs="Times New Roman" w:eastAsia="Times New Roman" w:hAnsi="Times New Roman"/>
          <w:sz w:val="18"/>
          <w:szCs w:val="18"/>
          <w:color w:val="auto"/>
        </w:rPr>
      </w:pPr>
    </w:p>
    <w:p>
      <w:pPr>
        <w:ind w:left="1240" w:right="26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growth of our digital platforms depends on our ability to attract new customers, retain existing customers and continue to grow the revenue we derive from these businesses.</w:t>
      </w:r>
    </w:p>
    <w:p>
      <w:pPr>
        <w:spacing w:after="0" w:line="67"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businesses depend on using and protecting certain intellectual property rights and on not infringing, misappropriating or otherwise violating the intellectual property rights of others.</w:t>
      </w:r>
    </w:p>
    <w:p>
      <w:pPr>
        <w:spacing w:after="0" w:line="67" w:lineRule="exact"/>
        <w:rPr>
          <w:rFonts w:ascii="Times New Roman" w:cs="Times New Roman" w:eastAsia="Times New Roman" w:hAnsi="Times New Roman"/>
          <w:sz w:val="18"/>
          <w:szCs w:val="18"/>
          <w:color w:val="auto"/>
        </w:rPr>
      </w:pPr>
    </w:p>
    <w:p>
      <w:pPr>
        <w:ind w:left="1240" w:right="220" w:hanging="415"/>
        <w:spacing w:after="0" w:line="266"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Weak economic conditions may have a negative impact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management personnel or popular on-air and creative talent could have an adverse effect on our businesses.</w:t>
      </w:r>
    </w:p>
    <w:p>
      <w:pPr>
        <w:spacing w:after="0" w:line="130"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disputes, whether involving employees or sports organizations, may disrupt our operations and adversely affect our businesses.</w:t>
      </w:r>
    </w:p>
    <w:p>
      <w:pPr>
        <w:spacing w:after="0" w:line="130" w:lineRule="exact"/>
        <w:rPr>
          <w:rFonts w:ascii="Times New Roman" w:cs="Times New Roman" w:eastAsia="Times New Roman" w:hAnsi="Times New Roman"/>
          <w:sz w:val="18"/>
          <w:szCs w:val="18"/>
          <w:color w:val="auto"/>
        </w:rPr>
      </w:pPr>
    </w:p>
    <w:p>
      <w:pPr>
        <w:ind w:left="1240" w:right="18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litigation or governmental investigation results could require us to pay significant amounts or lead to onerous operating procedures.</w:t>
      </w:r>
    </w:p>
    <w:p>
      <w:pPr>
        <w:spacing w:after="0" w:line="67" w:lineRule="exact"/>
        <w:rPr>
          <w:rFonts w:ascii="Times New Roman" w:cs="Times New Roman" w:eastAsia="Times New Roman" w:hAnsi="Times New Roman"/>
          <w:sz w:val="18"/>
          <w:szCs w:val="18"/>
          <w:color w:val="auto"/>
        </w:rPr>
      </w:pPr>
    </w:p>
    <w:p>
      <w:pPr>
        <w:ind w:left="1240" w:right="420" w:hanging="415"/>
        <w:spacing w:after="0" w:line="282" w:lineRule="auto"/>
        <w:tabs>
          <w:tab w:leader="none" w:pos="1240" w:val="left"/>
        </w:tabs>
        <w:numPr>
          <w:ilvl w:val="0"/>
          <w:numId w:val="10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successfully make investments in, and/or acquire and integrate, other businesses, assets, products or technologies could harm our business, financial condition or operating results.</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135" w:lineRule="exact"/>
        <w:rPr>
          <w:sz w:val="20"/>
          <w:szCs w:val="20"/>
          <w:color w:val="auto"/>
        </w:rPr>
      </w:pPr>
    </w:p>
    <w:p>
      <w:pPr>
        <w:ind w:left="1240" w:hanging="415"/>
        <w:spacing w:after="0"/>
        <w:tabs>
          <w:tab w:leader="none" w:pos="1240" w:val="left"/>
        </w:tabs>
        <w:numPr>
          <w:ilvl w:val="0"/>
          <w:numId w:val="10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realize the anticipated benefits from the Separation, and the Separation could harm our business.</w:t>
      </w:r>
    </w:p>
    <w:p>
      <w:pPr>
        <w:spacing w:after="0" w:line="130" w:lineRule="exact"/>
        <w:rPr>
          <w:rFonts w:ascii="Times New Roman" w:cs="Times New Roman" w:eastAsia="Times New Roman" w:hAnsi="Times New Roman"/>
          <w:sz w:val="18"/>
          <w:szCs w:val="18"/>
          <w:color w:val="auto"/>
        </w:rPr>
      </w:pPr>
    </w:p>
    <w:p>
      <w:pPr>
        <w:ind w:left="1240" w:right="680" w:hanging="415"/>
        <w:spacing w:after="0" w:line="282" w:lineRule="auto"/>
        <w:tabs>
          <w:tab w:leader="none" w:pos="1240" w:val="left"/>
        </w:tabs>
        <w:numPr>
          <w:ilvl w:val="0"/>
          <w:numId w:val="10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 history of operating as an independent company, and our combined financial statements and unaudited pro forma combined financial statements are not necessarily representative of the results</w:t>
      </w:r>
    </w:p>
    <w:p>
      <w:pPr>
        <w:spacing w:after="0" w:line="28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40"/>
          </w:cols>
          <w:pgMar w:left="320" w:top="455" w:right="639" w:bottom="1440" w:gutter="0" w:footer="0" w:header="0"/>
        </w:sectPr>
      </w:pPr>
    </w:p>
    <w:bookmarkStart w:id="797" w:name="page798"/>
    <w:bookmarkEnd w:id="7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2163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2">
                      <a:extLst>
                        <a:ext uri="{28A0092B-C50C-407E-A947-70E740481C1C}"/>
                      </a:extLst>
                    </a:blip>
                    <a:srcRect/>
                    <a:stretch>
                      <a:fillRect/>
                    </a:stretch>
                  </pic:blipFill>
                  <pic:spPr bwMode="auto">
                    <a:xfrm>
                      <a:off x="0" y="0"/>
                      <a:ext cx="6998970" cy="54216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that we would have achieved as an independent, publicly traded company and may not be a reliable indicator of our future results.</w:t>
      </w:r>
    </w:p>
    <w:p>
      <w:pPr>
        <w:spacing w:after="0" w:line="131" w:lineRule="exact"/>
        <w:rPr>
          <w:sz w:val="20"/>
          <w:szCs w:val="20"/>
          <w:color w:val="auto"/>
        </w:rPr>
      </w:pPr>
    </w:p>
    <w:p>
      <w:pPr>
        <w:ind w:left="1240" w:hanging="415"/>
        <w:spacing w:after="0" w:line="282" w:lineRule="auto"/>
        <w:tabs>
          <w:tab w:leader="none" w:pos="1240"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incur significant costs to create the infrastructure necessary to operate as an independent public company and may experience operational disruptions in connection with the Separation.</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Separation occurs, Comcast has sole discretion to change the terms of the Separation in ways that may be unfavorable to us.</w:t>
      </w:r>
    </w:p>
    <w:p>
      <w:pPr>
        <w:spacing w:after="0" w:line="130" w:lineRule="exact"/>
        <w:rPr>
          <w:rFonts w:ascii="Times New Roman" w:cs="Times New Roman" w:eastAsia="Times New Roman" w:hAnsi="Times New Roman"/>
          <w:sz w:val="18"/>
          <w:szCs w:val="18"/>
          <w:color w:val="auto"/>
        </w:rPr>
      </w:pPr>
    </w:p>
    <w:p>
      <w:pPr>
        <w:ind w:left="1240" w:right="40" w:hanging="415"/>
        <w:spacing w:after="0" w:line="266" w:lineRule="auto"/>
        <w:tabs>
          <w:tab w:leader="none" w:pos="1240"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Separation, we entered into the TLA/Revolver Credit Agreement and the Indenture and we intend to enter into the TLB Credit Agreement, each of which could restrict our business and adversely impact our cash flows, business, financial condition and results of operations.</w:t>
      </w:r>
    </w:p>
    <w:p>
      <w:pPr>
        <w:spacing w:after="0" w:line="81"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shareholders do not have dissenters’ rights with respect to the Separation.</w:t>
      </w:r>
    </w:p>
    <w:p>
      <w:pPr>
        <w:spacing w:after="0" w:line="130" w:lineRule="exact"/>
        <w:rPr>
          <w:rFonts w:ascii="Times New Roman" w:cs="Times New Roman" w:eastAsia="Times New Roman" w:hAnsi="Times New Roman"/>
          <w:sz w:val="18"/>
          <w:szCs w:val="18"/>
          <w:color w:val="auto"/>
        </w:rPr>
      </w:pPr>
    </w:p>
    <w:p>
      <w:pPr>
        <w:ind w:left="1240" w:right="60" w:hanging="415"/>
        <w:spacing w:after="0" w:line="266" w:lineRule="auto"/>
        <w:tabs>
          <w:tab w:leader="none" w:pos="1240"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135" w:lineRule="exact"/>
        <w:rPr>
          <w:sz w:val="20"/>
          <w:szCs w:val="20"/>
          <w:color w:val="auto"/>
        </w:rPr>
      </w:pPr>
    </w:p>
    <w:p>
      <w:pPr>
        <w:ind w:left="1240" w:right="40" w:hanging="415"/>
        <w:spacing w:after="0" w:line="266" w:lineRule="auto"/>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81" w:lineRule="exact"/>
        <w:rPr>
          <w:rFonts w:ascii="Times New Roman" w:cs="Times New Roman" w:eastAsia="Times New Roman" w:hAnsi="Times New Roman"/>
          <w:sz w:val="18"/>
          <w:szCs w:val="18"/>
          <w:color w:val="auto"/>
        </w:rPr>
      </w:pPr>
    </w:p>
    <w:p>
      <w:pPr>
        <w:ind w:left="1240" w:hanging="415"/>
        <w:spacing w:after="0" w:line="282" w:lineRule="auto"/>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large number of our shares are or will be eligible for future sale, which may cause the market price of our Class A common stock to decline.</w:t>
      </w:r>
    </w:p>
    <w:p>
      <w:pPr>
        <w:spacing w:after="0" w:line="67" w:lineRule="exact"/>
        <w:rPr>
          <w:rFonts w:ascii="Times New Roman" w:cs="Times New Roman" w:eastAsia="Times New Roman" w:hAnsi="Times New Roman"/>
          <w:sz w:val="18"/>
          <w:szCs w:val="18"/>
          <w:color w:val="auto"/>
        </w:rPr>
      </w:pPr>
    </w:p>
    <w:p>
      <w:pPr>
        <w:ind w:left="1240" w:hanging="415"/>
        <w:spacing w:after="0" w:line="266" w:lineRule="auto"/>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81" w:lineRule="exact"/>
        <w:rPr>
          <w:rFonts w:ascii="Times New Roman" w:cs="Times New Roman" w:eastAsia="Times New Roman" w:hAnsi="Times New Roman"/>
          <w:sz w:val="18"/>
          <w:szCs w:val="18"/>
          <w:color w:val="auto"/>
        </w:rPr>
      </w:pPr>
    </w:p>
    <w:p>
      <w:pPr>
        <w:ind w:left="1240" w:right="120" w:hanging="415"/>
        <w:spacing w:after="0" w:line="282" w:lineRule="auto"/>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articles of incorporation and bylaws and certain provisions of Pennsylvania law could delay or prevent a change in control of Versant.</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percentage ownership in Versant may be diluted in the future.</w:t>
      </w:r>
    </w:p>
    <w:p>
      <w:pPr>
        <w:spacing w:after="0" w:line="130" w:lineRule="exact"/>
        <w:rPr>
          <w:rFonts w:ascii="Times New Roman" w:cs="Times New Roman" w:eastAsia="Times New Roman" w:hAnsi="Times New Roman"/>
          <w:sz w:val="18"/>
          <w:szCs w:val="18"/>
          <w:color w:val="auto"/>
        </w:rPr>
      </w:pPr>
    </w:p>
    <w:p>
      <w:pPr>
        <w:ind w:left="1240" w:right="220" w:hanging="415"/>
        <w:spacing w:after="0" w:line="282" w:lineRule="auto"/>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is and will be subordinate to all of our indebtedness and any preferred stock, and effectively subordinated to all indebtedness and preferred equity claims against our subsidiaries.</w:t>
      </w:r>
    </w:p>
    <w:p>
      <w:pPr>
        <w:spacing w:after="0" w:line="67" w:lineRule="exact"/>
        <w:rPr>
          <w:rFonts w:ascii="Times New Roman" w:cs="Times New Roman" w:eastAsia="Times New Roman" w:hAnsi="Times New Roman"/>
          <w:sz w:val="18"/>
          <w:szCs w:val="18"/>
          <w:color w:val="auto"/>
        </w:rPr>
      </w:pPr>
    </w:p>
    <w:p>
      <w:pPr>
        <w:ind w:left="1240" w:hanging="415"/>
        <w:spacing w:after="0"/>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cannot assure you that our Board will declare dividends in the foreseeable future.</w:t>
      </w:r>
    </w:p>
    <w:p>
      <w:pPr>
        <w:spacing w:after="0" w:line="130" w:lineRule="exact"/>
        <w:rPr>
          <w:rFonts w:ascii="Times New Roman" w:cs="Times New Roman" w:eastAsia="Times New Roman" w:hAnsi="Times New Roman"/>
          <w:sz w:val="18"/>
          <w:szCs w:val="18"/>
          <w:color w:val="auto"/>
        </w:rPr>
      </w:pPr>
    </w:p>
    <w:p>
      <w:pPr>
        <w:ind w:left="1240" w:right="320" w:hanging="415"/>
        <w:spacing w:after="0" w:line="266" w:lineRule="auto"/>
        <w:tabs>
          <w:tab w:leader="none" w:pos="1240" w:val="left"/>
        </w:tabs>
        <w:numPr>
          <w:ilvl w:val="0"/>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297"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880"/>
          </w:cols>
          <w:pgMar w:left="320" w:top="455" w:right="699" w:bottom="1440" w:gutter="0" w:footer="0" w:header="0"/>
        </w:sectPr>
      </w:pPr>
    </w:p>
    <w:bookmarkStart w:id="798" w:name="page799"/>
    <w:bookmarkEnd w:id="7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66166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4">
                      <a:extLst>
                        <a:ext uri="{28A0092B-C50C-407E-A947-70E740481C1C}"/>
                      </a:extLst>
                    </a:blip>
                    <a:srcRect/>
                    <a:stretch>
                      <a:fillRect/>
                    </a:stretch>
                  </pic:blipFill>
                  <pic:spPr bwMode="auto">
                    <a:xfrm>
                      <a:off x="0" y="0"/>
                      <a:ext cx="6998970" cy="5661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SUMMARY COMBINED FINANCIAL AND OTHER DATA</w:t>
      </w:r>
    </w:p>
    <w:p>
      <w:pPr>
        <w:spacing w:after="0" w:line="229" w:lineRule="exact"/>
        <w:rPr>
          <w:sz w:val="20"/>
          <w:szCs w:val="20"/>
          <w:color w:val="auto"/>
        </w:rPr>
      </w:pPr>
    </w:p>
    <w:p>
      <w:pPr>
        <w:ind w:left="300" w:right="260" w:firstLine="426"/>
        <w:spacing w:after="0" w:line="254" w:lineRule="auto"/>
        <w:rPr>
          <w:sz w:val="20"/>
          <w:szCs w:val="20"/>
          <w:color w:val="auto"/>
        </w:rPr>
      </w:pPr>
      <w:r>
        <w:rPr>
          <w:rFonts w:ascii="Times New Roman" w:cs="Times New Roman" w:eastAsia="Times New Roman" w:hAnsi="Times New Roman"/>
          <w:sz w:val="18"/>
          <w:szCs w:val="18"/>
          <w:color w:val="auto"/>
        </w:rPr>
        <w:t>The following summary combined financial data of the Company should be read in conjunction with, and are qualified by reference to, the information under “Management’s Discussion and Analysis of Financial Condition and Results of Operations” and the combined financial statements and notes thereto included elsewhere in this information statement. The combined statement of income data for the years ended December 31, 2024, 2023 and 2022, and the combined balance sheet data as of December 31, 2024 and 2023 are derived from, and qualified by reference to, the audited combined financial statements of the Company included elsewhere in this information statement, and should be read in conjunction with those combined financial statements and notes thereto. The combined statement of income data for the six months ended June 30, 2025 and 2024, and the combined balance sheet data as of June 30, 2025 are derived from, and qualified by reference to, the unaudited condensed combined financial statements of the Company included elsewhere in this information statement, and should be read in conjunction with those combined financial statements and notes thereto.</w:t>
      </w:r>
    </w:p>
    <w:p>
      <w:pPr>
        <w:spacing w:after="0" w:line="188" w:lineRule="exact"/>
        <w:rPr>
          <w:sz w:val="20"/>
          <w:szCs w:val="20"/>
          <w:color w:val="auto"/>
        </w:rPr>
      </w:pPr>
    </w:p>
    <w:p>
      <w:pPr>
        <w:ind w:left="300" w:right="420" w:firstLine="426"/>
        <w:spacing w:after="0" w:line="282" w:lineRule="auto"/>
        <w:rPr>
          <w:sz w:val="20"/>
          <w:szCs w:val="20"/>
          <w:color w:val="auto"/>
        </w:rPr>
      </w:pPr>
      <w:r>
        <w:rPr>
          <w:rFonts w:ascii="Times New Roman" w:cs="Times New Roman" w:eastAsia="Times New Roman" w:hAnsi="Times New Roman"/>
          <w:sz w:val="18"/>
          <w:szCs w:val="18"/>
          <w:color w:val="auto"/>
        </w:rPr>
        <w:t>The summary financial data in this section are not intended to replace our combined financial statements and related notes appearing at the end of this information statement.</w:t>
      </w:r>
    </w:p>
    <w:p>
      <w:pPr>
        <w:spacing w:after="0" w:line="16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The following tables summarize our results of operations for the periods presented:</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8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8"/>
          </w:tcPr>
          <w:p>
            <w:pP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580" w:type="dxa"/>
            <w:vAlign w:val="bottom"/>
            <w:gridSpan w:val="9"/>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900" w:type="dxa"/>
            <w:vAlign w:val="bottom"/>
            <w:tcBorders>
              <w:top w:val="single" w:sz="8" w:color="auto"/>
              <w:bottom w:val="single" w:sz="8" w:color="auto"/>
            </w:tcBorders>
            <w:gridSpan w:val="3"/>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5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11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00" w:type="dxa"/>
            <w:vAlign w:val="bottom"/>
            <w:gridSpan w:val="6"/>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3,415</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3,626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$7,062</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$7,445</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$7,834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1,354</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2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w:t>
            </w:r>
          </w:p>
        </w:tc>
        <w:tc>
          <w:tcPr>
            <w:tcW w:w="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2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489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989</w:t>
            </w:r>
          </w:p>
        </w:tc>
        <w:tc>
          <w:tcPr>
            <w:tcW w:w="88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8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0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910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2,410</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3"/>
          </w:tcPr>
          <w:p>
            <w:pPr>
              <w:jc w:val="right"/>
              <w:ind w:right="188"/>
              <w:spacing w:after="0"/>
              <w:rPr>
                <w:sz w:val="20"/>
                <w:szCs w:val="20"/>
                <w:color w:val="auto"/>
              </w:rPr>
            </w:pPr>
            <w:r>
              <w:rPr>
                <w:rFonts w:ascii="Times New Roman" w:cs="Times New Roman" w:eastAsia="Times New Roman" w:hAnsi="Times New Roman"/>
                <w:sz w:val="18"/>
                <w:szCs w:val="18"/>
                <w:color w:val="auto"/>
              </w:rPr>
              <w:t>— </w:t>
            </w:r>
          </w:p>
        </w:tc>
        <w:tc>
          <w:tcPr>
            <w:tcW w:w="8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908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670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20" w:type="dxa"/>
            <w:vAlign w:val="bottom"/>
            <w:gridSpan w:val="2"/>
            <w:vMerge w:val="continue"/>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vMerge w:val="continue"/>
          </w:tcPr>
          <w:p>
            <w:pPr>
              <w:spacing w:after="0"/>
              <w:rPr>
                <w:sz w:val="19"/>
                <w:szCs w:val="19"/>
                <w:color w:val="auto"/>
              </w:rPr>
            </w:pPr>
          </w:p>
        </w:tc>
        <w:tc>
          <w:tcPr>
            <w:tcW w:w="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vMerge w:val="continue"/>
          </w:tcPr>
          <w:p>
            <w:pPr>
              <w:spacing w:after="0"/>
              <w:rPr>
                <w:sz w:val="19"/>
                <w:szCs w:val="19"/>
                <w:color w:val="auto"/>
              </w:rPr>
            </w:pPr>
          </w:p>
        </w:tc>
        <w:tc>
          <w:tcPr>
            <w:tcW w:w="200" w:type="dxa"/>
            <w:vAlign w:val="bottom"/>
            <w:vMerge w:val="continue"/>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8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Versant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669</w:t>
            </w:r>
          </w:p>
        </w:tc>
        <w:tc>
          <w:tcPr>
            <w:tcW w:w="32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1,363</w:t>
            </w: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1,539</w:t>
            </w: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1,764</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80" w:type="dxa"/>
            <w:vAlign w:val="bottom"/>
            <w:gridSpan w:val="9"/>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740" w:type="dxa"/>
            <w:vAlign w:val="bottom"/>
            <w:tcBorders>
              <w:top w:val="single" w:sz="8" w:color="auto"/>
              <w:bottom w:val="single" w:sz="8" w:color="auto"/>
            </w:tcBorders>
            <w:gridSpan w:val="2"/>
          </w:tcPr>
          <w:p>
            <w:pPr>
              <w:jc w:val="right"/>
              <w:ind w:right="360"/>
              <w:spacing w:after="0" w:line="142" w:lineRule="exact"/>
              <w:rPr>
                <w:sz w:val="20"/>
                <w:szCs w:val="20"/>
                <w:color w:val="auto"/>
              </w:rPr>
            </w:pPr>
            <w:r>
              <w:rPr>
                <w:rFonts w:ascii="Times New Roman" w:cs="Times New Roman" w:eastAsia="Times New Roman" w:hAnsi="Times New Roman"/>
                <w:sz w:val="14"/>
                <w:szCs w:val="14"/>
                <w:b w:val="1"/>
                <w:bCs w:val="1"/>
                <w:color w:val="auto"/>
                <w:w w:val="85"/>
              </w:rPr>
              <w:t>2025 </w:t>
            </w:r>
          </w:p>
        </w:tc>
        <w:tc>
          <w:tcPr>
            <w:tcW w:w="12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 </w:t>
            </w:r>
          </w:p>
        </w:tc>
        <w:tc>
          <w:tcPr>
            <w:tcW w:w="580" w:type="dxa"/>
            <w:vAlign w:val="bottom"/>
            <w:tcBorders>
              <w:top w:val="single" w:sz="8" w:color="auto"/>
              <w:bottom w:val="single" w:sz="8" w:color="auto"/>
            </w:tcBorders>
            <w:gridSpan w:val="2"/>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90"/>
              </w:rPr>
              <w:t>2024 </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top w:val="single" w:sz="8" w:color="auto"/>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center"/>
              <w:ind w:left="7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gridSpan w:val="5"/>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1,113</w:t>
            </w:r>
          </w:p>
        </w:tc>
        <w:tc>
          <w:tcPr>
            <w:tcW w:w="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1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$ 2,211</w:t>
            </w: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$ 2,428</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$ 2,509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c>
          <w:tcPr>
            <w:tcW w:w="3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(28)</w:t>
            </w: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8"/>
                <w:szCs w:val="18"/>
                <w:color w:val="auto"/>
              </w:rPr>
              <w:t>$   (71)</w:t>
            </w:r>
          </w:p>
        </w:tc>
        <w:tc>
          <w:tcPr>
            <w:tcW w:w="88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   (60)</w:t>
            </w:r>
          </w:p>
        </w:tc>
        <w:tc>
          <w:tcPr>
            <w:tcW w:w="8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   (39)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(1,040)</w:t>
            </w:r>
          </w:p>
        </w:tc>
        <w:tc>
          <w:tcPr>
            <w:tcW w:w="3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(1,059)</w:t>
            </w:r>
          </w:p>
        </w:tc>
        <w:tc>
          <w:tcPr>
            <w:tcW w:w="8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$(2,155)</w:t>
            </w:r>
          </w:p>
        </w:tc>
        <w:tc>
          <w:tcPr>
            <w:tcW w:w="8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$(2,355)</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8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61"/>
        </w:trPr>
        <w:tc>
          <w:tcPr>
            <w:tcW w:w="18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799" w:name="page800"/>
    <w:bookmarkEnd w:id="7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29013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6">
                      <a:extLst>
                        <a:ext uri="{28A0092B-C50C-407E-A947-70E740481C1C}"/>
                      </a:extLst>
                    </a:blip>
                    <a:srcRect/>
                    <a:stretch>
                      <a:fillRect/>
                    </a:stretch>
                  </pic:blipFill>
                  <pic:spPr bwMode="auto">
                    <a:xfrm>
                      <a:off x="0" y="0"/>
                      <a:ext cx="6998970" cy="290131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tbl>
      <w:tblPr>
        <w:tblLayout w:type="fixed"/>
        <w:tblInd w:w="300" w:type="dxa"/>
        <w:tblCellMar>
          <w:top w:w="0" w:type="dxa"/>
          <w:left w:w="0" w:type="dxa"/>
          <w:bottom w:w="0" w:type="dxa"/>
          <w:right w:w="0" w:type="dxa"/>
        </w:tblCellMar>
      </w:tblPr>
      <w:tr>
        <w:trPr>
          <w:trHeight w:val="173"/>
        </w:trPr>
        <w:tc>
          <w:tcPr>
            <w:tcW w:w="4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As of June 30,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gridSpan w:val="3"/>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78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11,610</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13,099</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20"/>
                <w:szCs w:val="20"/>
                <w:color w:val="auto"/>
              </w:rPr>
            </w:pPr>
          </w:p>
        </w:tc>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1,033</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Borders>
              <w:top w:val="single" w:sz="8" w:color="auto"/>
              <w:bottom w:val="single" w:sz="8" w:color="auto"/>
            </w:tcBorders>
          </w:tcPr>
          <w:p>
            <w:pPr>
              <w:spacing w:after="0"/>
              <w:rPr>
                <w:sz w:val="20"/>
                <w:szCs w:val="20"/>
                <w:color w:val="auto"/>
              </w:rPr>
            </w:pPr>
          </w:p>
        </w:tc>
        <w:tc>
          <w:tcPr>
            <w:tcW w:w="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1,422</w:t>
            </w: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20" w:type="dxa"/>
            <w:vAlign w:val="bottom"/>
          </w:tcPr>
          <w:p>
            <w:pPr>
              <w:spacing w:after="0"/>
              <w:rPr>
                <w:sz w:val="18"/>
                <w:szCs w:val="18"/>
                <w:color w:val="auto"/>
              </w:rPr>
            </w:pPr>
          </w:p>
        </w:tc>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gridSpan w:val="3"/>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b w:val="1"/>
                <w:bCs w:val="1"/>
                <w:color w:val="auto"/>
              </w:rPr>
              <w:t>10,577</w:t>
            </w:r>
          </w:p>
        </w:tc>
        <w:tc>
          <w:tcPr>
            <w:tcW w:w="1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9"/>
              </w:rPr>
              <w:t>$</w:t>
            </w:r>
            <w:r>
              <w:rPr>
                <w:rFonts w:ascii="Times New Roman" w:cs="Times New Roman" w:eastAsia="Times New Roman" w:hAnsi="Times New Roman"/>
                <w:sz w:val="18"/>
                <w:szCs w:val="18"/>
                <w:b w:val="1"/>
                <w:bCs w:val="1"/>
                <w:color w:val="auto"/>
                <w:w w:val="99"/>
              </w:rPr>
              <w:t>10,915</w:t>
            </w:r>
          </w:p>
        </w:tc>
        <w:tc>
          <w:tcPr>
            <w:tcW w:w="1060" w:type="dxa"/>
            <w:vAlign w:val="bottom"/>
            <w:tcBorders>
              <w:right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11,677</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Measure</w:t>
            </w:r>
          </w:p>
        </w:tc>
        <w:tc>
          <w:tcPr>
            <w:tcW w:w="1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500" w:type="dxa"/>
            <w:vAlign w:val="bottom"/>
            <w:gridSpan w:val="2"/>
            <w:vMerge w:val="continue"/>
          </w:tcPr>
          <w:p>
            <w:pPr>
              <w:spacing w:after="0"/>
              <w:rPr>
                <w:sz w:val="24"/>
                <w:szCs w:val="24"/>
                <w:color w:val="auto"/>
              </w:rPr>
            </w:pPr>
          </w:p>
        </w:tc>
        <w:tc>
          <w:tcPr>
            <w:tcW w:w="1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4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96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00" w:type="dxa"/>
            <w:vAlign w:val="bottom"/>
            <w:gridSpan w:val="7"/>
          </w:tcPr>
          <w:p>
            <w:pPr>
              <w:ind w:lef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64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 </w:t>
            </w:r>
          </w:p>
        </w:tc>
        <w:tc>
          <w:tcPr>
            <w:tcW w:w="580" w:type="dxa"/>
            <w:vAlign w:val="bottom"/>
            <w:tcBorders>
              <w:top w:val="single" w:sz="8" w:color="auto"/>
              <w:bottom w:val="single" w:sz="8" w:color="auto"/>
            </w:tcBorders>
            <w:gridSpan w:val="2"/>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2"/>
          </w:tcPr>
          <w:p>
            <w:pPr>
              <w:jc w:val="right"/>
              <w:ind w:right="17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6"/>
          </w:tcPr>
          <w:p>
            <w:pPr>
              <w:jc w:val="right"/>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50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6"/>
                <w:szCs w:val="26"/>
                <w:color w:val="auto"/>
                <w:vertAlign w:val="superscript"/>
              </w:rPr>
              <w:t>(1)</w:t>
            </w:r>
          </w:p>
        </w:tc>
        <w:tc>
          <w:tcPr>
            <w:tcW w:w="21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4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180" w:type="dxa"/>
            <w:vAlign w:val="bottom"/>
            <w:shd w:val="clear" w:color="auto" w:fill="CCEEFF"/>
          </w:tcPr>
          <w:p>
            <w:pPr>
              <w:spacing w:after="0"/>
              <w:rPr>
                <w:sz w:val="19"/>
                <w:szCs w:val="19"/>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1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$3,060</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720" w:right="60" w:hanging="422"/>
        <w:spacing w:after="0" w:line="281" w:lineRule="auto"/>
        <w:tabs>
          <w:tab w:leader="none" w:pos="720" w:val="left"/>
        </w:tabs>
        <w:numPr>
          <w:ilvl w:val="0"/>
          <w:numId w:val="10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a non-GAAP financial measure. See “Presentation of Financial and Other Information—Non-GAAP Financial Measures” and “Management’s Discussion and Analysis of Financial Condition and Results of Operation—Non-GAAP Financial Measures” for discussion on how we define and calculate Adjusted EBITDA, why we believe this measure is important and a reconciliation of Adjusted EBITDA to its most directly comparable financial measure calculated in accordance with GAAP, net income attributable to Versant.</w:t>
      </w:r>
    </w:p>
    <w:p>
      <w:pPr>
        <w:spacing w:after="0" w:line="28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40"/>
          </w:cols>
          <w:pgMar w:left="320" w:top="455" w:right="639" w:bottom="1440" w:gutter="0" w:footer="0" w:header="0"/>
        </w:sectPr>
      </w:pPr>
    </w:p>
    <w:bookmarkStart w:id="800" w:name="page801"/>
    <w:bookmarkEnd w:id="8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You should carefully consider each of the following risks and all of the other information contained in this information statement. Some of these risks relate principally to the Separation, while others relate principally to our business and the industry in which we operate or to the securities markets generally and ownership of our common stock. Our business, prospects, results of operations, financial condition or cash flows could be materially and adversely affected by any of these risks, and, as a result, the trading price of our Class A common stock could decline.</w:t>
      </w:r>
    </w:p>
    <w:p>
      <w:pPr>
        <w:spacing w:after="0" w:line="3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Business Risk Factors</w:t>
      </w:r>
    </w:p>
    <w:p>
      <w:pPr>
        <w:spacing w:after="0" w:line="225" w:lineRule="exact"/>
        <w:rPr>
          <w:sz w:val="20"/>
          <w:szCs w:val="20"/>
          <w:color w:val="auto"/>
        </w:rPr>
      </w:pPr>
    </w:p>
    <w:p>
      <w:pPr>
        <w:ind w:left="340"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intense competition, and if we are unable to compete effectively, our business, financial condition and results of operations could suffer.</w:t>
      </w:r>
    </w:p>
    <w:p>
      <w:pPr>
        <w:spacing w:after="0" w:line="5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businesses operate in highly competitive industries. Our networks compete with other networks to secure favorable distribution agreements with MVPDs and ultimately for viewership. We also compete with companies that license programming and related content to secure desired programming, as well as companies that sell advertising time and space, including other networks distributed by MVPDs, streaming services, social media platforms, other online and mobile offerings, radio and newspapers. For more information regarding the competition facing our businesses, see “Business—Our Industry—Competition.”</w:t>
      </w:r>
    </w:p>
    <w:p>
      <w:pPr>
        <w:spacing w:after="0" w:line="183"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compete to distribute our networks on MVPDs, including for the right to be carried on any particular “tier” of service and ultimately for viewership. Competition has intensified as MVPDs have explored alternative distribution methods and new types of MVPD bundles to satisfy evolving consumer preferences and reduce their programming costs. Although we intend to reach new audiences by expanding and extending our content offerings into new outlets, the market landscape is highly competitive and requires significant investment, and there can be no assurance that we will be able to compete effectively.</w:t>
      </w:r>
    </w:p>
    <w:p>
      <w:pPr>
        <w:spacing w:after="0" w:line="183"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Additionally, we compete against companies that license programming and related content, including other networks and digital platforms. The market for programming is very competitive. Sports programming, in particular, has become significantly more competitive and expensive in recent years. As a result, there can be no assurance that we will be able to renew our existing sports programming agreements at attractive rates, or at all. In addition, content owners may choose not to license popular content to us, and as more content owners offer their content direct-to-consumer, they may reduce the quantity and quality of the content available to us. If we are unable to enter into or renew some or all of these contracts on acceptable terms, the audience appeal of our programming and related content may suffer, which could adversely affect our business, financial condition and results of operations.</w:t>
      </w:r>
    </w:p>
    <w:p>
      <w:pPr>
        <w:spacing w:after="0" w:line="18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compete with companies that sell advertising time and space, such as other networks distributed by MVPDs, streaming services (including an increasing number of ad-supported streaming services), social media platforms, other online and mobile offerings, radio and newspapers. Our competition with digital media companies has intensified as advertisers have shifted, and may continue to shift, a larger portion of their total expenditures to digital media. The willingness of advertisers to purchase advertising from us may be adversely affected by lower audience ratings at our networks or less engagement on our digital platforms. Additionally, we face competition from other platforms with more tailored customer targeting capabilities that sell advertising at competitive prices.</w:t>
      </w:r>
    </w:p>
    <w:p>
      <w:pPr>
        <w:spacing w:after="0" w:line="187"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We also compete through our digital businesses with other similar businesses. New or existing competitors may be able to develop competing services that have greater appeal or are more competitively priced, or may be able to respond more quickly and effectively than we can to new or changing opportunities, technologies, regulations or user requirements.</w:t>
      </w:r>
    </w:p>
    <w:p>
      <w:pPr>
        <w:spacing w:after="0" w:line="176"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Competitors with significant resources, greater efficiencies of scale and fewer regulatory burdens continue to increasingly compete with our businesses. Some of these competitors could also have preferential access to</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60"/>
          </w:cols>
          <w:pgMar w:left="320" w:top="455" w:right="519" w:bottom="1440" w:gutter="0" w:footer="0" w:header="0"/>
        </w:sectPr>
      </w:pPr>
    </w:p>
    <w:bookmarkStart w:id="801" w:name="page802"/>
    <w:bookmarkEnd w:id="8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customer data or other competitive information. Further, consolidation of, or cooperation between, our competitors may intensify competition. For example, cooperation between competitors may allow them to offer a range of products and services, including aggregating certain content into a standalone offering, offering free or lower cost streaming services, potentially on an exclusive basis, or bundling streaming services with other digital platforms. There can be no assurance that we will be able to compete successfully in the future against existing or new competitors, or that competition will not have an adverse effect on our business, financial condition and results of operations.</w:t>
      </w:r>
    </w:p>
    <w:p>
      <w:pPr>
        <w:spacing w:after="0" w:line="183" w:lineRule="exact"/>
        <w:rPr>
          <w:sz w:val="20"/>
          <w:szCs w:val="20"/>
          <w:color w:val="auto"/>
        </w:rPr>
      </w:pPr>
    </w:p>
    <w:p>
      <w:pPr>
        <w:ind w:left="120" w:right="360" w:firstLine="440"/>
        <w:spacing w:after="0" w:line="261" w:lineRule="auto"/>
        <w:rPr>
          <w:sz w:val="20"/>
          <w:szCs w:val="20"/>
          <w:color w:val="auto"/>
        </w:rPr>
      </w:pPr>
      <w:r>
        <w:rPr>
          <w:rFonts w:ascii="Times New Roman" w:cs="Times New Roman" w:eastAsia="Times New Roman" w:hAnsi="Times New Roman"/>
          <w:sz w:val="18"/>
          <w:szCs w:val="18"/>
          <w:color w:val="auto"/>
        </w:rPr>
        <w:t>Our ability to compete effectively depends on our perceived image and reputation among our various constituencies, including consumers, advertisers and other business partners, employees, investors and government authorities. For example, some of these constituencies may have their own, and some have conflicting, environmental, social and governance priorities, which may present risks to our reputation and brands if these constituencies perceive misalignment.</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Changes in consumer behavior, evolving technologies and distribution platforms continue to adversely affect our business.</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Technological advances and evolving consumer preferences have changed how audiences consume video content, reducing the number of subscribers to MVPDs and, in turn, adversely affecting businesses like ours that derive distribution revenue from MVPDs.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As subscribers depart the MVPD ecosystem, MVPDs could deprioritize their cable television network consumer offerings or exit the cable television network business altogether, further reducing our distribution revenue and causing the advertising on our networks to become less attractive. Because we derive significant revenue through advertising on networks distributed by MVPDs, these changes have affected, and will continue to affect, our business and results of operations. Consumer demand for traditional U.S. cable television remains subject to many factors outside of our control and, while we expect subscribers to continue to depart the MVPD ecosystem, we cannot be certain how consumer demand will evolve in the future.</w:t>
      </w:r>
    </w:p>
    <w:p>
      <w:pPr>
        <w:spacing w:after="0" w:line="183"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As we respond to the decline in consumer demand for cable television, our future success is and will be dependent on our ability to acquire, develop, adopt and leverage new and existing technologies, and our competitors’ use of certain types of technology, including artificial intelligence (“AI”), may provide them with a competitive advantage if we are unable to keep pace. New technologies can materially impact our businesses in a number of ways, including affecting the demand for our content and services, how we distribute our content and provide our other services and increasing competition for our digital platforms, all of which may adversely affect our business. For example, advances in technology have significantly increased the number of content distribution platforms, increasing the number of entertainment choices available to consumers, intensifying audience fragmentation and disaggregating the manner in which content is distributed and consumed. These new platforms include streaming services and aggregators, social networking and user-generated content platforms, gaming and other mobile applications. Many content owners also deliver programming or related content direct-to-consumer, which has further disrupted traditional content distribution models. As consumers turn to direct-to-consumer offerings or streaming services in lieu of cable television networks, the revenue we earn from distributing our networks to MVPDs may decrease because our revenues are derived in part from the number of MVPD subscribers. Additionally, the rising popularity of many of these content distribution platforms, including the rapid proliferation of streaming services and short-form video content on social networking platforms, have changed, and may continue to change, consumers’ expectations of video content, their willingness to pay for such content, their perception of quality entertainment and their tolerance for commercial interruptions. Such changes have reduced traditional U.S. cable television viewership and contributed to audience ratings declines for our networks.</w:t>
      </w:r>
    </w:p>
    <w:p>
      <w:pPr>
        <w:spacing w:after="0" w:line="196"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If we are unable to anticipate or effectively respond to changes in technology, consumer behavior or distribution models, or if we are unable to execute effectively on our strategic and technology initiatives, our businesses and results of operations could be adversely affected.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802" w:name="page803"/>
    <w:bookmarkEnd w:id="8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programming distribution agreements, or the renewal of these agreements on less favorable terms, could adversely affect our businesses.</w:t>
      </w:r>
    </w:p>
    <w:p>
      <w:pPr>
        <w:spacing w:after="0" w:line="5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networks depend on our ability to secure and maintain favorable distribution agreements with MVPDs. The number of subscribers to our networks has decreased over time, and may continue to decrease, as a result of overall reduced viewing of cable television. If our networks do not attract sufficient viewers, both new and existing MVPDs may be reluctant to distribute our networks or may decide to distribute our networks with significantly less favorable terms.</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MVPDs also may elect not to enter into agreements to distribute some or all of our networks as a result of changing market dynamics and industry consolidation. For example, MVPDs may seek to offer smaller packages of channels as part of their MVPD bundles, which may increase both competition for carriage on distribution platforms and marketing expenses and could adversely affect our business, financial condition and results of operations.</w:t>
      </w:r>
    </w:p>
    <w:p>
      <w:pPr>
        <w:spacing w:after="0" w:line="180"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As a result of the Separation, our negotiating position with MVPDs may be weakened without the ability to sell our programming along with NBCU’s broadcast television networks and Peacock. There can be no assurance that any of our programming distribution agreements will be entered into or renewed in the future on similar terms. Our inability to enter into or renew some or all of our distribution agreements on favorable terms could reduce our revenue and the reach of our programming, which could adversely affect our business, financial condition and results of operations.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decline in advertisers’ expenditures or changes in advertising markets could negatively impact our business.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derive significant revenue from selling advertising, and declines in expenditures by advertisers have in the past negatively impacted, and may in the future, negatively impact our business, financial condition and results of operations. We have experienced, and expect to continue to experience, declines in advertising revenue caused by the economic prospects of specific advertisers or industries, increased competition for the leisure time of viewers, increased audience fragmentation, increased viewing of content through streaming services or other digital platforms and increased use of time-shifting and advertising-blocking technologies, regulatory intervention regarding where, what and when advertising may be placed, regulatory changes regarding the content of certain advertising and economic conditions generally. Additionally, expenditures by advertisers can be cyclical. For example, major sports events and election cycles may cause our advertising revenue to vary substantially from period to period. Political advertising expenditures are impacted by the ability and willingness of candidates and political action campaigns to spend funds on advertising and the competitive nature of the elections in markets featuring our programming. A decline in the economic prospects of advertisers or the economy in general could also alter current or prospective advertisers’ spending priorities. The threat of regulatory action or increased scrutiny that deters certain advertisers from advertising or reaching their intended audiences could also adversely affect advertising revenue. In addition, shifting consumer preferences towards other content distribution platforms has changed the landscape of traditional U.S. cable television advertising spending, prompting advertisers to modify their strategies, and ultimately advertising spend, and this trend may continue or accelerate.</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Demand for advertising is also a factor in determining advertising rates. Lower audience ratings and reduced viewership, which our networks have experienced, and likely will continue to experience, affect advertisers’ willingness to purchase advertising from us. Advertising sales also depend on the methodology used for audience measurement and could be negatively affected if methodologies do not accurately reflect actual viewership or engagement levels. Reduced use of our online businesses and mobile applications may also adversely impact our advertising revenue.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803" w:name="page804"/>
    <w:bookmarkEnd w:id="8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Damage to our brands or our reputation could have a material adverse effect on our business, financial condition or results of operations.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Our brands are among our most valuable assets. We believe that our brand image, awareness and reputation strengthen our relationship with our audiences and contribute significantly to the success of our business. Maintaining, enhancing and extending our brands, as well as our rebranding efforts, may require us to make significant investments in marketing, content or new products, services or events, and these investments may not be successful. Moreover, we may introduce new content that is not popular with our consumers and advertisers, which may negatively affect our brands. To the extent our news, sports and entertainment content is not compelling to consumers, our ability to maintain a positive reputation may be adversely impacted. Our brands, credibility and reputation have been impacted from time to time, and could be damaged in the future, by incidents that erode consumer, advertiser or business partner trust or a perception that our offerings, including our journalism, programming and related content, are low quality, unreliable or fail to attract and retain audiences. The manipulation of content by bad actors, including the creation of “deep fakes” (videos created with AI to realistically impersonate persons such as journalists or political candidates), could erode audience trust by making it difficult to determine what content is real. Additionally, litigation, governmental scrutiny and fines and significant negative claims or publicity regarding us or our operations, content, products, management, employees, practices, advertisers, business partners and culture, including individuals associated with content we create or license, impact our reputation and may damage our reputation and brands, even if meritless or untrue.</w:t>
      </w:r>
    </w:p>
    <w:p>
      <w:pPr>
        <w:spacing w:after="0" w:line="190"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Additionally, geopolitical tensions, including as a result of geopolitical conflicts, political developments and social unease, could negatively impact the reputation of our brands. Furthermore, to the extent our marketing, cybersecurity, customer service and public relations efforts are not effective or result in negative consumer reaction, our ability to maintain a positive reputation may likewise be adversely impacted. If we are not successful in maintaining, rebranding or enhancing the image or awareness of our brands, or if our reputation is harmed for any reason, it could have a material adverse effect on our business, financial condition or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Our network rebrands may result in customer confusion and disruption, leading to lower ratings and monetization.</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in August 2025 we announced that we are rebranding MSNBC as My Source News Opinion World (MS NOW), effective towards the end of 2025, and Versant’s sports programming will come together under the new brand USA Sports. We will also remove the Peacock logo from our other networks, platforms and products in connection with the Separation. In addition, we will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Any new names, brands and logos may not benefit from the same recognition and association with quality as their predecessor names, brands and logos, which may affect our ability to attract and maintain viewers who may not recognize these new names, brands and logos. As a result, we may not be successful at maintaining viewership levels as we transition to new names, brands and logos. Any loss of viewers due to such repositioning may impact the attractiveness of our networks and digital platforms to distributors and advertisers, which could in turn reduce our linear distribution revenue and our advertising revenue. We may also incur additional costs related to marketing efforts with respect to any new names, brands and logos. Moreover, new names, brands and logos may be subject to challenge by third parties under intellectual property laws. See “—Our businesses depend on using and protecting certain intellectual property rights and on not infringing, misappropriating or otherwise violating the intellectual property rights of others.” As a result, any such brand repositioning could adversely affect our business, financial condition and results of operations, and, if unsuccessful or challenged, could require further repositioning.</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804" w:name="page805"/>
    <w:bookmarkEnd w:id="8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the continued appeal of the content we distribute. The preferences of our viewers and distributors are difficult to forecast and subject to change.</w:t>
      </w:r>
    </w:p>
    <w:p>
      <w:pPr>
        <w:spacing w:after="0" w:line="5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The success of our business depends on viewer preferences and audience acceptance of the content we distribute. The factors that drive viewer engagement are often unpredictable and volatile and subject to influences that are beyond our control, such as changing consumer tastes, the quality, accessibility and appeal of competing programming, general economic conditions and competition from other entertainment activities. We may not be able to anticipate and react effectively to shifts in viewer preferences in our markets. Changes in viewer preferences and demographics have caused, and may continue to cause, the audiences for certain of our programming and related content to decline. To the extent that MVPDs and other digital platforms package channels by genre or increase customer choice as to which networks are included in their subscription packages, ratings for our networks may decline and our business, financial condition and results of operations may be adversely affected.</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 failure to anticipate or respond to viewer preferences could be especially detrimental to our business, particularly for certain portions of our business that depend on a relatively small number of programs and sporting events. For example, the success of our sports programming depends on the popularity and success of the sports franchises, leagues and teams for which we have acquired programming rights. Any decline in popularity of a sports league or failure to generate fan enthusiasm may adversely impact viewership, advertising sales and distribution fees received from MVPDs when our existing carriage deals expire. If the content we distribute does not gain the level of audience acceptance we expect, or if we are unable to maintain the popularity of such content, our bargaining position may be adversely impacted when seeking to renew our distribution agreements with MVPDs, and we may experience a decrease in the number of subscribers for our networks, causing our advertising revenue to suffer.</w:t>
      </w:r>
    </w:p>
    <w:p>
      <w:pPr>
        <w:spacing w:after="0" w:line="189"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The commercial success of the content we distribute also depends upon the quality and acceptance of competing content available in the marketplace. Other factors, including the availability of alternative forms of entertainment and leisure time activities, piracy and our ability to develop strong brand awareness may also affect the audience demand for our content. Consequently, reduced public acceptance of our news, sports and entertainment content or negative publicity regarding individuals or operations associated with our content or brands may decrease our audience share and viewer reach and adversely affect our business, financial condition and results of operations.</w:t>
      </w:r>
    </w:p>
    <w:p>
      <w:pPr>
        <w:spacing w:after="0" w:line="287" w:lineRule="exact"/>
        <w:rPr>
          <w:sz w:val="20"/>
          <w:szCs w:val="20"/>
          <w:color w:val="auto"/>
        </w:rPr>
      </w:pPr>
    </w:p>
    <w:p>
      <w:pPr>
        <w:ind w:left="340"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growth of our digital platforms depends on our ability to attract new customers, retain existing customers and continue to grow the revenue we derive from these businesses.</w:t>
      </w:r>
    </w:p>
    <w:p>
      <w:pPr>
        <w:spacing w:after="0" w:line="5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Our digital platforms generate revenue from providing services directly to consumers, selling cloud-based technology and related services and selling advertisements.</w:t>
      </w:r>
    </w:p>
    <w:p>
      <w:pPr>
        <w:spacing w:after="0" w:line="162"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may fail to attract new customers, retain our existing customers or increase sales to both new and existing customers due to a number of factors, including:</w:t>
      </w:r>
    </w:p>
    <w:p>
      <w:pPr>
        <w:spacing w:after="0" w:line="67" w:lineRule="exact"/>
        <w:rPr>
          <w:sz w:val="20"/>
          <w:szCs w:val="20"/>
          <w:color w:val="auto"/>
        </w:rPr>
      </w:pPr>
    </w:p>
    <w:p>
      <w:pPr>
        <w:ind w:left="1080" w:hanging="424"/>
        <w:spacing w:after="0"/>
        <w:tabs>
          <w:tab w:leader="none" w:pos="10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our current or potential customers’ spending levels, including due to a deteriorating macroeconomic environment;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our customers’ level of satisfaction with our websites and mobile applications or our pricing;</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relationships with third parties, including app developers, payments processors and other partners;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recognition;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concerns relating to actual or perceived privacy or security breaches.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55" w:right="459" w:bottom="1440" w:gutter="0" w:footer="0" w:header="0"/>
        </w:sectPr>
      </w:pPr>
    </w:p>
    <w:bookmarkStart w:id="805" w:name="page806"/>
    <w:bookmarkEnd w:id="8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businesses depend on using and protecting certain intellectual property rights and on not infringing, misappropriating or otherwise violating the intellectual property rights of others.</w:t>
      </w:r>
    </w:p>
    <w:p>
      <w:pPr>
        <w:spacing w:after="0" w:line="5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We rely on our intellectual property, such as patents, copyrights, trademarks and trade secrets, as well as licenses and other agreements with our vendors and other third parties, to use various technologies, conduct our business operations and sell our products and services. Legal challenges to our intellectual property rights and claims of intellectual property infringement, misappropriation or other violation by third parties could require that we enter into royalty or licensing agreements on unfavorable terms, rebrand our platforms, products or services, incur substantial monetary liability, or be enjoined preliminarily or permanently from further use of the intellectual property in question or from the continuation of our business as currently conducted. We may need to change our business practices if any of these events occur, which may limit our ability to compete effectively and could have an adverse effect on our business, financial condition and results of operations. Even if we believe any such challenges or claims are without merit, they can be time-consuming, costly to defend and may divert management’s attention and resources away from our businesses. Moreover, if we are unable to obtain, or continue to obtain, licenses from our vendors and other third parties on reasonable terms, or at all, our business, financial condition and results of operations could be adversely affected.</w:t>
      </w:r>
    </w:p>
    <w:p>
      <w:pPr>
        <w:spacing w:after="0" w:line="194"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In addition, intellectual property constitutes a significant part of the value of our businesses, and our success is highly dependent on protecting the intellectual property rights of our brands and the content we create or acquire against third-party misappropriation, reproduction or infringement. The unauthorized reproduction, distribution or display of copyrighted material negatively affects our ability to generate revenue from the legitimate sale of our content, as well as from the sale of advertising in connection with our content and increases our costs due to our active enforcement of our intellectual property rights. Similarly, any infringement or dilution of our names, brands and logos may negatively affect their value and our ability to build equity in, and generate revenue from, such names, brands and logos. New names, brands and logos in particular may provide less protection than names, brands and logos with a more established track record of use in commerce.</w:t>
      </w:r>
    </w:p>
    <w:p>
      <w:pPr>
        <w:spacing w:after="0" w:line="18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legal landscape for new technologies, including AI, remains uncertain, and legal developments could impact our ability to protect against unauthorized third-party use, misappropriation, reproduction or infringement or impact our ability to deploy new technologies. Our use or adoption of new and emerging technologies may also increase our exposure to intellectual property claims.</w:t>
      </w:r>
    </w:p>
    <w:p>
      <w:pPr>
        <w:spacing w:after="0" w:line="176"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Piracy and other unauthorized uses of content are made easier, and the enforcement of intellectual property rights more challenging, by technological advances that allow the conversion of programming, films and other content into digital formats, which facilitates the creation, transmission and sharing of high-quality unauthorized copies. In particular, piracy of programming and related content through unauthorized digital platforms continues to present challenges for our businesses. For example, certain entities may stream our content illegally online without our consent and without paying us any compensation, and sporting events on our networks may be illegally transmitted. While piracy is a challenge in the United States, it is particularly prevalent in many parts of the world that lack developed copyright laws, effective enforcement of copyright laws and technical protective measures like those in effect in the United States. If any U.S. or international laws intended to combat piracy and protect intellectual property rights are repealed or weakened or are not adequately enforced, or if the legal system fails to adapt to new technologies that facilitate piracy, we may be unable to effectively protect our rights, the value of our intellectual property may be negatively impacted and our costs of enforcing our rights may increase.</w:t>
      </w:r>
    </w:p>
    <w:p>
      <w:pPr>
        <w:spacing w:after="0" w:line="298" w:lineRule="exact"/>
        <w:rPr>
          <w:sz w:val="20"/>
          <w:szCs w:val="20"/>
          <w:color w:val="auto"/>
        </w:rPr>
      </w:pPr>
    </w:p>
    <w:p>
      <w:pPr>
        <w:ind w:left="340"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 cyber attack, information or security breach, or technology disruption or failure, may negatively impact our ability to conduct our business or result in the misuse of confidential information, all of which could adversely affect our reputation and our business, financial condition and results of operations.</w:t>
      </w:r>
    </w:p>
    <w:p>
      <w:pPr>
        <w:spacing w:after="0" w:line="6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Network and information systems and other technologies, including those that are related to programming delivery, network management and digital platforms, and are otherwise embedded in our products and services, are critical to our business activities. In the ordinary course of our business, there are constant attempts by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806" w:name="page807"/>
    <w:bookmarkEnd w:id="8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unauthorized parties to cause systems-related events and security incidents and to identify and exploit vulnerabilities in security architecture and system design. These incidents include computer hacking, cyber attacks, computer viruses, worms or other destructive or disruptive software, denial of service attacks, phishing attacks, malware, ransomware, malicious social engineering, theft, misconduct, fraud and other malicious activities. Incidents can be caused inadvertently by us or our third-party vendors due to factors such as process breakdowns, human error, software or hardware failures or vulnerabilities in security architecture or system design.</w:t>
      </w:r>
    </w:p>
    <w:p>
      <w:pPr>
        <w:spacing w:after="0" w:line="183" w:lineRule="exact"/>
        <w:rPr>
          <w:sz w:val="20"/>
          <w:szCs w:val="20"/>
          <w:color w:val="auto"/>
        </w:rPr>
      </w:pPr>
    </w:p>
    <w:p>
      <w:pPr>
        <w:ind w:left="120" w:firstLine="440"/>
        <w:spacing w:after="0" w:line="252" w:lineRule="auto"/>
        <w:rPr>
          <w:sz w:val="20"/>
          <w:szCs w:val="20"/>
          <w:color w:val="auto"/>
        </w:rPr>
      </w:pPr>
      <w:r>
        <w:rPr>
          <w:rFonts w:ascii="Times New Roman" w:cs="Times New Roman" w:eastAsia="Times New Roman" w:hAnsi="Times New Roman"/>
          <w:sz w:val="18"/>
          <w:szCs w:val="18"/>
          <w:color w:val="auto"/>
        </w:rPr>
        <w:t>Cyber threats and attacks are constantly evolving and are growing in sophistication and frequency, which increases the difficulty of detecting and successfully defending against them. For example, we expect threat actors will continue to gain sophistication by using tools and techniques, such as AI, that are specifically designed to circumvent security controls. Some cyber attacks have had, and in the future can have, cascading impacts that unfold with increasing speed across networks, information systems and other technologies across the world and create latent vulnerabilities in our and third-party vendors’ systems and other technologies. We also obtain certain confidential, proprietary and personal information about our customers, personnel and vendors, that in many cases is provided or made available to third-party vendors who agree to protect it, which has in the past, and may in the future, become compromised through a cyber attack or data breach, misappropriation, misuse, leakage, falsification or accidental release or loss of information by us or a third party. Due to the nature of our businesses, we may be at a disproportionately heightened risk of these types of incidents occurring because we maintain certain information necessary to conduct our business in digital form and operate our digital businesses. We also incorporate third-party software (including extensive open-source software), applications and data hosting and cloud-based services into many aspects of our products, services and operations, as well as rely on service providers to help us perform our business operations, all of which expose us to cyber attacks with respect to such third-party suppliers and service providers and their products and services. Due to applicable laws, regulations and contractual obligations, we may be held responsible for cybersecurity breaches or incidents experienced by such third parties in relation to the information we share with them. Due to complexity and interconnectedness of our systems and those of our third-party vendors, the process of enhancing our protective measures can itself create a risk of systems disruptions and security issues.</w:t>
      </w:r>
    </w:p>
    <w:p>
      <w:pPr>
        <w:spacing w:after="0" w:line="19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While we develop and maintain systems and operate programs that seek to prevent security incidents from occurring, these efforts are costly and must be constantly monitored and updated in the face of sophisticated and rapidly evolving attempts to overcome our security measures and protections. The occurrence of both intentional and unintentional incidents has caused, and may from time to time in the future cause, a variety of business impacts. These include degradation or disruption of our products and services, theft or misuse of our intellectual property or other assets, disruption of the security of our internal systems, products, services or satellite transmission signals, power outages, the compromise or exfiltration of sensitive, personal, proprietary, confidential or technical business information and customer or vendor data and reputational impacts. In addition, despite efforts to detect unlawful intrusions, attacks can persist for an extended period of time before being detected, and following detection, it may take considerable time to understand the nature, scope, impact and timing of the incident. Moreover, the amount and scope of insurance we maintain against losses resulting from any of the foregoing events likely would not be sufficient to fully cover our losses or otherwise adequately compensate us for disruptions to our business that may result. Repercussions of these incidents have in the past included and may in the future include legal proceedings or significant regulatory fines, oversight and other remedial measures, including with respect to relevant consumer privacy rules, or otherwise have an adverse effect on our company. Despite our efforts, we expect that we will continue to experience such incidents in the future, and there can be no assurance that any such incident will not have an adverse effect on our reputation or our business, financial condition and results of operations.</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complex and evolving laws and regulations related to privacy and data protection.</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807" w:name="page808"/>
    <w:bookmarkEnd w:id="8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of 1934 (the “Communications Act”) or the Video Privacy Protection Act, restrict companies’ collection, use, disclosure and retention of personal information, and the laws at the state level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 For more regarding the privacy and data protection regulation of our business, see “Business— Regulation.”</w:t>
      </w:r>
    </w:p>
    <w:p>
      <w:pPr>
        <w:spacing w:after="0" w:line="18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number and complexity of these laws and regulations continues to increase. New privacy and data protection laws and regulations continue to be introduced and interpretations of existing privacy and data protection laws and regulations, some of which may be inconsistent with one another, continue to evolve. As a result, significant uncertainty exists as to the application and scope of these laws and regulations. Compliance with these laws and regulations is costly, and such costs may increase as new laws or regulations are introduced. In addition, we may become subject to legal claims or regulatory actions, which could have an adverse effect on our reputation or our business, financial condition and results of operations.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Weak economic conditions may have a negative impact on our businesses.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A substantial portion of our revenue comes from customers whose spending patterns may be affected by prevailing economic conditions. Downturns in global economic conditions have in the past, and may in the future, negatively affect the spending patterns of our current and potential customers, particularly advertisers whose expenditures are sensitive to general economic conditions, vendors and others with whom we do business and their ability to satisfy their obligations to us. Uncertain economic conditions, including as a result of geopolitical dynamics, changes in trade policies and foreign exchange rates, could adversely affect demand for any of our products or services and have a negative impact on our results of operations. In addition, inflationary conditions or a general increase in price levels may increase our costs of licensing and acquiring programming and related content, as well as increase our other costs of doing business, which could negatively affect our profitability. This risk may be increased by the expanded availability of free or lower cost competitive services on other content distribution platforms which could lead to pressure on our advertising revenue by reducing the number of viewers of our content.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from time to time record impairment charges for goodwill and intangible assets.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have a significant amount of goodwill and intangible assets on our combined balance sheets. In accordance with GAAP, management periodically assesses these assets for impairment (see Note 7 to the audited combined financial statements included elsewhere in this information statement). The occurrence of certain events and circumstances has resulted in, and these or other new developments could result in, a downward revision in the estimated fair value of our business and intangible assets. For example, continued negative industry or economic trends, including the decline of traditional U.S. cable television viewership and related advertising revenues, changes in advertising markets and other disruptions to our business, could negatively affect our estimates of the fair value of our intangible assets. We also continually evaluate whether current factors or indicators, such as prevailing economic conditions, require the performance of an interim impairment assessment. Future changes in events or circumstances, such as downturns in global economic conditions, continued decline in consumer demand for cable television and the occurrence of other events and circumstances described elsewhere in this information statement, could result in decreases in the fair value of our business and intangible assets and require us to record impairment losses that could materially adversely affect our results of operations in the periods recognized.</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55" w:right="459" w:bottom="1440" w:gutter="0" w:footer="0" w:header="0"/>
        </w:sectPr>
      </w:pPr>
    </w:p>
    <w:bookmarkStart w:id="808" w:name="page809"/>
    <w:bookmarkEnd w:id="8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loss of key management personnel or popular on-air and creative talent could have an adverse effect on our businesses.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rely on certain key management personnel in the operation of our businesses and the loss of one or more of our key management personnel could have a negative impact on our businesses.</w:t>
      </w:r>
    </w:p>
    <w:p>
      <w:pPr>
        <w:spacing w:after="0" w:line="16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addition, we depend on the abilities and expertise of on-air and creative talent. If we fail to attract or retain on-air or creative talent, if the costs to attract or retain such talent increase materially, or if these individuals cause negative publicity or lose their current appeal, our businesses could be adversely affected. In addition, many of our talent may have loyal audiences. These individuals are important to audience endorsement of our programs and other content. There can be no assurance that these individuals will remain with us or retain their current audiences.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Labor disputes, whether involving employees or sports organizations, may disrupt our operations and adversely affect our businesses.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We and some of our suppliers and business partners currently retain, and may in the future retain, the services of writers, directors, on-air talent or other performers, technicians, trade employees and others involved in the development and production of our content who are covered by collective bargaining agreements. If negotiations to renew expiring collective bargaining agreements are not successful or become unproductive, the affected unions could take, and have taken, actions such as strikes, work slowdowns or work stoppages. Strikes, work slowdowns, work stoppages, or the possibility of such actions, could result in delays in the production of, or the release of, the content aired by our networks and may in turn affect our ability to acquire content at a reasonable price or at all. If we or the producers of the content we air on our networks are unable to reach agreement with a labor union before the expiration of a collective bargaining agreement, the employees who were covered by that agreement, including our on-air talent, may decide to exercise their right to strike or take other actions that could adversely affect us, which could disrupt our operations and reduce our revenue, and the resolution of any disputes may increase our costs. In addition, labor disputes in sports organizations with which we have programming rights agreements could have an adverse effect on our businesses.</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are subject to regulation by federal, state and local authorities, which impose additional costs and restrictions on our businesses.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businesses are subject to various federal, state and local laws and regulations. For example, the Communications Act and the Federal Communications Commission (“FCC”) regulations affect certain aspects of our business. Furthermore, laws and regulations that hinder or stimulate the growth of linear or digital video programming distribution could also affect our business. Our digital platforms are also subject to a variety of laws and regulations, including those relating to issues such as content regulation, privacy and data protection and consumer protection.</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Legislators and regulators at all levels of government frequently consider changing, and sometimes do change, existing statutes, rules or regulations, or interpretations of existing statutes, rules or regulations, or prescribe new ones, any of which may significantly affect our businesses and ability to effectively compete. Applying existing laws in novel ways to new technologies, including AI, may also affect our business.</w:t>
      </w:r>
    </w:p>
    <w:p>
      <w:pPr>
        <w:spacing w:after="0" w:line="176"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Any future legislative, judicial, regulatory or administrative actions may increase our costs or impose additional restrictions on our businesses, some of which may be significant. We are unable to predict the outcome or effects of any of these potential actions or any other legislative or regulatory proposals on our businesses.</w:t>
      </w:r>
    </w:p>
    <w:p>
      <w:pPr>
        <w:spacing w:after="0" w:line="176"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Failure to comply with the laws and regulations applicable to our businesses could result in administrative enforcement actions, fines and civil and criminal liability, and have a negative impact on our business, results of operations and financial condition. For more regarding the regulation of our business, see “Business—Regulation.”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40"/>
          </w:cols>
          <w:pgMar w:left="320" w:top="455" w:right="439" w:bottom="1440" w:gutter="0" w:footer="0" w:header="0"/>
        </w:sectPr>
      </w:pPr>
    </w:p>
    <w:bookmarkStart w:id="809" w:name="page810"/>
    <w:bookmarkEnd w:id="8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i w:val="1"/>
          <w:iCs w:val="1"/>
          <w:color w:val="auto"/>
        </w:rPr>
        <w:t>Unfavorable litigation or governmental investigation results could require us to pay significant amounts or lead to onerous operating procedures.</w:t>
      </w:r>
    </w:p>
    <w:p>
      <w:pPr>
        <w:spacing w:after="0" w:line="133" w:lineRule="exact"/>
        <w:rPr>
          <w:sz w:val="20"/>
          <w:szCs w:val="20"/>
          <w:color w:val="auto"/>
        </w:rPr>
      </w:pPr>
    </w:p>
    <w:p>
      <w:pPr>
        <w:ind w:left="120" w:right="120" w:firstLine="440"/>
        <w:spacing w:after="0" w:line="253" w:lineRule="auto"/>
        <w:rPr>
          <w:sz w:val="20"/>
          <w:szCs w:val="20"/>
          <w:color w:val="auto"/>
        </w:rPr>
      </w:pPr>
      <w:r>
        <w:rPr>
          <w:rFonts w:ascii="Times New Roman" w:cs="Times New Roman" w:eastAsia="Times New Roman" w:hAnsi="Times New Roman"/>
          <w:sz w:val="18"/>
          <w:szCs w:val="18"/>
          <w:color w:val="auto"/>
        </w:rPr>
        <w:t>We are subject from time to time to a number of lawsuits, including claims relating to intellectual property rights (including copyrights, trademarks and patents), employment and labor matters, personal injury and property damage, negligence, customer privacy, regulatory requirements, advertising, marketing and selling practices and competition. In addition, in the ordinary course of business, we have in the past, and may in the future, face a wide variety of claims relating to defamation, disparagement, libel, free speech, the nature and substance of our content or statements made by personnel or talent. We also expend substantial resources complying with various regulatory and government standards, including any related investigations and litigation. Greater constraints on the use of arbitration to resolve certain of these disputes also could adversely affect our business. Adverse outcomes in any lawsuits or investigations could result in significant monetary damages or injunctive relief that could adversely affect our business, results of operations or financial condition. In addition, regardless of the ultimate merit or outcome of such lawsuits, investigations or claims, these proceedings may have an adverse impact on our business as a result of legal costs, diversion of the attention of management and other personnel, harm to our reputation and other factors.</w:t>
      </w:r>
    </w:p>
    <w:p>
      <w:pPr>
        <w:spacing w:after="0" w:line="298"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inability to successfully make investments in, or acquire and integrate, other businesses, assets, products or technologies could harm our business, financial condition or operating results.</w:t>
      </w:r>
    </w:p>
    <w:p>
      <w:pPr>
        <w:spacing w:after="0" w:line="5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Our success may depend on opportunities to buy other businesses or technologies that could complement, enhance or expand our current business or products or that might otherwise offer us growth opportunities. We may pursue strategic transactions from time to time, including, but not limited to, acquisitions, joint ventures, partnerships and strategic investments. Such transactions may result in dilutive issuances of our equity securities, use of our cash resources and incurrence of debt and amortization expenses related to intangible assets. Any strategic transaction that we are able to identify and complete may be accompanied by a number of risks, including:</w:t>
      </w:r>
    </w:p>
    <w:p>
      <w:pPr>
        <w:spacing w:after="0" w:line="89" w:lineRule="exact"/>
        <w:rPr>
          <w:sz w:val="20"/>
          <w:szCs w:val="20"/>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assimilating the operations and personnel of acquired companies into our operations;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disruption of our ongoing business and distraction of management;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additional operating losses and operating expenses of the businesses we acquired or in which we invested;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acquired technology and rights into our services and unanticipated expenses related to such integration;</w:t>
      </w:r>
    </w:p>
    <w:p>
      <w:pPr>
        <w:spacing w:after="0" w:line="130" w:lineRule="exact"/>
        <w:rPr>
          <w:rFonts w:ascii="Times New Roman" w:cs="Times New Roman" w:eastAsia="Times New Roman" w:hAnsi="Times New Roman"/>
          <w:sz w:val="18"/>
          <w:szCs w:val="18"/>
          <w:color w:val="auto"/>
        </w:rPr>
      </w:pPr>
    </w:p>
    <w:p>
      <w:pPr>
        <w:ind w:left="1080" w:right="740" w:hanging="424"/>
        <w:spacing w:after="0" w:line="282" w:lineRule="auto"/>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further develop an acquired business or technology and any resulting impairment of amounts currently capitalized as intangible assets;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strategic investments to perform as expected or to meet financial projections;</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patent and trademark infringement and data privacy and security claims against the acquired companies, or companies in which we have invested;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in connection with acquisitions, acquired companies, or companies in which we have invested;</w:t>
      </w:r>
    </w:p>
    <w:p>
      <w:pPr>
        <w:spacing w:after="0" w:line="130"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or loss of relationships with customers and partners of the companies we acquired or in which we invested or with our customers and partners as a result of the integration of acquired operations;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impairment of relationships with, or failure to retain, employees of acquired companies or our existing employees as a result of integration of new personnel;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integrating operations, systems and controls as a result of cultural, regulatory, systems and operational differences;</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810" w:name="page811"/>
    <w:bookmarkEnd w:id="8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0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management of companies in which we invest but do not control;</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0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and investments, the impact of particular economic, tax, currency, political, legal and regulatory risks associated with specific countries;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0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known potential liabilities or liabilities that may be unknown, including as a result of inadequate internal controls, associated with the companies we acquired or in which we invested.</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failure to be successful in addressing these risks or other problems encountered in connection with our past or future acquisitions and strategic investments could cause us to fail to realize the anticipated benefits of such acquisitions or investments, incur unanticipated liabilities and harm our business, financial condition and results of operations.</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Spin-Related Risk Factors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may not realize the anticipated benefits from the Separation, and the Separation could harm our business.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We may not be able to achieve the full strategic and financial benefits expected to result from the Separation, or such benefits may be delayed or not occur at all. The Separation is expected to provide both companies with potential opportunities and benefits, such as clear strategic direction, resource and capital allocation, enhanced operating focus, management and employee incentives and investor choice and value creation. We may not achieve these and other anticipated benefits for a variety of reasons, including, among others:</w:t>
      </w:r>
    </w:p>
    <w:p>
      <w:pPr>
        <w:spacing w:after="0" w:line="85" w:lineRule="exact"/>
        <w:rPr>
          <w:sz w:val="20"/>
          <w:szCs w:val="20"/>
          <w:color w:val="auto"/>
        </w:rPr>
      </w:pPr>
    </w:p>
    <w:p>
      <w:pPr>
        <w:ind w:left="1080" w:right="40" w:hanging="424"/>
        <w:spacing w:after="0" w:line="282" w:lineRule="auto"/>
        <w:tabs>
          <w:tab w:leader="none" w:pos="1080" w:val="left"/>
        </w:tabs>
        <w:numPr>
          <w:ilvl w:val="0"/>
          <w:numId w:val="10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 will require significant amounts of management’s time and effort, which may divert management’s attention from operating and growing our business;</w:t>
      </w:r>
    </w:p>
    <w:p>
      <w:pPr>
        <w:spacing w:after="0" w:line="67"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0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we may be more susceptible to economic downturns and other adverse events than if we were still a part of Comcast;</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0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Separation, our business will be less diversified than Comcast’s business prior to the Separation and will also experience a loss of scale and access to certain financial, managerial and professional resources from which we have benefited in the past;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actions required to separate the respective businesses could disrupt our operations.</w:t>
      </w:r>
    </w:p>
    <w:p>
      <w:pPr>
        <w:spacing w:after="0" w:line="225"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If we fail to achieve some or all of the benefits expected to result from the Separation, or if such benefits are delayed, our business could be harmed.</w:t>
      </w:r>
    </w:p>
    <w:p>
      <w:pPr>
        <w:spacing w:after="0" w:line="266" w:lineRule="exact"/>
        <w:rPr>
          <w:sz w:val="20"/>
          <w:szCs w:val="20"/>
          <w:color w:val="auto"/>
        </w:rPr>
      </w:pPr>
    </w:p>
    <w:p>
      <w:pPr>
        <w:ind w:left="340" w:right="3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history of operating as an independent company, and our combined financial statements and unaudited pro forma combined financial statements are not necessarily representative of the results that we would have achieved as an independent, publicly traded company and may not be a reliable indicator of our future results.</w:t>
      </w:r>
    </w:p>
    <w:p>
      <w:pPr>
        <w:spacing w:after="0" w:line="6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combined financial statements and unaudited pro forma combined financial statements included in this information statement have been derived from Comcast’s consolidated financial statements and accounting records and are not necessarily indicative of our future results of operations, financial condition or cash flows, nor do they reflect what our results of operations, financial condition or cash flows would have been as an independent public company during the periods presented. In particular, the combined financial statements included in this information statement is not necessarily indicative of our future results of operations, financial condition or cash flows primarily because of the following factors:</w:t>
      </w:r>
    </w:p>
    <w:p>
      <w:pPr>
        <w:spacing w:after="0" w:line="89" w:lineRule="exact"/>
        <w:rPr>
          <w:sz w:val="20"/>
          <w:szCs w:val="20"/>
          <w:color w:val="auto"/>
        </w:rPr>
      </w:pPr>
    </w:p>
    <w:p>
      <w:pPr>
        <w:ind w:left="1080" w:hanging="424"/>
        <w:spacing w:after="0" w:line="266" w:lineRule="auto"/>
        <w:tabs>
          <w:tab w:leader="none" w:pos="1080" w:val="left"/>
        </w:tabs>
        <w:numPr>
          <w:ilvl w:val="0"/>
          <w:numId w:val="10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operated by Comcast on a combined basis as part of its broader corporate organization, rather than as an independent company or distinct business unit or division. Comcast or its affiliates provided support for various corporate functions for us;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811" w:name="page812"/>
    <w:bookmarkEnd w:id="8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20" w:hanging="424"/>
        <w:spacing w:after="0" w:line="282" w:lineRule="auto"/>
        <w:tabs>
          <w:tab w:leader="none" w:pos="1080"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results reflect the direct, indirect and allocated costs for such services historically provided by Comcast, and these costs may significantly differ from the comparable expenses we would have incurred as an independent, publicly traded company;</w:t>
      </w:r>
    </w:p>
    <w:p>
      <w:pPr>
        <w:spacing w:after="0" w:line="67" w:lineRule="exact"/>
        <w:rPr>
          <w:rFonts w:ascii="Times New Roman" w:cs="Times New Roman" w:eastAsia="Times New Roman" w:hAnsi="Times New Roman"/>
          <w:sz w:val="18"/>
          <w:szCs w:val="18"/>
          <w:color w:val="auto"/>
        </w:rPr>
      </w:pPr>
    </w:p>
    <w:p>
      <w:pPr>
        <w:jc w:val="both"/>
        <w:ind w:left="1080" w:right="280" w:hanging="424"/>
        <w:spacing w:after="0" w:line="266" w:lineRule="auto"/>
        <w:tabs>
          <w:tab w:leader="none" w:pos="1080"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our business has been integrated with that of Comcast and we benefit from Comcast’s arrangements in terms of costs, employees and commercial relationships. Thus, costs we will incur as an independent company may exceed comparable costs we would have incurred as part of Comcast and some of our commercial relationships may be weakened or lost;</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historically operated within Comcast’s corporate-wide cash management and centralized funding programs, and as an independent company our borrowing costs may significantly differ from Comcast’s borrowing costs;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financial statements may not fully reflect the costs associated with the Separation, including the costs related to being an independent public company; and</w:t>
      </w:r>
    </w:p>
    <w:p>
      <w:pPr>
        <w:spacing w:after="0" w:line="67"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combined financial statements do not reflect our obligations under the various transitional and other agreements we will enter into with Comcast in connection with the Separation, though costs under such agreements may be more than what was charged to the Spin Business in the past.</w:t>
      </w:r>
    </w:p>
    <w:p>
      <w:pPr>
        <w:spacing w:after="0" w:line="176"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based the pro forma adjustments included in this information statement on available information and assumptions that we believe are reasonable and factually supportable; actual results, however, may vary. In addition, our unaudited pro forma combined financial statements included in this information statement may not give effect to various ongoing additional costs we may incur in connection with being an independent public company. Accordingly, our unaudited pro forma combined financial statements do not reflect what our results of operations, financial condition or cash flows would have been as an independent public company and are not necessarily indicative of our future financial condition or future results of operations.</w:t>
      </w:r>
    </w:p>
    <w:p>
      <w:pPr>
        <w:spacing w:after="0" w:line="187"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See “Unaudited Pro Forma Combined Financial Statements,” “Management’s Discussion and Analysis of Financial Condition and Results of Operations” and our combined financial statements and the notes to those statements included elsewhere in this information statement.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have historically operated within Comcast, and there are risks associated with the Separation.</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have historically operated within Comcast, and our current relationship with Comcast, including NBCUniversal Media, LLC (“NBCUniversal”), will change as a result of the Separation. These and other changes could have an adverse effect on our business, financial condition and results of operations.</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Before the Distribution, we will enter into a Separation and Distribution Agreement that provides a framework for our relationship with Comcast after the Separation. However, there can be no assurance that the provisions in the Separation and Distribution Agreement will continue to be beneficial for Versant. For example, Comcast and NBCUniversal currently provide guarantees for our benefit to third parties with respect to certain of our contractual obligations. Following the Separation, we may not be able to obtain similar terms for new contracts, or renew existing contracts on favorable terms or at all. In addition, pursuant to the Separation and Distribution Agreement, we are required to indemnify and reimburse Comcast and its subsidiaries for any payments made by Comcast or its subsidiaries and for any liabilities of Comcast or its subsidiaries arising out of their obligations under guarantees provided by them for our benefit to third parties with respect to certain of our contractual obligations, if such guarantees are not removed or replaced by the time of the Separation. Such payments are not subject to any cap.</w:t>
      </w:r>
    </w:p>
    <w:p>
      <w:pPr>
        <w:spacing w:after="0" w:line="192" w:lineRule="exact"/>
        <w:rPr>
          <w:sz w:val="20"/>
          <w:szCs w:val="20"/>
          <w:color w:val="auto"/>
        </w:rPr>
      </w:pPr>
    </w:p>
    <w:p>
      <w:pPr>
        <w:jc w:val="both"/>
        <w:ind w:left="120" w:right="580" w:firstLine="440"/>
        <w:spacing w:after="0" w:line="266" w:lineRule="auto"/>
        <w:rPr>
          <w:sz w:val="20"/>
          <w:szCs w:val="20"/>
          <w:color w:val="auto"/>
        </w:rPr>
      </w:pPr>
      <w:r>
        <w:rPr>
          <w:rFonts w:ascii="Times New Roman" w:cs="Times New Roman" w:eastAsia="Times New Roman" w:hAnsi="Times New Roman"/>
          <w:sz w:val="18"/>
          <w:szCs w:val="18"/>
          <w:color w:val="auto"/>
        </w:rPr>
        <w:t>Furthermore, when we renegotiate our carriage agreements with distributors, we will no longer have the ability to do so with the benefit of negotiating as part of NBCUniversal, which may result in less advantageous terms for Versant. Separately, we may lose the advantage of volume discounts with certain vendors that are enjoyed by large organizations like Comcast or NBCUniversal.</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812" w:name="page813"/>
    <w:bookmarkEnd w:id="8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52" w:lineRule="auto"/>
        <w:rPr>
          <w:sz w:val="20"/>
          <w:szCs w:val="20"/>
          <w:color w:val="auto"/>
        </w:rPr>
      </w:pPr>
      <w:r>
        <w:rPr>
          <w:rFonts w:ascii="Times New Roman" w:cs="Times New Roman" w:eastAsia="Times New Roman" w:hAnsi="Times New Roman"/>
          <w:sz w:val="18"/>
          <w:szCs w:val="18"/>
          <w:color w:val="auto"/>
        </w:rPr>
        <w:t>In connection with the Separation, we are entering into certain commercial arrangements with Comcast. See “The Separation—Agreements with Comcast—Certain Commercial Arrangements.” Although these agreements are generally based on market terms that could be obtained from other providers and relate to ordinary course business functions, they are important to our ability to provide certain content to our viewers, provide certain services to our customers and generate portions of our revenue, and we may be required to expend significant resources to renew these commercial arrangements with Comcast, find alternative business partners to provide similar services in the future and/or develop capabilities so that we can perform certain of these functions internally. There can be no assurance that we will be able to do so on attractive terms or at all, which could adversely impact our business, financial condition and results of operations. We will also enter into commercial agreements with Comcast in connection with the Separation pursuant to which Comcast will grant us a license to use certain intellectual property rights owned by Comcast, which will contain limitations on how we may use the licensed intellectual property rights and will limit how long we may continue to use such brands. For example, our use of the CNBC brand will be subject to a trademark license agreement with Comcast that provides an initial term of five years, after which time we may need to reposition the related network and related platforms and products. Moreover, following the Separation, we will be subject to certain restrictions on our businesses that will prevent us from using certain trademarks to compete with certain Comcast businesses in certain international territories for a period after the expiration of the license. See “—Business Risk Factors—Our network rebrands may result in customer confusion and disruption, leading to lower ratings and monetization.”</w:t>
      </w:r>
    </w:p>
    <w:p>
      <w:pPr>
        <w:spacing w:after="0" w:line="197"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following the Separation, Comcast will provide certain services to us on a transitional basis that were previously provided by Comcast to us when we were part of Comcast. Comcast may not successfully execute its obligations to us under these arrangements, and any interruption in the functions or services that will be provided to us by Comcast following the Separation could have an adverse effect on our business, financial condition and results of operations. Comcast may also allege that we have failed to perform our obligations to Comcast under these arrangements, which may subject us to claims and liability.</w:t>
      </w:r>
    </w:p>
    <w:p>
      <w:pPr>
        <w:spacing w:after="0" w:line="287" w:lineRule="exact"/>
        <w:rPr>
          <w:sz w:val="20"/>
          <w:szCs w:val="20"/>
          <w:color w:val="auto"/>
        </w:rPr>
      </w:pPr>
    </w:p>
    <w:p>
      <w:pPr>
        <w:ind w:left="340" w:right="8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significant costs to create the infrastructure necessary to operate as an independent public company and may experience operational disruptions in connection with the Separation.</w:t>
      </w:r>
    </w:p>
    <w:p>
      <w:pPr>
        <w:spacing w:after="0" w:line="5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Comcast currently performs all or part of certain corporate functions for us, including information technology, shared services, insurance, logistics, human resources, public company reporting, finance and internal audit functions. Following the Separation, pursuant to the Transition Services Agreement, Comcast will continue to provide some of these services to us on a transitional basis, generally for a period of up to two years. See “The Separation—Agreements with Comcast—Transition Services Agreement.” Comcast may not successfully execute all of these functions during the transition period or we may have to expend significant efforts or incur costs materially in excess of those estimated to be paid to Comcast under the Transition Services Agreement in the event of any such failure. Any interruption in these services could have an adverse effect on our business, financial condition and results of operations.</w:t>
      </w:r>
    </w:p>
    <w:p>
      <w:pPr>
        <w:spacing w:after="0" w:line="18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addition, at the end of this transition period, we will need to perform these functions ourselves or hire third parties to perform these functions on our behalf. The costs associated with performing or outsourcing these functions may exceed the amounts reflected in our combined financial statements that were incurred as a business segment of Comcast. We began incurring costs in the second quarter of 2025 to establish the necessary infrastructure and create the systems and services to replace many of the systems and services that Comcast currently provides to us. However, we may not be successful in implementing these systems and services in a timely manner or at all, and we may incur additional costs in connection with, or following, the implementation of these systems and services. A significant increase in the costs of performing or outsourcing these functions could materially and adversely affect our business, results of operations and financial condition.</w:t>
      </w:r>
    </w:p>
    <w:p>
      <w:pPr>
        <w:spacing w:after="0" w:line="189"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Moreover, we may be required to make substantial capital investments to establish independent physical infrastructure following the Separation. For example, we will likely need to make significant investments to develop our own offices and production sites. These efforts to build the infrastructure necessary to operate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813" w:name="page814"/>
    <w:bookmarkEnd w:id="8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independently could be costly and complex. There can be no assurance that we will be successful in implementing our own systems or in securing new facilities and services without experiencing delays or unexpected cost overruns. If we are unable to operate our business as efficiently or cost-effectively as we did as a part of Comcast’s infrastructure, our profitability may be adversely affected.</w:t>
      </w:r>
    </w:p>
    <w:p>
      <w:pPr>
        <w:spacing w:after="0" w:line="176"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Additionally, we will have to obtain our own insurance policies after the Separation is complete. Although we expect to have insurance policies in place as of the Separation that cover certain, but not all, hazards that could arise from our operations, we can provide no assurance that we will be able to obtain such coverage, that the cost of such coverage will be similar to those incurred by Comcast or that such coverage will be adequate to protect us from costs incurred with certain events. The occurrence of an event that is not insured or not fully insured could have a material adverse effect on our results of operations, financial condition and cash flows in the future. There can be no assurance that we will be able to obtain insurance coverage following the Separation on terms that justify its purchase, and any such insurance may not be adequate to offset costs associated with certain events.</w:t>
      </w:r>
    </w:p>
    <w:p>
      <w:pPr>
        <w:spacing w:after="0" w:line="17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Furthermore, we may experience certain operational disruptions in connection with the Separation as we transition to operating as an independent public company, including information technology disruptions as certain data, software, information technology hardware and other information technology assets and systems are transitioned or re-allocated between us and Comcast pursuant to the Separation and Distribution Agreement and the Transition Services Agreement. Additionally, we may experience operational disruptions as we implement new systems or upgrades in connection with the Separation and also with such transition upon the expiration of the transition period under the Transition Services Agreement. In addition, the efforts related to the separation of the information technology environment will require significant resources that could impact our ability to keep pace with ongoing advancement of information technology needs of the business. Our ability to effectively manage and operate our business depends significantly on information technology systems, and any failure, disruption, interruption, malfunction or other issue with respect to such systems could have an adverse effect on our business, financial condition and results of operations.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obligations associated with being a public company will require significant resources and management attention.</w:t>
      </w:r>
    </w:p>
    <w:p>
      <w:pPr>
        <w:spacing w:after="0" w:line="121" w:lineRule="exact"/>
        <w:rPr>
          <w:sz w:val="20"/>
          <w:szCs w:val="20"/>
          <w:color w:val="auto"/>
        </w:rPr>
      </w:pPr>
    </w:p>
    <w:p>
      <w:pPr>
        <w:jc w:val="both"/>
        <w:ind w:left="120" w:right="120" w:firstLine="440"/>
        <w:spacing w:after="0" w:line="312" w:lineRule="auto"/>
        <w:rPr>
          <w:sz w:val="20"/>
          <w:szCs w:val="20"/>
          <w:color w:val="auto"/>
        </w:rPr>
      </w:pPr>
      <w:r>
        <w:rPr>
          <w:rFonts w:ascii="Times New Roman" w:cs="Times New Roman" w:eastAsia="Times New Roman" w:hAnsi="Times New Roman"/>
          <w:sz w:val="17"/>
          <w:szCs w:val="17"/>
          <w:color w:val="auto"/>
        </w:rPr>
        <w:t>Following the effectiveness of the registration statement of which this information statement forms a part, we will be directly subject to reporting and other obligations under the Exchange Act and the rules of Nasdaq. As an independent public company, we will be required to, among other things:</w:t>
      </w:r>
    </w:p>
    <w:p>
      <w:pPr>
        <w:spacing w:after="0" w:line="45" w:lineRule="exact"/>
        <w:rPr>
          <w:sz w:val="20"/>
          <w:szCs w:val="20"/>
          <w:color w:val="auto"/>
        </w:rPr>
      </w:pPr>
    </w:p>
    <w:p>
      <w:pPr>
        <w:ind w:left="1080" w:right="180" w:hanging="424"/>
        <w:spacing w:after="0" w:line="282" w:lineRule="auto"/>
        <w:tabs>
          <w:tab w:leader="none" w:pos="10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and distribute periodic reports, proxy statements and other shareholder communications in compliance with the federal securities laws and rules;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our own Board of Directors and committees thereof, which comply with federal securities laws and rules and stock exchange rules;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 our own financial reporting and disclosure compliance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investor relations and treasury functions;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internal policies, including those relating to trading in our securities and disclosure controls and procedures; and</w:t>
      </w:r>
    </w:p>
    <w:p>
      <w:pPr>
        <w:spacing w:after="0" w:line="130" w:lineRule="exact"/>
        <w:rPr>
          <w:rFonts w:ascii="Times New Roman" w:cs="Times New Roman" w:eastAsia="Times New Roman" w:hAnsi="Times New Roman"/>
          <w:sz w:val="18"/>
          <w:szCs w:val="18"/>
          <w:color w:val="auto"/>
        </w:rPr>
      </w:pPr>
    </w:p>
    <w:p>
      <w:pPr>
        <w:ind w:left="1080" w:right="560" w:hanging="424"/>
        <w:spacing w:after="0" w:line="282" w:lineRule="auto"/>
        <w:tabs>
          <w:tab w:leader="none" w:pos="1080" w:val="left"/>
        </w:tabs>
        <w:numPr>
          <w:ilvl w:val="0"/>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regulations implemented by the SEC, the Sarbanes-Oxley Act, the Dodd-Frank Act, the Public Company Accounting Oversight Board and Nasdaq.</w:t>
      </w:r>
    </w:p>
    <w:p>
      <w:pPr>
        <w:spacing w:after="0" w:line="162"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These reporting and other obligations will place significant demands on our management and our administrative and operational resources, including accounting resources, and we expect to face increased legal, accounting, administrative and other costs and expenses relating to these demands that we had not incurred as a segment of Comcast. Our accounting and other management systems and resources may not be adequately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814" w:name="page815"/>
    <w:bookmarkEnd w:id="8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55" w:lineRule="auto"/>
        <w:rPr>
          <w:sz w:val="20"/>
          <w:szCs w:val="20"/>
          <w:color w:val="auto"/>
        </w:rPr>
      </w:pPr>
      <w:r>
        <w:rPr>
          <w:rFonts w:ascii="Times New Roman" w:cs="Times New Roman" w:eastAsia="Times New Roman" w:hAnsi="Times New Roman"/>
          <w:sz w:val="18"/>
          <w:szCs w:val="18"/>
          <w:color w:val="auto"/>
        </w:rPr>
        <w:t>prepared to meet the financial reporting and other requirements to which we will be subject following the Separation. To comply with these requirements, we anticipate that we will need to duplicate information technology infrastructure, implement additional financial and management controls, reporting systems and procedures and hire additional accounting, finance, tax, treasury and information technology staff. Our investment in compliance with existing and evolving regulatory requirements will result in increased administrative expenses and a diversion of management’s time and attention from revenue-generating activities to compliance activities. If we are unable to do this in a timely and effective fashion, our ability to comply with our financial reporting requirements and other rules that apply to reporting companies could be impaired, which could have a material adverse effect on our business, results of operations, financial condition and cash flows.</w:t>
      </w:r>
    </w:p>
    <w:p>
      <w:pPr>
        <w:spacing w:after="0" w:line="293" w:lineRule="exact"/>
        <w:rPr>
          <w:sz w:val="20"/>
          <w:szCs w:val="20"/>
          <w:color w:val="auto"/>
        </w:rPr>
      </w:pPr>
    </w:p>
    <w:p>
      <w:pPr>
        <w:ind w:left="340"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effective internal controls, we may not be able to report our financial results accurately or timely or prevent or detect fraud, which could have a material adverse effect on our business or the market price of our securities.</w:t>
      </w:r>
    </w:p>
    <w:p>
      <w:pPr>
        <w:spacing w:after="0" w:line="5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In accordance with Section 404 of the Sarbanes-Oxley Act, our management will be required to conduct an annual assessment of the effectiveness of our internal control over financial reporting and include a report on these internal controls in the annual reports we will file with the SEC on Form</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10-K. Our independent registered public accounting firm may not be required to formally attest to the effectiveness of our internal controls until the year following the first annual report required to be filed with the SEC. When required, this process will require significant documentation of policies, procedures and systems, review of that documentation by our internal auditing and accounting staff and our outside independent registered public accounting firm, and testing of our internal controls over financial reporting by our internal auditing and accounting staff and our outside independent registered public accounting firm. This process will involve considerable time and attention, may strain our internal resources, and will increase our operating costs. We may experience higher than anticipated operating expenses and outside auditor fees during the implementation of these changes and thereafter. If management or our independent registered public accounting firm determines that our internal control over financial reporting is not effective, investors may lose confidence in the accuracy and completeness of our financial reports and the market price of our Class A common stock could be negatively affected, and we could become subject to investigations by Nasdaq, the SEC, or other regulatory authorities, which could require additional financial and management resources. In addition, if our controls are not effective, our ability to accurately and timely report our financial position could be impaired, which could result in late filings of our annual and quarterly reports under the Exchange Act, restatements of our combined financial statements, a decline in our stock price, or suspension or delisting of our Class A common stock from Nasdaq, and could have a material adverse effect on our business, financial condition, prospects and results of operations.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Until the Separation occurs, Comcast has sole discretion to change the terms of the Separation in ways that may be unfavorable to us.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Completion of the Separation remains subject to the satisfaction or waiver of certain conditions, some of which are in the sole and absolute discretion of Comcast, including final approval by Comcast’s Board. Additionally, Comcast has the sole and absolute discretion to change certain terms of the Separation, including the amount of any payment we make to Comcast, the amount of our indebtedness and the allocation of contingent liabilities, which changes could be unfavorable to us. In addition, Comcast may decide at any time prior to the completion of the Separation not to proceed with the Separation.</w:t>
      </w:r>
    </w:p>
    <w:p>
      <w:pPr>
        <w:spacing w:after="0" w:line="287" w:lineRule="exact"/>
        <w:rPr>
          <w:sz w:val="20"/>
          <w:szCs w:val="20"/>
          <w:color w:val="auto"/>
        </w:rPr>
      </w:pPr>
    </w:p>
    <w:p>
      <w:pPr>
        <w:jc w:val="both"/>
        <w:ind w:left="340" w:right="2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Comcast will indemnify us for certain liabilities, and we will indemnify Comcast for certain liabilities. If we are required to act under these indemnities to Comcast, we may need to divert cash to meet those obligations, which could adversely affect our financial results. Moreover, the Comcast indemnity may not be sufficient to insure us against the full amount of liabilities for which we will be allocated responsibility.</w:t>
      </w:r>
    </w:p>
    <w:p>
      <w:pPr>
        <w:spacing w:after="0" w:line="72"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Pursuant to the Separation and Distribution Agreement and other agreements with Comcast, Comcast will agree to indemnify us for certain liabilities, and we will agree to indemnify Comcast for certain liabilities, as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20"/>
          </w:cols>
          <w:pgMar w:left="320" w:top="455" w:right="459" w:bottom="1440" w:gutter="0" w:footer="0" w:header="0"/>
        </w:sectPr>
      </w:pPr>
    </w:p>
    <w:bookmarkStart w:id="815" w:name="page816"/>
    <w:bookmarkEnd w:id="8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discussed further in “The Separation—Agreements with Comcast.” Payments that we may be required to provide under indemnities and reimbursements to Comcast are not subject to any cap, may be significant and could negatively affect our business, particularly under indemnities relating to our actions that could affect the tax-free nature of the Separation. Third parties could also seek to hold us responsible for the liabilities that Comcast has agreed to retain, and under certain circumstances, we may be subject to continuing contingent liabilities of Comcast following the Separation that arise relating to the operations of the Spin Business during the time that it was a business segment of Comcast prior to the Separation, such as certain tax liabilities which relate to periods during which taxes of the Spin Business were reported as a part of Comcast; certain liabilities retained by Comcast which relate to contracts or other obligations entered into jointly by the Spin Business and Comcast’s retained business; certain environmental liabilities related to sites at which both Comcast and the Spin Business operated; and certain liabilities arising from third-party claims in respect of contracts in which both Comcast and the Spin Business supply goods or provide services.</w:t>
      </w:r>
    </w:p>
    <w:p>
      <w:pPr>
        <w:spacing w:after="0" w:line="18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Comcast has agreed to indemnify us for such contingent liabilities. While we have no reason to expect that Comcast will not be able to support its indemnification obligations to us, we can provide no assurance that Comcast will be able to fully satisfy its indemnification obligations or that such indemnity obligations will be sufficient to cover our liabilities for matters which Comcast has agreed to retain, including such contingent liabilities. Moreover, even if we ultimately succeed in recovering from Comcast any amounts for which we are indemnified, we may be temporarily required to bear these losses ourselves. Each of these risks could have a material adverse effect on our business, results of operations and financial condition.</w:t>
      </w:r>
    </w:p>
    <w:p>
      <w:pPr>
        <w:spacing w:after="0" w:line="287" w:lineRule="exact"/>
        <w:rPr>
          <w:sz w:val="20"/>
          <w:szCs w:val="20"/>
          <w:color w:val="auto"/>
        </w:rPr>
      </w:pPr>
    </w:p>
    <w:p>
      <w:pPr>
        <w:jc w:val="both"/>
        <w:ind w:left="340" w:right="2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In connection with the Separation, we entered into the TLA/Revolver Credit Agreement and the Indenture and we intend to enter into the TLB Credit Agreement, each of which could restrict our business and adversely impact our cash flows, business, financial condition and results of operations.</w:t>
      </w:r>
    </w:p>
    <w:p>
      <w:pPr>
        <w:spacing w:after="0" w:line="67"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Separation, on October 3, 2025, we entered into the TLA/Revolver Credit Agreement with respect to (i) the $1.0 billion Term A Loan Facility and (ii) the $750 million Revolving Credit Facility and on October 29, 2025, we entered into the Indenture with respect to $1.0 billion aggregate principal amount of Notes. We also intend to enter into the TLB Credit Agreement with respect to the $1.0 billion Term B Loan Facility. We expect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“The Separation—Incurrence of Debt” and “Description of Material Indebtedness.” This level of debt could have significant consequences on our future operations, including:</w:t>
      </w:r>
    </w:p>
    <w:p>
      <w:pPr>
        <w:spacing w:after="0" w:line="94" w:lineRule="exact"/>
        <w:rPr>
          <w:sz w:val="20"/>
          <w:szCs w:val="20"/>
          <w:color w:val="auto"/>
        </w:rPr>
      </w:pPr>
    </w:p>
    <w:p>
      <w:pPr>
        <w:ind w:left="1080" w:right="240" w:hanging="424"/>
        <w:spacing w:after="0" w:line="282" w:lineRule="auto"/>
        <w:tabs>
          <w:tab w:leader="none" w:pos="1080" w:val="left"/>
        </w:tabs>
        <w:numPr>
          <w:ilvl w:val="0"/>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resulting in an event of default if we fail to comply with the financial and other restrictive covenants contained in such debt agreements, which could result in all of our debt becoming immediately due and payable;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the availability of our cash flow to fund working capital, capital expenditures, acquisitions and other general corporate purposes and limiting our ability to obtain additional financing for these purposes;</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and increasing our vulnerability to, changes in our business, the industry in which we operate and the general economy;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any of our competitors that have less debt or are less leveraged.</w:t>
      </w:r>
    </w:p>
    <w:p>
      <w:pPr>
        <w:spacing w:after="0" w:line="225"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Any of the above-listed factors could have an adverse effect on our business, financial condition and results of operations. We may also incur substantial additional indebtedness in the future.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In addition, we may be unable to service or refinance our debt or maintain compliance with restrictive covenants in our debt instruments. Our cash flow from operations will provide the primary source of funds for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20"/>
          </w:cols>
          <w:pgMar w:left="320" w:top="455" w:right="459" w:bottom="1440" w:gutter="0" w:footer="0" w:header="0"/>
        </w:sectPr>
      </w:pPr>
    </w:p>
    <w:bookmarkStart w:id="816" w:name="page817"/>
    <w:bookmarkEnd w:id="8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our debt service payments. If our cash flow from operations declines, we may be unable to service or refinance our current debt. If we fail to comply with any covenant in the future, including any financial covenant, it could result in an event of default and make the entire debt incurred thereunder immediately due and payable or we may be forced to sell assets, restructure our indebtedness or seek additional equity capital, which would dilute our shareholders’ interests.</w:t>
      </w:r>
    </w:p>
    <w:p>
      <w:pPr>
        <w:spacing w:after="0" w:line="180"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In addition, the terms of the indebtedness we have incurred and expect to incur include and will include, and any future indenture or credit agreements that we may enter into may include, restrictive covenants that, subject to certain exceptions and qualifications, restrict or limit our ability and the ability of our subsidiaries to, among other things, incur additional indebtedness, pay dividends, make certain investments, sell certain assets and enter into certain strategic transactions, including mergers and acquisitions. These covenants and restrictions could affect our ability to operate our business and may limit our ability to react to market conditions or take advantage of potential business opportunities as they arise. The Separation may increase the overall cost of debt funding and decrease the overall debt capacity and commercial credit available to us.</w:t>
      </w:r>
    </w:p>
    <w:p>
      <w:pPr>
        <w:spacing w:after="0" w:line="291" w:lineRule="exact"/>
        <w:rPr>
          <w:sz w:val="20"/>
          <w:szCs w:val="20"/>
          <w:color w:val="auto"/>
        </w:rPr>
      </w:pPr>
    </w:p>
    <w:p>
      <w:pPr>
        <w:ind w:left="340"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 or assignment to us of some contracts and other assets will require the consent of a third party. If such consent is not given, we may not be entitled to the benefit of such contracts, investments and other assets in the future.</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Transfer or assignment of some of the contracts and other assets in connection with the Separation will require the consent of a third party to the transfer or assignment. Similarly, in some circumstances, we are joint beneficiaries of contracts, and we will need to enter into a new agreement with the third party to replicate the existing contract or assign the portion of the existing contract related to our business. While we anticipate that most of these contract assignments and new agreements will be obtained prior to the Separation, we may not be able to obtain all required consents or enter into all such new agreements, as applicable, until after the Distribution Date. Some parties may use the requirement of a consent to seek more favorable contractual terms from us, which could include our having to obtain letters of credit or other forms of credit support. If we are unable to obtain such consents or such credit support on commercially reasonable and satisfactory terms, we may be unable to obtain some of the benefits, assets and contractual commitments that are intended to be allocated to us as part of the Separation. In addition, where we do not intend to obtain consent from third-party counterparties based on our belief that no consent is required, the third-party counterparties may challenge the transaction on the basis that the terms of the applicable commercial arrangements require their consent. We may incur substantial litigation and other costs in connection with any such claims and, if we do not prevail, our ability to use these assets could be adversely impacted.</w:t>
      </w:r>
    </w:p>
    <w:p>
      <w:pPr>
        <w:spacing w:after="0" w:line="192"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We cannot provide assurance that all such required third-party consents and new agreements will be procured or put in place, as applicable, prior to the Distribution. Consequently, we may not realize certain of the benefits that are intended to be allocated to us as part of the Separation.</w:t>
      </w:r>
    </w:p>
    <w:p>
      <w:pPr>
        <w:spacing w:after="0" w:line="266" w:lineRule="exact"/>
        <w:rPr>
          <w:sz w:val="20"/>
          <w:szCs w:val="20"/>
          <w:color w:val="auto"/>
        </w:rPr>
      </w:pPr>
    </w:p>
    <w:p>
      <w:pPr>
        <w:ind w:left="34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After the Separation, some of our directors and officers may have actual or potential conflicts of interest because of their equity ownership in Comcast.</w:t>
      </w:r>
    </w:p>
    <w:p>
      <w:pPr>
        <w:spacing w:after="0" w:line="5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Because of their current or former positions with Comcast, following the Separation, some of our directors and executive officers may continue to own shares of Comcast Class A common stock, and the individual holdings may be significant for some of these individuals compared to their total assets. This ownership may create, or may create the appearance of, conflicts of interest when these directors and officers are faced with decisions that could have different implications for Comcast or us. For example, potential conflicts of interest could arise in connection with the resolution of any dispute that may arise between Comcast and us regarding the terms of the agreements governing the Separation and the relationship thereafter between the companies.</w:t>
      </w:r>
    </w:p>
    <w:p>
      <w:pPr>
        <w:spacing w:after="0" w:line="1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00"/>
          </w:cols>
          <w:pgMar w:left="320" w:top="455" w:right="479" w:bottom="1440" w:gutter="0" w:footer="0" w:header="0"/>
        </w:sectPr>
      </w:pPr>
    </w:p>
    <w:bookmarkStart w:id="817" w:name="page818"/>
    <w:bookmarkEnd w:id="8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The combined post-Distribution value of Comcast and Versant shares may not equal or exceed the pre-Distribution value of Comcast shares.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After the Separation, we expect that Comcast Class A common stock will continue to be traded on Nasdaq. We have applied to list the shares of Versant Class A common stock on Nasdaq. We cannot assure you that the combined trading prices of Comcast Class A common stock and Versant Class A common stock after the Separation, as adjusted for any changes in the combined capitalization of both companies, will be equal to or greater than the trading price of Comcast Class A common stock prior to the Separation. Until the market has fully evaluated the business of Comcast without the Spin Business and potentially thereafter, the price at which Comcast Class A common stock trades may fluctuate significantly. Similarly, until the market has fully evaluated our business and potentially thereafter, the price at which our common stock trades may fluctuate significantly.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potentially could have received better terms from unaffiliated third parties than the terms we will receive in our agreements with Comcast.</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agreements we will enter into with Comcast in connection with the Separation will be negotiated while we are still part of Comcast’s business. See “The Separation—Agreements with Comcast.” Accordingly, during the period in which the terms of those agreements will have been negotiated, we did not have an independent Board of Directors or a management team independent of Comcast. The terms of the agreements negotiated in the context of the Separation relate to, among other things, the allocation of assets, intellectual property, liabilities, rights and other obligations between Comcast and us, and arm’s-length negotiations between Comcast and an unaffiliated third-party in another form of transaction, such as a buyer in a sale of a business transaction, may have resulted in more favorable terms to the unaffiliated third-party.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Comcast shareholders do not have dissenters’ rights with respect to the Separation.</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Comcast shareholders do not have any dissenters’ rights in connection with the Separation. Therefore, any Comcast shareholders who disagree with the Separation will be left without recourse other than selling their Versant shares. Such shareholders may be unable to subsequently sell their shares at the prices they desire or at all.</w:t>
      </w:r>
    </w:p>
    <w:p>
      <w:pPr>
        <w:spacing w:after="0" w:line="280" w:lineRule="exact"/>
        <w:rPr>
          <w:sz w:val="20"/>
          <w:szCs w:val="20"/>
          <w:color w:val="auto"/>
        </w:rPr>
      </w:pPr>
    </w:p>
    <w:p>
      <w:pPr>
        <w:ind w:left="340" w:right="16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If the Transactions and Distribution, together with certain related transactions, do not qualify as transactions that are tax-free for U.S. federal income tax purposes or non-U.S. tax purposes, Comcast and/or holders of Comcast common stock could be subject to significant tax liability.</w:t>
      </w:r>
    </w:p>
    <w:p>
      <w:pPr>
        <w:spacing w:after="0" w:line="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It is intended that the Distribution, together with certain related transactions, will qualify as a “reorganization” within the meaning of</w:t>
      </w:r>
    </w:p>
    <w:p>
      <w:pPr>
        <w:spacing w:after="0" w:line="27" w:lineRule="exact"/>
        <w:rPr>
          <w:sz w:val="20"/>
          <w:szCs w:val="20"/>
          <w:color w:val="auto"/>
        </w:rPr>
      </w:pPr>
    </w:p>
    <w:p>
      <w:pPr>
        <w:ind w:left="120"/>
        <w:spacing w:after="0" w:line="251" w:lineRule="auto"/>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and the Comcast Cash Distribution will qualify as money distributed to Comcast creditors or shareholders in connection with the reorganization for purposes of Section 361(b) of the Code. The Distribution is conditioned upon the receipt of the opinion of Davis Polk &amp; Wardwell LLP to the effect that such transactions will qualify for this intended tax treatment. In addition, it is intended that the Transactions generally will qualify as transactions that are tax-free for U.S. federal income tax and applicable non-U.S. tax purposes. The opinion will rely on certain representations, assumptions and undertakings, including those relating to the past and future conduct of our business, and the opinion would not be valid if such representations, assumptions and undertakings were incorrect. Notwithstanding the opinion, the IRS could determine that the Distribution should be treated as a taxable transaction for U.S. federal income tax purposes if it determines that any of the representations, assumptions or undertakings that were relied on for the opinion are false or have been violated, if it disagrees with the conclusions in the opinion, or for other reasons, including as a result of significant changes in the stock ownership of Comcast or us after the Distribution. For more information regarding the opinions see “The Separation—Material U.S. Federal Income Tax Consequences of the Distribution—Tax Opinion.”</w:t>
      </w:r>
    </w:p>
    <w:p>
      <w:pPr>
        <w:spacing w:after="0" w:line="192"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If the Transactions and Distribution fail to qualify for the intended tax treatment, for any reason, Comcast and/or holders of Comcast common stock could be subject to substantial U.S. and/or applicable non-U.S. taxes as</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40"/>
          </w:cols>
          <w:pgMar w:left="320" w:top="455" w:right="539" w:bottom="1440" w:gutter="0" w:footer="0" w:header="0"/>
        </w:sectPr>
      </w:pPr>
    </w:p>
    <w:bookmarkStart w:id="818" w:name="page819"/>
    <w:bookmarkEnd w:id="8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a result of the Separation, and we could incur significant liabilities under applicable law or as a result of the Tax Matters Agreement. See “The Separation—Material U.S. Federal Income Tax Consequences of the Distribution.”</w:t>
      </w:r>
    </w:p>
    <w:p>
      <w:pPr>
        <w:spacing w:after="0" w:line="266" w:lineRule="exact"/>
        <w:rPr>
          <w:sz w:val="20"/>
          <w:szCs w:val="20"/>
          <w:color w:val="auto"/>
        </w:rPr>
      </w:pPr>
    </w:p>
    <w:p>
      <w:pPr>
        <w:ind w:left="340"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the Separation is taxable to Comcast as a result of a breach by us of any covenant or representation made by us in the Tax Matters Agreement (as defined below), we generally will be required to indemnify Comcast; the obligation to make payments on this indemnification obligation could have a material adverse effect on us.</w:t>
      </w:r>
    </w:p>
    <w:p>
      <w:pPr>
        <w:spacing w:after="0" w:line="67"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As described above, it is intended that the Distribution, together with certain related transactions, will qualify as tax-free transactions to Comcast and to holders of Comcast common stock, except with respect to any cash received in lieu of fractional shares of common stock, and that the Transactions generally will qualify as tax-free transactions. If the Distribution and/or any of the Transactions are not so treated or are taxable to Comcast (see “The Separation—Material U.S. Federal Income Tax Consequences of the Distribution”) due to a breach by us (or any of our subsidiaries) of any covenant or representation made by us in the Tax Matters Agreement, we generally will be required to indemnify Comcast for all tax-related losses suffered by Comcast. In addition, we will not control the resolution of any tax contest relating to taxes suffered by Comcast in connection with the Separation, and we may not control the resolution of tax contests relating to any other taxes for which we may ultimately have an indemnity obligation under the Tax Matters Agreement. In the event that Comcast suffers tax-related losses in connection with the Separation that must be indemnified by us under the Tax Matters Agreement, the indemnification liability could have a material adverse effect on us.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will be subject to significant restrictions on our actions following the Separation in order to avoid triggering significant tax-related liabilities.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Tax Matters Agreement generally will prohibit us from taking certain actions that could cause the Distribution and certain related transactions to fail to qualify as tax-free transactions, including:</w:t>
      </w:r>
    </w:p>
    <w:p>
      <w:pPr>
        <w:spacing w:after="0" w:line="67" w:lineRule="exact"/>
        <w:rPr>
          <w:sz w:val="20"/>
          <w:szCs w:val="20"/>
          <w:color w:val="auto"/>
        </w:rPr>
      </w:pPr>
    </w:p>
    <w:p>
      <w:pPr>
        <w:ind w:left="1080" w:right="120" w:hanging="424"/>
        <w:spacing w:after="0" w:line="282" w:lineRule="auto"/>
        <w:tabs>
          <w:tab w:leader="none" w:pos="10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(or otherwise pursuant to a “plan” within the meaning of Section 355(e) of the Code), we may not cause or permit certain business combinations or transactions to occur;</w:t>
      </w:r>
    </w:p>
    <w:p>
      <w:pPr>
        <w:spacing w:after="0" w:line="67"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discontinue the active conduct of our business (within the meaning of Section 355(b)(2) of the Code);</w:t>
      </w:r>
    </w:p>
    <w:p>
      <w:pPr>
        <w:spacing w:after="0" w:line="67" w:lineRule="exact"/>
        <w:rPr>
          <w:rFonts w:ascii="Times New Roman" w:cs="Times New Roman" w:eastAsia="Times New Roman" w:hAnsi="Times New Roman"/>
          <w:sz w:val="18"/>
          <w:szCs w:val="18"/>
          <w:color w:val="auto"/>
        </w:rPr>
      </w:pPr>
    </w:p>
    <w:p>
      <w:pPr>
        <w:jc w:val="both"/>
        <w:ind w:left="1080" w:right="180" w:hanging="424"/>
        <w:spacing w:after="0" w:line="266" w:lineRule="auto"/>
        <w:tabs>
          <w:tab w:leader="none" w:pos="10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sell or otherwise issue our common stock, other than pursuant to issuances that satisfy certain regulatory safe harbors set forth in Treasury regulations related to stock issued to employees and retirement plans;</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redeem or otherwise acquire any of our common stock, other than pursuant to open-market repurchases of less than 20% of our common stock (in the aggregate);</w:t>
      </w:r>
    </w:p>
    <w:p>
      <w:pPr>
        <w:spacing w:after="0" w:line="67" w:lineRule="exact"/>
        <w:rPr>
          <w:rFonts w:ascii="Times New Roman" w:cs="Times New Roman" w:eastAsia="Times New Roman" w:hAnsi="Times New Roman"/>
          <w:sz w:val="18"/>
          <w:szCs w:val="18"/>
          <w:color w:val="auto"/>
        </w:rPr>
      </w:pPr>
    </w:p>
    <w:p>
      <w:pPr>
        <w:jc w:val="both"/>
        <w:ind w:left="1080" w:right="300" w:hanging="424"/>
        <w:spacing w:after="0" w:line="266" w:lineRule="auto"/>
        <w:tabs>
          <w:tab w:leader="none" w:pos="10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two-year period following the Distribution Date, we may not amend our certificate of incorporation (or other organizational documents) or take any other action, whether through a shareholder vote or otherwise, affecting the voting rights of our common stock; and</w:t>
      </w:r>
    </w:p>
    <w:p>
      <w:pPr>
        <w:spacing w:after="0" w:line="81"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generally, we may not take any action that could reasonably be expected to cause certain steps of the Separation to fail to qualify as tax-free transactions for U.S. federal income tax purposes or for non-U.S. tax purposes.</w:t>
      </w:r>
    </w:p>
    <w:p>
      <w:pPr>
        <w:spacing w:after="0" w:line="16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Under the Tax Matters Agreement, we may take an action described above if, prior to taking such action, we obtain an IRS letter ruling or an acceptable opinion of tax counsel, upon which Comcast may rely, to the effect that taking such action will not affect the intended tax-free treatment of the Distribution and certain related transactions. Even if we obtain such a ruling or opinion, and if we take any of the actions above and such actions result in tax-related losses to Comcast, we generally will be required to indemnify Comcast for such tax-related losses under the Tax Matters Agreement. See “The Separation—Agreements with Comcast—Tax Matters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819" w:name="page820"/>
    <w:bookmarkEnd w:id="8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66" w:lineRule="auto"/>
        <w:rPr>
          <w:sz w:val="20"/>
          <w:szCs w:val="20"/>
          <w:color w:val="auto"/>
        </w:rPr>
      </w:pPr>
      <w:r>
        <w:rPr>
          <w:rFonts w:ascii="Times New Roman" w:cs="Times New Roman" w:eastAsia="Times New Roman" w:hAnsi="Times New Roman"/>
          <w:sz w:val="18"/>
          <w:szCs w:val="18"/>
          <w:color w:val="auto"/>
        </w:rPr>
        <w:t>Agreement.” Due to these restrictions and indemnification obligations under the Tax Matters Agreement, we may be limited in our ability to pursue strategic transactions, equity or convertible debt financings or other transactions that may otherwise be in our best interests. Also, our potential indemnity obligation to Comcast might discourage, delay or prevent a change of control that our shareholders may consider favorable.</w:t>
      </w:r>
    </w:p>
    <w:p>
      <w:pPr>
        <w:spacing w:after="0" w:line="38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Common Stock Risk Factors</w:t>
      </w:r>
    </w:p>
    <w:p>
      <w:pPr>
        <w:spacing w:after="0" w:line="225" w:lineRule="exact"/>
        <w:rPr>
          <w:sz w:val="20"/>
          <w:szCs w:val="20"/>
          <w:color w:val="auto"/>
        </w:rPr>
      </w:pPr>
    </w:p>
    <w:p>
      <w:pPr>
        <w:ind w:left="340"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there has not been any public market for our Class A common stock, the market price and trading volume of our Class A common stock may be volatile and you may not be able to resell your shares at or above the initial market price of our common stock following the Separation.</w:t>
      </w:r>
    </w:p>
    <w:p>
      <w:pPr>
        <w:spacing w:after="0" w:line="2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Prior to the Separation, there will have been no trading market for shares of our Class A common stock. An active trading market may not develop or be sustained for our Class A common stock after the Separation, and we cannot predict the prices at which our Class A common stock will trade after the Separation. The market price of our Class A common stock could fluctuate significantly due to a number of factors, many of which are beyond our control, including:</w:t>
      </w:r>
    </w:p>
    <w:p>
      <w:pPr>
        <w:spacing w:after="0" w:line="85" w:lineRule="exact"/>
        <w:rPr>
          <w:sz w:val="20"/>
          <w:szCs w:val="20"/>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quarterly or annual earnings results or those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of our operating results to meet the estimates of securities analysts or the expectations of our shareholders, or changes by securities analysts in their estimates of our future earnings;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customers, suppliers or competitors;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or earnings of other companies in our industry;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which adversely affect our industry 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stock market conditions;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significant sales of our Class A common stock by our shareholders or the perception in the market of such sales;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our Class A common stock by us;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these “Risk Factors” and elsewhere in this information statement.</w:t>
      </w:r>
    </w:p>
    <w:p>
      <w:pPr>
        <w:spacing w:after="0" w:line="225"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Class A common stock to fluctuate substantially, which may limit or prevent investors from readily selling their shares of Class A common stock and may otherwise negatively affect the liquidity of our Class A common stock. In addition, in the past, when the market price of a stock has been volatile, holders of that stock have in some cases instituted securities class action litigation against the Company that issued the stock. If any of our shareholders brought a lawsuit against us, we could incur substantial costs defending the lawsuit. Such a lawsuit could also divert the time and attention of our management from our business.</w:t>
      </w:r>
    </w:p>
    <w:p>
      <w:pPr>
        <w:spacing w:after="0" w:line="183"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The trading market for our Class A common stock may also be influenced by the research and reports that industry or securities analysts publish about us or our business. If one or more of these analysts cease coverage of the Company or fail to publish reports on us regularly, we could lose visibility in the financial markets, which in turn could cause our stock price or trading volume to decline. Moreover, if one or more of the analysts who cover us downgrade our stock, or if our results of operations do not meet their expectations, our stock price could decline.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 large number of our shares are or will be eligible for future sale, which may cause the market price of our Class A common stock to decline.</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Upon completion of the Separation, we estimate that we will have outstanding an aggregate of approximately       shares of our Class A common stock (based on       shares of Comcast Class A common stock outstanding on       , 2025).</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00"/>
          </w:cols>
          <w:pgMar w:left="320" w:top="455" w:right="479" w:bottom="1440" w:gutter="0" w:footer="0" w:header="0"/>
        </w:sectPr>
      </w:pPr>
    </w:p>
    <w:bookmarkStart w:id="820" w:name="page821"/>
    <w:bookmarkEnd w:id="8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All of those shares (other than those held by our “affiliates”) will be freely tradable without restriction or registration under the Securities Act of 1933, as amended (the “Securities Act”). Shares of Class A common stock held by our affiliates, which include our directors and executive officers, can be sold subject to volume, manner of sale and notice provisions of Rule 144 under the Securities Act. We estimate that our directors and executive officers, who may be considered “affiliates” for purposes of Rule 144, will beneficially own approximately        shares of our Class A common stock immediately following the Separation. We are unable to predict whether large amounts of our Class A common stock will be sold in the open market following the Separation. We are also unable to predict whether a sufficient number of buyers will be in the market at that time. As discussed in the immediately following risk factor, certain index funds will likely be required to sell shares of our Class A common stock that they receive in the Separation. In addition, other Comcast shareholders may sell the shares of our Class A common stock they receive in the Separation for various reasons. For example, such shareholders may not believe our business profile or level of market capitalization as an independent company fits their investment objectives.</w:t>
      </w:r>
    </w:p>
    <w:p>
      <w:pPr>
        <w:spacing w:after="0" w:line="298" w:lineRule="exact"/>
        <w:rPr>
          <w:sz w:val="20"/>
          <w:szCs w:val="20"/>
          <w:color w:val="auto"/>
        </w:rPr>
      </w:pPr>
    </w:p>
    <w:p>
      <w:pPr>
        <w:ind w:left="340" w:right="22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Because our Class A common stock may not be included in the Standard &amp; Poor’s 500 Index, and it may not be included in other stock indices, significant amounts of our Class A common stock will likely need to be sold in the open market where there may not be offsetting demand.</w:t>
      </w:r>
    </w:p>
    <w:p>
      <w:pPr>
        <w:spacing w:after="0" w:line="2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 portion of Comcast’s outstanding Class A common stock is held by index funds tied to the Standard &amp; Poor’s 500 Index and other stock indices. Based on a review of publicly available information as of         , 2025, we believe approximately         % of outstanding Comcast Class A common stock is held by index funds. Because our Class A common stock may not be included in the Standard &amp; Poor’s 500 Index, and it may not be included in other stock indices at the time of the Separation, index funds currently holding shares of Comcast Class A common stock will likely be required to sell the shares of our Class A common stock they receive in the Separation. There may not be sufficient buying interest to offset sales by those index funds. Accordingly, our Class A common stock could experience a high level of volatility immediately following the Separation and, as a result, the price of our Class A common stock could be adversely affected.</w:t>
      </w:r>
    </w:p>
    <w:p>
      <w:pPr>
        <w:spacing w:after="0" w:line="293" w:lineRule="exact"/>
        <w:rPr>
          <w:sz w:val="20"/>
          <w:szCs w:val="20"/>
          <w:color w:val="auto"/>
        </w:rPr>
      </w:pPr>
    </w:p>
    <w:p>
      <w:pPr>
        <w:ind w:left="340"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our articles of incorporation and bylaws and certain provisions of Pennsylvania law could delay or prevent a change in control of Versant.</w:t>
      </w:r>
    </w:p>
    <w:p>
      <w:pPr>
        <w:spacing w:after="0" w:line="5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existence of certain provisions of our articles of incorporation and bylaws and Pennsylvania law could discourage, delay or prevent a change in control of Versant that a shareholder may consider favorable. These include provisions:</w:t>
      </w:r>
    </w:p>
    <w:p>
      <w:pPr>
        <w:spacing w:after="0" w:line="67" w:lineRule="exact"/>
        <w:rPr>
          <w:sz w:val="20"/>
          <w:szCs w:val="20"/>
          <w:color w:val="auto"/>
        </w:rPr>
      </w:pPr>
    </w:p>
    <w:p>
      <w:pPr>
        <w:ind w:left="1080" w:hanging="424"/>
        <w:spacing w:after="0"/>
        <w:tabs>
          <w:tab w:leader="none" w:pos="10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the right to our Board of Directors to issue one or more classes or series of preferred stock without shareholder approval;</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a large number of shares of stock that are not yet issued, which would allow our Board of Directors to issue shares to persons friendly to current management, thereby protecting the continuity of our management, or which could be used to dilute the stock ownership of persons seeking to obtain control of us;</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for a dual class common stock structure in which holders of shares of our Class B common stock will have substantial voting rights and separate approval rights over several potentially significant transactions;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shareholders from taking action by written consent; and</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and other requirements for nominations of candidates for election to our Board of Directors or for proposing matters that can be acted on by shareholders at the annual shareholder meetings.</w:t>
      </w:r>
    </w:p>
    <w:p>
      <w:pPr>
        <w:spacing w:after="0" w:line="162"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We believe these provisions will protect our shareholders from coercive or otherwise unfair takeover tactics by requiring potential acquirors to negotiate with our Board of Directors and by providing our Board of Directors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40"/>
          </w:cols>
          <w:pgMar w:left="320" w:top="455" w:right="439" w:bottom="1440" w:gutter="0" w:footer="0" w:header="0"/>
        </w:sectPr>
      </w:pPr>
    </w:p>
    <w:bookmarkStart w:id="821" w:name="page822"/>
    <w:bookmarkEnd w:id="8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with more time to assess any acquisition proposal. These provisions are not intended to make us immune from takeovers. However, these provisions apply even if a takeover offer may be considered beneficial by some shareholders and could delay or prevent an acquisition that our Board of Directors determines is not in our and our shareholders’ best interests. See “Description of Capital Stock.”</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ownership in Versant may be diluted in the future.</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the future, your percentage ownership in Versant may be diluted because of equity issuances for acquisitions, strategic investments, capital market transactions or otherwise, including equity awards that we may grant to our directors, officers, employees and other service providers. Our Compensation Committee is expected to grant additional equity awards to our employees after the Separation. These awards would have a dilutive effect on our earnings per share, which could adversely affect the market price of our Class A common stock. From time to time, we may issue additional equity awards to our employees or independent contractors under our employee compensation and benefit plans.</w:t>
      </w:r>
    </w:p>
    <w:p>
      <w:pPr>
        <w:spacing w:after="0" w:line="183"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our articles of incorporation authorize us to issue, without the approval of our shareholders, one or more classes or series of preferred stock having such designations, powers, preferences and relative, participating, optional and other rights, and such qualifications, limitations or restrictions as our Board of Directors generally may determine. The terms of one or more classes or series of preferred stock could dilute the voting power or reduce the value of our Class A common stock. For example, we could grant holders of preferred stock the right to elect some number of our directors in all events or on the happening of specified events or the right to veto specified transactions. Similarly, the repurchase or redemption rights or dividend, distribution or liquidation preferences we could assign to holders of preferred stock could affect the residual value of the Class A common stock. See “Description of Capital Stock—Preferred Stock.”</w:t>
      </w:r>
    </w:p>
    <w:p>
      <w:pPr>
        <w:spacing w:after="0" w:line="293" w:lineRule="exact"/>
        <w:rPr>
          <w:sz w:val="20"/>
          <w:szCs w:val="20"/>
          <w:color w:val="auto"/>
        </w:rPr>
      </w:pPr>
    </w:p>
    <w:p>
      <w:pPr>
        <w:ind w:left="34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is and will be subordinate to all of our existing and future indebtedness and any preferred stock, and effectively subordinated to all indebtedness and preferred equity claims against our subsidiaries.</w:t>
      </w:r>
    </w:p>
    <w:p>
      <w:pPr>
        <w:spacing w:after="0" w:line="51" w:lineRule="exact"/>
        <w:rPr>
          <w:sz w:val="20"/>
          <w:szCs w:val="20"/>
          <w:color w:val="auto"/>
        </w:rPr>
      </w:pPr>
    </w:p>
    <w:p>
      <w:pPr>
        <w:jc w:val="both"/>
        <w:ind w:left="120" w:right="260" w:firstLine="440"/>
        <w:spacing w:after="0" w:line="257" w:lineRule="auto"/>
        <w:rPr>
          <w:sz w:val="20"/>
          <w:szCs w:val="20"/>
          <w:color w:val="auto"/>
        </w:rPr>
      </w:pPr>
      <w:r>
        <w:rPr>
          <w:rFonts w:ascii="Times New Roman" w:cs="Times New Roman" w:eastAsia="Times New Roman" w:hAnsi="Times New Roman"/>
          <w:sz w:val="18"/>
          <w:szCs w:val="18"/>
          <w:color w:val="auto"/>
        </w:rPr>
        <w:t>Shares of our common stock are common equity interests in us and, as such, will rank junior to all of our existing and future indebtedness and other liabilities. Additionally, holders of our common stock may become subject to the prior dividend and liquidation rights of holders of any class or series of preferred stock that our Board of Directors may designate and issue without any action on the part of the holders of our common stock.</w:t>
      </w:r>
    </w:p>
    <w:p>
      <w:pPr>
        <w:spacing w:after="0" w:line="1" w:lineRule="exact"/>
        <w:rPr>
          <w:sz w:val="20"/>
          <w:szCs w:val="20"/>
          <w:color w:val="auto"/>
        </w:rPr>
      </w:pPr>
    </w:p>
    <w:p>
      <w:pPr>
        <w:ind w:left="120" w:right="40"/>
        <w:spacing w:after="0" w:line="260" w:lineRule="auto"/>
        <w:rPr>
          <w:sz w:val="20"/>
          <w:szCs w:val="20"/>
          <w:color w:val="auto"/>
        </w:rPr>
      </w:pPr>
      <w:r>
        <w:rPr>
          <w:rFonts w:ascii="Times New Roman" w:cs="Times New Roman" w:eastAsia="Times New Roman" w:hAnsi="Times New Roman"/>
          <w:sz w:val="18"/>
          <w:szCs w:val="18"/>
          <w:color w:val="auto"/>
        </w:rPr>
        <w:t>Furthermore, our right to participate in a distribution of assets upon any of our subsidiaries’ liquidation or reorganization is subject to the prior claims of that subsidiary’s creditors and preferred shareholders.</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 cannot assure you that our Board will declare dividends in the foreseeable future.</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declaration and amount of any dividends to holders of our common stock will be at the discretion of our Board of Directors and will depend upon many factors, including our financial condition, earnings, cash flows, capital requirements of our business, covenants associated with our debt obligations, legal requirements, regulatory constraints, industry practice and any other factors the Board of Directors deems relevant. We may incur expenses or liabilities or be subject to other circumstances in the future that reduce or eliminate the amount of cash that we have available for distribution as dividends, including as a result of the risks described herein.</w:t>
      </w:r>
    </w:p>
    <w:p>
      <w:pPr>
        <w:spacing w:after="0" w:line="287" w:lineRule="exact"/>
        <w:rPr>
          <w:sz w:val="20"/>
          <w:szCs w:val="20"/>
          <w:color w:val="auto"/>
        </w:rPr>
      </w:pPr>
    </w:p>
    <w:p>
      <w:pPr>
        <w:jc w:val="both"/>
        <w:ind w:left="340"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Class B common stock will have substantial voting rights and separate approval rights over certain potentially material transactions, and Brian L. Roberts, the Chairman and CEO of Comcast, will have considerable influence over Versant through his beneficial ownership of our Class B common stock.</w:t>
      </w:r>
    </w:p>
    <w:p>
      <w:pPr>
        <w:spacing w:after="0" w:line="67"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Our Class B common stock will have a non-dilutable 33 1/3% of the combined voting power of our Class A and Class B common stock. This non-dilutable voting power will be subject to proportional decrease to the extent the number of shares of Class B common stock is reduced below 9,444,375 (which was the number of shares of</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20"/>
          </w:cols>
          <w:pgMar w:left="320" w:top="455" w:right="459" w:bottom="1440" w:gutter="0" w:footer="0" w:header="0"/>
        </w:sectPr>
      </w:pPr>
    </w:p>
    <w:bookmarkStart w:id="822" w:name="page823"/>
    <w:bookmarkEnd w:id="8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Comcast Class B common stock outstanding on the date of Comcast’s 2002 acquisition of AT&amp;T Corp.’s cable business) multiplied by the Distribution Ratio, subject to adjustment in specified situations. Stock dividends payable on the Class B common stock in the form of Class B or Class A common stock do not decrease the non-dilutable voting power of the Class B common stock. The Class B common stock also will have separate approval rights over several potentially material transactions, even if they are approved by our Board of Directors or by our other shareholders and even if they might be in the best interests of our other shareholders. These potentially material transactions include mergers or consolidations, transactions (such as a sale of all or substantially all of our assets) or issuances of securities that require shareholder approval, transactions that result in any person or group owning shares representing more than 10% of the combined voting power of the resulting or surviving corporation, issuances of Class B common stock or securities exercisable or convertible into Class B common stock, and amendments to our articles of incorporation or bylaws that would limit the rights of holders of our Class B common stock. Following the Separation, Brian L. Roberts, the Chairman and CEO of Comcast, will beneficially own all of the outstanding shares of our Class B common stock and, accordingly, have considerable influence over Versant and the potential ability to transfer effective control by selling the Class B common stock, which could be at a premium. Mr. Roberts also owns all of the outstanding shares of Comcast Class B common stock and has considerable influence over Comcast. As a result, his interests could in certain cases conflict with ours and those of our other shareholders.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823" w:name="page824"/>
    <w:bookmarkEnd w:id="8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SEPARATION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On November 20, 2024, Comcast announced a plan to distribute to Comcast’s shareholders all of the shares of common stock of a newly formed company, Versant, that would hold the Spin Business. Versant is currently a wholly owned subsidiary of Comcast that, after giving effect to the Transactions, will hold, directly or indirectly through its subsidiaries, the assets, liabilities and legal entities comprising the Spin Business.</w:t>
      </w:r>
    </w:p>
    <w:p>
      <w:pPr>
        <w:spacing w:after="0" w:line="176" w:lineRule="exact"/>
        <w:rPr>
          <w:sz w:val="20"/>
          <w:szCs w:val="20"/>
          <w:color w:val="auto"/>
        </w:rPr>
      </w:pPr>
    </w:p>
    <w:p>
      <w:pPr>
        <w:jc w:val="both"/>
        <w:ind w:left="120" w:right="60" w:firstLine="440"/>
        <w:spacing w:after="0" w:line="270" w:lineRule="auto"/>
        <w:rPr>
          <w:sz w:val="20"/>
          <w:szCs w:val="20"/>
          <w:color w:val="auto"/>
        </w:rPr>
      </w:pPr>
      <w:r>
        <w:rPr>
          <w:rFonts w:ascii="Times New Roman" w:cs="Times New Roman" w:eastAsia="Times New Roman" w:hAnsi="Times New Roman"/>
          <w:sz w:val="17"/>
          <w:szCs w:val="17"/>
          <w:color w:val="auto"/>
        </w:rPr>
        <w:t xml:space="preserve">The Separation will be achieved through the transfer of the assets and liabilities comprising the Spin Business to Versant or its subsidiaries in the Transactions. After the Transactions are consummated, all of the shares of Versant Class A common stock and Versant Class B common stock owned by Comcast will be distributed to the holders of Comcast Class A common stock and holders of Comcast Class B common stock of record, respectively, as of the close of business on the record date of         , 2025. Each of Comcast’s shareholders as of the record date will be entitled to receive       </w:t>
      </w:r>
    </w:p>
    <w:p>
      <w:pPr>
        <w:spacing w:after="0" w:line="3"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share(s) of Versant Class A common stock or Versant Class B common stock for every        share(s) of Comcast Class A common stock or Comcast Class B common stock, respectively, held by such shareholder on the record date. Immediately following the Separation, holders of Comcast common stock prior to the Distribution will own 100% of the issued and outstanding shares of Versant common stock.</w:t>
      </w:r>
    </w:p>
    <w:p>
      <w:pPr>
        <w:spacing w:after="0" w:line="186" w:lineRule="exact"/>
        <w:rPr>
          <w:sz w:val="20"/>
          <w:szCs w:val="20"/>
          <w:color w:val="auto"/>
        </w:rPr>
      </w:pPr>
    </w:p>
    <w:p>
      <w:pPr>
        <w:ind w:left="120" w:right="160" w:firstLine="440"/>
        <w:spacing w:after="0" w:line="281" w:lineRule="auto"/>
        <w:rPr>
          <w:sz w:val="20"/>
          <w:szCs w:val="20"/>
          <w:color w:val="auto"/>
        </w:rPr>
      </w:pPr>
      <w:r>
        <w:rPr>
          <w:rFonts w:ascii="Times New Roman" w:cs="Times New Roman" w:eastAsia="Times New Roman" w:hAnsi="Times New Roman"/>
          <w:sz w:val="17"/>
          <w:szCs w:val="17"/>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after the Separation. In addition to the Separation and Distribution Agreement, the other principal agreements to be entered into with Comcast include:</w:t>
      </w:r>
    </w:p>
    <w:p>
      <w:pPr>
        <w:spacing w:after="0" w:line="70" w:lineRule="exact"/>
        <w:rPr>
          <w:sz w:val="20"/>
          <w:szCs w:val="20"/>
          <w:color w:val="auto"/>
        </w:rPr>
      </w:pPr>
    </w:p>
    <w:p>
      <w:pPr>
        <w:ind w:left="1080" w:hanging="424"/>
        <w:spacing w:after="0"/>
        <w:tabs>
          <w:tab w:leader="none" w:pos="1080"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other commercial arrangements.</w:t>
      </w:r>
    </w:p>
    <w:p>
      <w:pPr>
        <w:spacing w:after="0" w:line="225" w:lineRule="exact"/>
        <w:rPr>
          <w:sz w:val="20"/>
          <w:szCs w:val="20"/>
          <w:color w:val="auto"/>
        </w:rPr>
      </w:pPr>
    </w:p>
    <w:p>
      <w:pPr>
        <w:jc w:val="both"/>
        <w:ind w:left="120" w:right="640" w:firstLine="440"/>
        <w:spacing w:after="0" w:line="266" w:lineRule="auto"/>
        <w:rPr>
          <w:sz w:val="20"/>
          <w:szCs w:val="20"/>
          <w:color w:val="auto"/>
        </w:rPr>
      </w:pPr>
      <w:r>
        <w:rPr>
          <w:rFonts w:ascii="Times New Roman" w:cs="Times New Roman" w:eastAsia="Times New Roman" w:hAnsi="Times New Roman"/>
          <w:sz w:val="18"/>
          <w:szCs w:val="18"/>
          <w:color w:val="auto"/>
        </w:rPr>
        <w:t>The Separation as described in this information statement is subject to the satisfaction or waiver of certain conditions. For a more detailed description of these conditions, see “—Conditions to the Distribution” below. We cannot provide any assurances that Comcast will complete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Reasons for the Separation</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Comcast Board believes separating the Spin Business from Comcast’s other businesses is in the best interests of Comcast and its shareholders and that the Separation will provide Comcast and Versant with a number of potential opportunities and benefits, including the following:</w:t>
      </w:r>
    </w:p>
    <w:p>
      <w:pPr>
        <w:spacing w:after="0" w:line="63" w:lineRule="exact"/>
        <w:rPr>
          <w:sz w:val="20"/>
          <w:szCs w:val="20"/>
          <w:color w:val="auto"/>
        </w:rPr>
      </w:pPr>
    </w:p>
    <w:p>
      <w:pPr>
        <w:ind w:left="1080" w:hanging="424"/>
        <w:spacing w:after="0" w:line="257" w:lineRule="auto"/>
        <w:tabs>
          <w:tab w:leader="none" w:pos="1080" w:val="left"/>
        </w:tabs>
        <w:numPr>
          <w:ilvl w:val="0"/>
          <w:numId w:val="1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Strategic Focus</w:t>
      </w:r>
      <w:r>
        <w:rPr>
          <w:rFonts w:ascii="Times New Roman" w:cs="Times New Roman" w:eastAsia="Times New Roman" w:hAnsi="Times New Roman"/>
          <w:sz w:val="18"/>
          <w:szCs w:val="18"/>
          <w:color w:val="auto"/>
        </w:rPr>
        <w:t>. The Separation will permit each company to focus its strategy on unique sectors in the changing media landscape. Versant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seek to harness its business comprised of certain networks and complementary digital platforms to provide differentiated news, sports and entertainment content and services. As a global media and technology company, Comcast will be well-positioned to continue to invest in its strategic core growth businesses, including residential broadband, wireless, business services, streaming, studios and theme parks. The Separation will allow each of the resulting companies to focus on different areas of the media industry and, as a result, we believe each company will be able to prioritize its unique areas of strength.</w:t>
      </w:r>
    </w:p>
    <w:p>
      <w:pPr>
        <w:spacing w:after="0" w:line="87" w:lineRule="exact"/>
        <w:rPr>
          <w:rFonts w:ascii="Times New Roman" w:cs="Times New Roman" w:eastAsia="Times New Roman" w:hAnsi="Times New Roman"/>
          <w:sz w:val="18"/>
          <w:szCs w:val="18"/>
          <w:color w:val="auto"/>
        </w:rPr>
      </w:pPr>
    </w:p>
    <w:p>
      <w:pPr>
        <w:ind w:left="1080" w:right="280" w:hanging="424"/>
        <w:spacing w:after="0" w:line="286" w:lineRule="auto"/>
        <w:tabs>
          <w:tab w:leader="none" w:pos="1080" w:val="left"/>
        </w:tabs>
        <w:numPr>
          <w:ilvl w:val="0"/>
          <w:numId w:val="1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Resource Allocation and Capital Deployment</w:t>
      </w:r>
      <w:r>
        <w:rPr>
          <w:rFonts w:ascii="Times New Roman" w:cs="Times New Roman" w:eastAsia="Times New Roman" w:hAnsi="Times New Roman"/>
          <w:sz w:val="18"/>
          <w:szCs w:val="18"/>
          <w:color w:val="auto"/>
        </w:rPr>
        <w:t>. As an independent company, Versant will be better positioned to serve its audiences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drive shareholder returns. The Spin Business generated</w:t>
      </w:r>
    </w:p>
    <w:p>
      <w:pPr>
        <w:spacing w:after="0" w:line="9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40"/>
          </w:cols>
          <w:pgMar w:left="320" w:top="455" w:right="439" w:bottom="1440" w:gutter="0" w:footer="0" w:header="0"/>
        </w:sectPr>
      </w:pPr>
    </w:p>
    <w:bookmarkStart w:id="824" w:name="page825"/>
    <w:bookmarkEnd w:id="8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0"/>
        <w:spacing w:after="0" w:line="254" w:lineRule="auto"/>
        <w:rPr>
          <w:sz w:val="20"/>
          <w:szCs w:val="20"/>
          <w:color w:val="auto"/>
        </w:rPr>
      </w:pPr>
      <w:r>
        <w:rPr>
          <w:rFonts w:ascii="Times New Roman" w:cs="Times New Roman" w:eastAsia="Times New Roman" w:hAnsi="Times New Roman"/>
          <w:sz w:val="18"/>
          <w:szCs w:val="18"/>
          <w:color w:val="auto"/>
        </w:rPr>
        <w:t>approximately $7.1 billion of revenue during the year ended December 31, 2024. Following the Separation, Versant will benefit from financial and strategic flexibility as well as the ability to use its cash flow and securities to evaluate and effect value enhancing opportunities, including acquisitions, partnerships and organic investment. Versant will also have a well-capitalized balance sheet and the capacity for an attractive capital return policy to drive shareholder value. We believe the ability to focus investment of resources to align with the specific strategic focus of each of Versant and Comcast will position both companies for success. In particular, the strategic flexibility that Versant will have as an independent company is designed to enable Versant to better navigate industry dynamics specific to the markets in which it operates, including technological advances, evolving consumer preferences, changes in how audiences are consuming content, and demand for new, complementary services. See “Management’s Discussion and Analysis of Financial Condition and Results of Operation—Key Factors Affecting Our Business.”</w:t>
      </w:r>
    </w:p>
    <w:p>
      <w:pPr>
        <w:spacing w:after="0" w:line="90" w:lineRule="exact"/>
        <w:rPr>
          <w:sz w:val="20"/>
          <w:szCs w:val="20"/>
          <w:color w:val="auto"/>
        </w:rPr>
      </w:pPr>
    </w:p>
    <w:p>
      <w:pPr>
        <w:ind w:left="1080" w:right="80" w:hanging="424"/>
        <w:spacing w:after="0" w:line="259" w:lineRule="auto"/>
        <w:tabs>
          <w:tab w:leader="none" w:pos="1080"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Management and Employee Incentives</w:t>
      </w:r>
      <w:r>
        <w:rPr>
          <w:rFonts w:ascii="Times New Roman" w:cs="Times New Roman" w:eastAsia="Times New Roman" w:hAnsi="Times New Roman"/>
          <w:sz w:val="18"/>
          <w:szCs w:val="18"/>
          <w:color w:val="auto"/>
        </w:rPr>
        <w:t>. Versant will be led by an experienced, well-respected and dedicated management team with deep</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sector expertise and a dedicated Board. Meanwhile, each company will be able to better incentivize, attract and retain key employees by designing incentive programs that are closely tied to the performance of each company’s business. The Separation allows such incentive programs to be focused on the core strategies of each company, encouraging management and employees toward executing on the key drivers of success for the specific businesses.</w:t>
      </w:r>
    </w:p>
    <w:p>
      <w:pPr>
        <w:spacing w:after="0" w:line="84" w:lineRule="exact"/>
        <w:rPr>
          <w:rFonts w:ascii="Times New Roman" w:cs="Times New Roman" w:eastAsia="Times New Roman" w:hAnsi="Times New Roman"/>
          <w:sz w:val="18"/>
          <w:szCs w:val="18"/>
          <w:color w:val="auto"/>
        </w:rPr>
      </w:pPr>
    </w:p>
    <w:p>
      <w:pPr>
        <w:ind w:left="1080" w:hanging="424"/>
        <w:spacing w:after="0" w:line="257" w:lineRule="auto"/>
        <w:tabs>
          <w:tab w:leader="none" w:pos="1080"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Investor Choice and Value Creation</w:t>
      </w:r>
      <w:r>
        <w:rPr>
          <w:rFonts w:ascii="Times New Roman" w:cs="Times New Roman" w:eastAsia="Times New Roman" w:hAnsi="Times New Roman"/>
          <w:sz w:val="18"/>
          <w:szCs w:val="18"/>
          <w:color w:val="auto"/>
        </w:rPr>
        <w:t>. The Separation permits investors to value each company based on their distinct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characteristics and make more targeted investment decisions based on those characteristics. Investors will be provided with a more targeted investment opportunity so that investors interested in the business of Versant and its strategies, such as capital deployment, will have the opportunity to increase their ownership thereof directly by purchasing its Class A common stock. This differentiated investment profile will also provide investors with the opportunity to assess the evolving market environment and dynamics in the media and entertainment industry, which continue to reshape the competitive landscape and create distinct investment opportunities for Versant.</w:t>
      </w:r>
    </w:p>
    <w:p>
      <w:pPr>
        <w:spacing w:after="0" w:line="186" w:lineRule="exact"/>
        <w:rPr>
          <w:sz w:val="20"/>
          <w:szCs w:val="20"/>
          <w:color w:val="auto"/>
        </w:rPr>
      </w:pPr>
    </w:p>
    <w:p>
      <w:pPr>
        <w:ind w:left="120" w:right="60" w:firstLine="440"/>
        <w:spacing w:after="0" w:line="273" w:lineRule="auto"/>
        <w:rPr>
          <w:sz w:val="20"/>
          <w:szCs w:val="20"/>
          <w:color w:val="auto"/>
        </w:rPr>
      </w:pPr>
      <w:r>
        <w:rPr>
          <w:rFonts w:ascii="Times New Roman" w:cs="Times New Roman" w:eastAsia="Times New Roman" w:hAnsi="Times New Roman"/>
          <w:sz w:val="17"/>
          <w:szCs w:val="17"/>
          <w:color w:val="auto"/>
        </w:rPr>
        <w:t>While a number of potential costs and risks were also considered, including, among others, risks relating to the creation of a new public company, the increased costs from operating as a separate public company, potential volatility in our stock price immediately following the Distribution due to sales by Comcast’s shareholders whose investment objectives may not be met by our common stock, the time it may take for us to attract our optimal shareholder base, potential disruptions to each business, failure to retain existing customers and realize growth potential, the loss of synergies and scale, increased administrative costs, one-time separation costs, the fact that each company will be less diversified following the Separation, and the potential inability to realize the anticipated benefits of the Separation, it was nevertheless determined that the potential benefits of the Separation outweighed the potential costs and risks in connection therewith and provided the best opportunity to achieve the above benefits and enhance shareholder value.</w:t>
      </w:r>
    </w:p>
    <w:p>
      <w:pPr>
        <w:spacing w:after="0" w:line="171"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The financial terms of the Separation, including the new indebtedness incurred and expected to be incurred by Versant or entities that are, or will become, prior to the completion of the Separation, subsidiaries of Versant, has been, or will be, determined by the Comcast Board based on a variety of factors, including establishing an appropriate pro forma capitalization for Versant as a standalone company considering the historical earnings of the Spin Business and the level of indebtedness relative to earnings of various comparable companies. A portion of the proceeds from the Versant indebtedness is expected to be used to make the Special Cash Payment of approximately $2.25 billion to Comcast as consideration for the contribution of Versant assets and such payment is expected be used by Comcast to repay existing Comcast indebtedness.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Fractional Shares</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distribution agent will not distribute any fractional shares of our common stock to Comcast shareholders. Instead, as soon as practicable on or after the Distribution Date, the distribution agent will</w:t>
      </w:r>
    </w:p>
    <w:p>
      <w:pPr>
        <w:ind w:left="120"/>
        <w:spacing w:after="0"/>
        <w:rPr>
          <w:sz w:val="20"/>
          <w:szCs w:val="20"/>
          <w:color w:val="auto"/>
        </w:rPr>
      </w:pPr>
      <w:r>
        <w:rPr>
          <w:rFonts w:ascii="Times New Roman" w:cs="Times New Roman" w:eastAsia="Times New Roman" w:hAnsi="Times New Roman"/>
          <w:sz w:val="18"/>
          <w:szCs w:val="18"/>
          <w:color w:val="auto"/>
        </w:rPr>
        <w:t>aggregate fractional shares of Versant Class A common stock into whole shares, sell the whole shares (or cause</w:t>
      </w:r>
    </w:p>
    <w:p>
      <w:pPr>
        <w:spacing w:after="0" w:line="13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825" w:name="page826"/>
    <w:bookmarkEnd w:id="8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whole shares to be sold) in the open market at prevailing prices and distribute the net cash proceeds, after deducting any applicable taxes, brokerage charges and commissions, on a pro-rata basis to each holder who would otherwise have been entitled to receive a fractional share in the Distribution. The distribution agent will, in its sole discretion, without any influence by Comcast or us, determine when, how, through which broker-dealers and at what price to sell the whole shares.</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Each registered holder of Comcast common stock entitled to a fractional share will receive a check in the cash amount deliverable in lieu of that holder’s fractional share as soon as practicable following the Distribution Date. We expect the distribution agent to take approximately two weeks after the Distribution Date to complete the distribution of cash in lieu of fractional shares to holders of Comcast Class A common stock. If a holder holds shares through a bank, broker, or other nominee, the bank, broker, or nominee will receive, on the holder’s behalf, a pro rata share of the aggregate net cash proceeds of the sales. Recipients of cash in lieu of fractional shares of Versant common stock will not be entitled to any minimum sale price for the fractional shares or to any interest on the amounts of payments made in lieu of fractional shares. The receipt of cash in lieu of fractional shares generally will be taxable to the recipient shareholders for U.S. federal income tax purposes as described below in “The Separation—Material U.S. Federal Income Tax Consequences of the Distribution—The Distribution.”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When and How You Will Receive the Distribution of Versant Shares</w:t>
      </w:r>
    </w:p>
    <w:p>
      <w:pPr>
        <w:spacing w:after="0" w:line="121"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will distribute the shares of our common stock on        , 2026 to holders of record as of the close of business on the record date for the Distribution. The Distribution is expected to be completed following the market closing on the Distribution Date. Comcast’s transfer agent and registrar, Equiniti Trust Company, LLC, will serve as transfer agent and registrar for the Versant Class A common stock and as distribution agent in connection with the Distribution with respect to the Versant Class A common stock.</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If you own Comcast Class A common stock or Comcast Class B common stock as of the close of business on the record date for the Distribution, the shares of Versant Class A common stock or Versant Class B common stock that you are entitled to receive in the Distribution, respectively, will be issued, as of the Distribution Date, as follows:</w:t>
      </w:r>
    </w:p>
    <w:p>
      <w:pPr>
        <w:spacing w:after="0" w:line="77" w:lineRule="exact"/>
        <w:rPr>
          <w:sz w:val="20"/>
          <w:szCs w:val="20"/>
          <w:color w:val="auto"/>
        </w:rPr>
      </w:pPr>
    </w:p>
    <w:p>
      <w:pPr>
        <w:ind w:left="1080" w:right="200" w:hanging="424"/>
        <w:spacing w:after="0" w:line="262" w:lineRule="auto"/>
        <w:tabs>
          <w:tab w:leader="none" w:pos="1080" w:val="left"/>
        </w:tabs>
        <w:numPr>
          <w:ilvl w:val="0"/>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Registered Shareholders</w:t>
      </w:r>
      <w:r>
        <w:rPr>
          <w:rFonts w:ascii="Times New Roman" w:cs="Times New Roman" w:eastAsia="Times New Roman" w:hAnsi="Times New Roman"/>
          <w:sz w:val="18"/>
          <w:szCs w:val="18"/>
          <w:color w:val="auto"/>
        </w:rPr>
        <w:t>. If you own your shares of Comcast Class A common stock directly in book-entry form through an account 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Equiniti, you will receive your shares of Versant Class A common stock by way of direct registration in book-entry form. Registration in book-entry form is a method of recording stock ownership when no physical paper share certificates are issued to shareholders, as is the case with respect to the Versant Class A common stock that will be distributed as part of the Distribution.</w:t>
      </w:r>
    </w:p>
    <w:p>
      <w:pPr>
        <w:spacing w:after="0" w:line="72" w:lineRule="exact"/>
        <w:rPr>
          <w:rFonts w:ascii="Times New Roman" w:cs="Times New Roman" w:eastAsia="Times New Roman" w:hAnsi="Times New Roman"/>
          <w:sz w:val="18"/>
          <w:szCs w:val="18"/>
          <w:color w:val="auto"/>
        </w:rPr>
      </w:pPr>
    </w:p>
    <w:p>
      <w:pPr>
        <w:ind w:left="11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shortly after the Distribution Date, the distribution agent will mail to you an account statement that indicates the number of shares of Versant Class A common stock that have been registered in book-entry form in your name.</w:t>
      </w:r>
    </w:p>
    <w:p>
      <w:pPr>
        <w:spacing w:after="0" w:line="53" w:lineRule="exact"/>
        <w:rPr>
          <w:rFonts w:ascii="Times New Roman" w:cs="Times New Roman" w:eastAsia="Times New Roman" w:hAnsi="Times New Roman"/>
          <w:sz w:val="18"/>
          <w:szCs w:val="18"/>
          <w:color w:val="auto"/>
        </w:rPr>
      </w:pPr>
    </w:p>
    <w:p>
      <w:pPr>
        <w:ind w:left="1100" w:right="2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A common stock having any questions concerning the mechanics of having shares of our common stock registered in book-entry form may contact Equiniti at the address set forth in “Summary—Questions and Answers About the Separation” in this information statement.</w:t>
      </w:r>
    </w:p>
    <w:p>
      <w:pPr>
        <w:spacing w:after="0" w:line="67" w:lineRule="exact"/>
        <w:rPr>
          <w:rFonts w:ascii="Times New Roman" w:cs="Times New Roman" w:eastAsia="Times New Roman" w:hAnsi="Times New Roman"/>
          <w:sz w:val="18"/>
          <w:szCs w:val="18"/>
          <w:color w:val="auto"/>
        </w:rPr>
      </w:pPr>
    </w:p>
    <w:p>
      <w:pPr>
        <w:ind w:left="1100" w:right="3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Registered holders of Comcast Class B common stock will be issued share certificates representing shares of Versant Class B common stock that such holders are entitled to receive.</w:t>
      </w:r>
    </w:p>
    <w:p>
      <w:pPr>
        <w:spacing w:after="0" w:line="63" w:lineRule="exact"/>
        <w:rPr>
          <w:rFonts w:ascii="Times New Roman" w:cs="Times New Roman" w:eastAsia="Times New Roman" w:hAnsi="Times New Roman"/>
          <w:sz w:val="18"/>
          <w:szCs w:val="18"/>
          <w:color w:val="auto"/>
        </w:rPr>
      </w:pPr>
    </w:p>
    <w:p>
      <w:pPr>
        <w:ind w:left="1080" w:right="80" w:hanging="424"/>
        <w:spacing w:after="0" w:line="259" w:lineRule="auto"/>
        <w:tabs>
          <w:tab w:leader="none" w:pos="1080" w:val="left"/>
        </w:tabs>
        <w:numPr>
          <w:ilvl w:val="0"/>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Beneficial Shareholders</w:t>
      </w:r>
      <w:r>
        <w:rPr>
          <w:rFonts w:ascii="Times New Roman" w:cs="Times New Roman" w:eastAsia="Times New Roman" w:hAnsi="Times New Roman"/>
          <w:sz w:val="18"/>
          <w:szCs w:val="18"/>
          <w:color w:val="auto"/>
        </w:rPr>
        <w:t>. Many Comcast shareholders hold their shares of Comcast Class A common stock beneficially through a bank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brokerage firm. In such cases, the bank or brokerage firm would be said to hold the stock in “street name” and ownership would be recorded on the bank or brokerage firm’s books. If you hold your Comcast Class A common stock through a bank or brokerage firm, your bank or brokerage firm will credit your account for the shares of Versant Class A common stock that you are entitled to receive in the Distribution. If you have any questions concerning the mechanics of</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20"/>
          </w:cols>
          <w:pgMar w:left="320" w:top="455" w:right="459" w:bottom="1440" w:gutter="0" w:footer="0" w:header="0"/>
        </w:sectPr>
      </w:pPr>
    </w:p>
    <w:bookmarkStart w:id="826" w:name="page827"/>
    <w:bookmarkEnd w:id="8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having shares of Versant Class A common stock held in “street name,” we encourage you to contact your bank or brokerage firm.</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Treatment of Outstanding Equity Compensation Awards</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will generally be equitably adjusted in accordance with the terms of the Comcast equity incentive plans. For details on the equitable adjustments intended to be made to Comcast Equity Awards in connection with Separation (including the related adjustment methodologies), see “Compensation Discussion and Analysis—Equity Compensation—Treatment of Equity Awards Upon Separation.”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the Separation</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After the Separation, we will be an independent, publicly traded company that directly or indirectly holds the assets and liabilities comprising the Spin Business. Upon completion of the Separation, we estimate that we will have outstanding an aggregate of approximately        shares of our</w:t>
      </w:r>
    </w:p>
    <w:p>
      <w:pPr>
        <w:ind w:left="120" w:right="100"/>
        <w:spacing w:after="0" w:line="250" w:lineRule="auto"/>
        <w:rPr>
          <w:sz w:val="20"/>
          <w:szCs w:val="20"/>
          <w:color w:val="auto"/>
        </w:rPr>
      </w:pPr>
      <w:r>
        <w:rPr>
          <w:rFonts w:ascii="Times New Roman" w:cs="Times New Roman" w:eastAsia="Times New Roman" w:hAnsi="Times New Roman"/>
          <w:sz w:val="18"/>
          <w:szCs w:val="18"/>
          <w:color w:val="auto"/>
        </w:rPr>
        <w:t>Class A common stock and       shares of our Class B common stock (based on        shares of Comcast Class A common stock and         shares of Comcast Class B common stock outstanding on        , 2025). Additionally, we expect to have approximately        Class A shareholders of record and        Class B shareholders of record, based on the number of registered shareholders of Comcast Class A common stock</w:t>
      </w:r>
    </w:p>
    <w:p>
      <w:pPr>
        <w:spacing w:after="0" w:line="1" w:lineRule="exact"/>
        <w:rPr>
          <w:sz w:val="20"/>
          <w:szCs w:val="20"/>
          <w:color w:val="auto"/>
        </w:rPr>
      </w:pPr>
    </w:p>
    <w:p>
      <w:pPr>
        <w:ind w:left="120" w:right="140"/>
        <w:spacing w:after="0" w:line="260" w:lineRule="auto"/>
        <w:rPr>
          <w:sz w:val="20"/>
          <w:szCs w:val="20"/>
          <w:color w:val="auto"/>
        </w:rPr>
      </w:pPr>
      <w:r>
        <w:rPr>
          <w:rFonts w:ascii="Times New Roman" w:cs="Times New Roman" w:eastAsia="Times New Roman" w:hAnsi="Times New Roman"/>
          <w:sz w:val="18"/>
          <w:szCs w:val="18"/>
          <w:color w:val="auto"/>
        </w:rPr>
        <w:t>and Comcast Class B common stock outstanding, respectively, on        , 2025. The actual number of shares to be distributed will be determined on the record date.</w:t>
      </w:r>
    </w:p>
    <w:p>
      <w:pPr>
        <w:spacing w:after="0" w:line="18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Before the completion of the Separation, we will enter into a Separation and Distribution Agreement and several other agreements with Comcast to effect the Separation and provide a framework for our relationship with Comcast after the Separation. These agreements will provide for the allocation of assets, liabilities and obligations subsequent to the Separation between Versant and Comcast (including with respect to transition services, employee matters, tax matters, intellectual property matters and certain commercial arrangements). For a more detailed description of these agreements, see “ —Agreements with Comcast” below. The Separation will not affect the number of outstanding shares of Comcast common stock or any rights of Comcast shareholders.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Incurrence of Debt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On October 3, 2025, we entered into the TLA/Revolver Credit Agreement with respect to (i) the $1.0 billion Term A Loan Facility and (ii) the $750 million Revolving Credit Facility and on October 29, 2025, we entered into the Indenture with respect to $1.0 billion aggregate principal amount of the Notes. We also intend to enter into the TLB Credit Agreement with respect to the $1.0 billion Term B Loan Facility. We intend to use a portion of the proceeds of such indebtedness to make the Special Cash Payment of approximately $2.25 billion to Comcast as consideration for assets that will be contributed to us in connection with the Separation, with the remainder being used for general corporate purposes. See “Description of Material Indebtedness.”</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Following the Separation, our debt obligations could restrict our business and may adversely impact our financial condition, results of operations or cash flows. In addition, the Separation may increase the overall cost of debt funding and decrease the overall debt capacity and commercial credit available to us. Also, our business, financial condition, results of operations and cash flows could be harmed by a deterioration of our credit profile or by factors adversely affecting the credit markets generally. See “Risk Factors—Spin-Related Risk Factor— In anticipation of the Separation, we entered into the TLA/Revolver Credit Agreement and the Indenture and we intend to enter into the TLB Credit Agreement, each of which could restrict our business and adversely impact our results of operations, financial condition or cash flows.”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of the Distribution</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The following is a discussion of the material U.S. federal income tax consequences of the Distribution to U.S. Holders (as defined below) of Comcast common stock. This discussion is based on the Code, applicable</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20"/>
          </w:cols>
          <w:pgMar w:left="320" w:top="455" w:right="459" w:bottom="1440" w:gutter="0" w:footer="0" w:header="0"/>
        </w:sectPr>
      </w:pPr>
    </w:p>
    <w:bookmarkStart w:id="827" w:name="page828"/>
    <w:bookmarkEnd w:id="8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Treasury regulations, administrative interpretations and court decisions as in effect as of the date of this information statement, all of which may change, possibly with retroactive effect. For purposes of this discussion, a “U.S. Holder” is a beneficial owner of Comcast common stock that is for U.S. federal income tax purposes:</w:t>
      </w:r>
    </w:p>
    <w:p>
      <w:pPr>
        <w:spacing w:after="0" w:line="81" w:lineRule="exact"/>
        <w:rPr>
          <w:sz w:val="20"/>
          <w:szCs w:val="20"/>
          <w:color w:val="auto"/>
        </w:rPr>
      </w:pPr>
    </w:p>
    <w:p>
      <w:pPr>
        <w:ind w:left="1080" w:hanging="424"/>
        <w:spacing w:after="0"/>
        <w:tabs>
          <w:tab w:leader="none" w:pos="1080" w:val="left"/>
        </w:tabs>
        <w:numPr>
          <w:ilvl w:val="0"/>
          <w:numId w:val="1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citizen or resident of the U.S.;</w:t>
      </w:r>
    </w:p>
    <w:p>
      <w:pPr>
        <w:spacing w:after="0" w:line="130"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1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U.S., any state therein or the District of Columbia;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or trust the income of which is subject to U.S. federal income taxation regardless of its source.</w:t>
      </w:r>
    </w:p>
    <w:p>
      <w:pPr>
        <w:spacing w:after="0" w:line="225"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This discussion addresses only the consequences of the Distribution to U.S. Holders that hold Comcast common stock as a capital asset. It does not address all aspects of U.S. federal income taxation that may be important to a U.S. Holder in light of that shareholder’s particular circumstances or to a U.S. Holder subject to special rules, such as:</w:t>
      </w:r>
    </w:p>
    <w:p>
      <w:pPr>
        <w:spacing w:after="0" w:line="81" w:lineRule="exact"/>
        <w:rPr>
          <w:sz w:val="20"/>
          <w:szCs w:val="20"/>
          <w:color w:val="auto"/>
        </w:rPr>
      </w:pPr>
    </w:p>
    <w:p>
      <w:pPr>
        <w:ind w:left="1080" w:hanging="424"/>
        <w:spacing w:after="0"/>
        <w:tabs>
          <w:tab w:leader="none" w:pos="1080"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financial institution, regulated investment company or insurance company;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tax-exempt organization;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dealer or broker in securities, commodities or foreign currencies;</w:t>
      </w:r>
    </w:p>
    <w:p>
      <w:pPr>
        <w:spacing w:after="0" w:line="130"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as part of a hedge, appreciated financial position, straddle, conversion, or other risk reduction transaction;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holds Comcast common stock in a tax-deferred account, such as an individual retirement account; or</w:t>
      </w:r>
    </w:p>
    <w:p>
      <w:pPr>
        <w:spacing w:after="0" w:line="130"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shareholder that acquired Comcast common stock pursuant to the exercise of options or similar derivative securities or otherwise as compensation.</w:t>
      </w:r>
    </w:p>
    <w:p>
      <w:pPr>
        <w:spacing w:after="0" w:line="162"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If a partnership, or any entity treated as a partnership for U.S. federal income tax purposes, holds Comcast common stock, the tax treatment of a partner in such partnership generally will depend on the status of the partners and the activities of the partnership. A partner in a partnership holding Comcast common stock should consult its tax adviser.</w:t>
      </w:r>
    </w:p>
    <w:p>
      <w:pPr>
        <w:spacing w:after="0" w:line="176"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 U.S. Holder who acquired different blocks of Comcast common stock at different times and at different prices generally must apply the rules described in the following sections separately to each identifiable block of shares of Comcast common stock. A U.S. Holder who holds Comcast common stock with differing bases or holding periods should consult its tax adviser.</w:t>
      </w:r>
    </w:p>
    <w:p>
      <w:pPr>
        <w:spacing w:after="0" w:line="176"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This discussion of material U.S. federal income tax consequences is not a complete analysis or description of all potential U.S. federal income tax consequences of the Distribution. This discussion does not address tax consequences that may vary with, or are contingent on, individual circumstances. In addition, it does not address any U.S. federal, estate, gift or other non-income tax or any non-U.S., state or local tax consequences of the Distribution. Accordingly, each holder of Comcast common stock should consult his, her or its tax adviser to determine the particular U.S. federal, state or local or non-U.S. income or other tax consequences of the Distribution to such holder.</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Opinion</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Distribution is conditioned upon the receipt of the opinion of Davis Polk &amp; Wardwell LLP substantially to the effect that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which we refer to as the “Tax Opinion.” In rendering the Tax Opinion to be given as of the closing of the Separation, which we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140"/>
          </w:cols>
          <w:pgMar w:left="320" w:top="455" w:right="439" w:bottom="1440" w:gutter="0" w:footer="0" w:header="0"/>
        </w:sectPr>
      </w:pPr>
    </w:p>
    <w:bookmarkStart w:id="828" w:name="page829"/>
    <w:bookmarkEnd w:id="8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refer to as the “Closing Tax Opinion,” Davis Polk &amp; Wardwell LLP will rely on (i) customary representations and covenants made by us and Comcast, including those contained in certificates of officers of us and Comcast, and (ii) specified assumptions, including an assumption regarding the completion of the Separation and certain related transactions in the manner contemplated by the transaction agreements. In addition, Davis Polk &amp; Wardwell LLP’s ability to provide the Closing Tax Opinion will depend on the absence of changes in existing facts or law between the date of this information statement and the closing date of the Distribution. If any of the representations, covenants or assumptions on which Davis Polk &amp; Wardwell LLP will rely is inaccurate, Davis Polk &amp; Wardwell LLP may not be able to provide the Closing Tax Opinion or the tax consequences of the Distribution could differ from those described below. The opinions of Davis Polk &amp; Wardwell LLP do not preclude the Internal Revenue Service (the “IRS”) or the courts from adopting a contrary position.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Assuming that the Distribution, together with certain related transactions, will qualify as a “reorganization” within the meaning of Section 368(a)</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(1)(D) of the Code and a distribution to which Section 355 of the Code applies, and that the Transactions will qualify as transactions that are tax-free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federal income tax purposes, in general, for U.S. federal income tax purposes:</w:t>
      </w:r>
    </w:p>
    <w:p>
      <w:pPr>
        <w:spacing w:after="0" w:line="112" w:lineRule="exact"/>
        <w:rPr>
          <w:sz w:val="20"/>
          <w:szCs w:val="20"/>
          <w:color w:val="auto"/>
        </w:rPr>
      </w:pPr>
    </w:p>
    <w:p>
      <w:pPr>
        <w:ind w:left="1080" w:hanging="424"/>
        <w:spacing w:after="0"/>
        <w:tabs>
          <w:tab w:leader="none" w:pos="1080"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limited exceptions, the Distribution will not result in the recognition of income, gain or loss to Comcast or us;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gain or loss will be recognized by, and no amount will be included in the income of, U.S. Holders of Comcast common stock upon the receipt of our common stock in the Distribution;</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tax basis of the shares of our common stock distributed in the Distribution to a U.S. Holder of Comcast common stock will be determined by allocating the aggregate tax basis such U.S. Holder has in the shares of Comcast common stock immediately before such Distribution between such Comcast common stock and our common stock in proportion to the relative fair market value of each immediately following the Distribution;</w:t>
      </w:r>
    </w:p>
    <w:p>
      <w:pPr>
        <w:spacing w:after="0" w:line="85"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holding period of any shares of our common stock received by a U.S. Holder of Comcast common stock in the Distribution will include the holding period of the shares of Comcast common stock held by a U.S. Holder prior to the Distribution;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U.S. Holder of Comcast common stock that receives cash in lieu of a fractional share of our common stock will recognize capital gain or loss, measured by the difference between the cash received for such fractional share and the U.S. Holder’s tax basis in that fractional share, determined as described above, and such gain or loss will be long-term capital gain or loss if the U.S. Holder’s holding period in the Comcast common stock is more than one year as of the closing date of the Distribution.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if the Distribution, together with certain related transactions, does not qualify as a “reorganization” within the meaning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368(a)(1)(D) of the Code and a distribution to which Section 355 of the Code applies, the Distribution will be treated as a taxable dividend to</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holders of Comcast common stock in an amount equal to the fair market value of our common stock received, to the extent of such holder’s ratable share</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Comcast’s earnings and profits. In addition, if the Separation does not qualify as a distribution to which Section 355 of the Code applies, Comcast</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will recognize significant taxable gain, which could result in significant tax to Comcast.</w:t>
      </w:r>
    </w:p>
    <w:p>
      <w:pPr>
        <w:spacing w:after="0" w:line="207" w:lineRule="exact"/>
        <w:rPr>
          <w:sz w:val="20"/>
          <w:szCs w:val="20"/>
          <w:color w:val="auto"/>
        </w:rPr>
      </w:pPr>
    </w:p>
    <w:p>
      <w:pPr>
        <w:ind w:left="120" w:right="120" w:firstLine="440"/>
        <w:spacing w:after="0" w:line="256" w:lineRule="auto"/>
        <w:rPr>
          <w:sz w:val="20"/>
          <w:szCs w:val="20"/>
          <w:color w:val="auto"/>
        </w:rPr>
      </w:pPr>
      <w:r>
        <w:rPr>
          <w:rFonts w:ascii="Times New Roman" w:cs="Times New Roman" w:eastAsia="Times New Roman" w:hAnsi="Times New Roman"/>
          <w:sz w:val="18"/>
          <w:szCs w:val="18"/>
          <w:color w:val="auto"/>
        </w:rPr>
        <w:t>Even if the Distribution were otherwise to qualify as a distribution to which Section 355 of the Code applies, the Distribution will be taxable to Comcast under Section 355(e) of the Code if 50% or more of either the total voting power or the total fair market value of the stock of Comcast or our common stock is acquired as part of a plan or series of related transactions that includes the Distribution. If Section 355(e) applies as a result of such an acquisition, Comcast would recognize taxable gain as described above, but the Distribution would generally be tax-free to U.S. Holders of Comcast common stock. Under some circumstances, the Tax Matters Agreement would require us to indemnify Comcast for the tax liability associated with the taxable gain. See “—Agreements with Comcast—Tax Matters Agreement.”</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40"/>
          </w:cols>
          <w:pgMar w:left="320" w:top="455" w:right="439" w:bottom="1440" w:gutter="0" w:footer="0" w:header="0"/>
        </w:sectPr>
      </w:pPr>
    </w:p>
    <w:bookmarkStart w:id="829" w:name="page830"/>
    <w:bookmarkEnd w:id="8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Under the Tax Matters Agreement, we will generally be required to indemnify Comcast for the resulting taxes in the event that certain steps of the Separation fail to qualify for their intended tax treatment due to any action by us or any of our subsidiaries (see “—Agreements with Comcast—Tax Matters Agreement”). If the Separation were to be taxable to Comcast, the liability for payment of such tax by Comcast or by us under the Tax Matters Agreement could have a material adverse effect on Comcast or us, as the case may be.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U.S. Treasury regulations generally require holders who own at least 5% of the total outstanding stock of Comcast (by vote or value) and who receive our common stock pursuant to the Distribution to attach to their U.S. federal income tax return for the year in which the Distribution occurs a detailed statement setting forth certain information relating to the tax-free nature of the Distribution. Comcast and/or we will provide the appropriate information to each holder upon request, and each such holder is required to retain permanent records of this information. In addition, payments of cash to a U.S. Holder of Comcast common stock in lieu of fractional shares of our common stock in the Distribution may be subject to information reporting, unless the U.S. Holder provides the withholding agent with proof of an applicable exemption. Such payments that are subject to information reporting may also be subject to backup withholding, unless such U.S. Holder provides the withholding agent with a correct taxpayer identification number and otherwise complies with the requirements of the backup withholding rules. Backup withholding does not constitute additional tax, but merely an advance payment, which may be refunded or credited against a U.S. Holder’s U.S. federal income tax liability, provided the required information is timely supplied to the IRS.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Dissenters’ Rights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 Comcast shareholder will have any dissenters’ rights in connection with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 and Trading of Our Class A Common Stock</w:t>
      </w:r>
    </w:p>
    <w:p>
      <w:pPr>
        <w:spacing w:after="0" w:line="121" w:lineRule="exact"/>
        <w:rPr>
          <w:sz w:val="20"/>
          <w:szCs w:val="20"/>
          <w:color w:val="auto"/>
        </w:rPr>
      </w:pPr>
    </w:p>
    <w:p>
      <w:pPr>
        <w:ind w:left="120" w:right="34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there is no public market for our Class A common stock. Versant has applied to have its shares of Class A common stock listed on Nasdaq under the ticker symbol “VSNT.”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Trading Between Record Date and Distribution Date</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Beginning on or about the record date and continuing up to and including the Distribution Date, we expect that there will be two markets in Comcast Class A common stock: a “regular-way” market and an “ex-distribution” market. Shares of Comcast Class A common stock that trade on the “regular-way” market will trade with an entitlement to receive shares of Versant Class A common stock to be distributed in the Distribution regardless of whether such trades are made before or after the record date. Shares that trade on the “ex-distribution” market after the record date will trade without an entitlement to receive shares of Versant Class A common stock to be distributed in the Distribution. If you own shares of Comcast Class A common stock on the record date and sell those shares on the “regular-way” market before the Distribution Date, you will also be selling the right to receive shares of Versant Class A common stock that would have been distributed to you in the Distribution. By contrast, if you own shares of Comcast Class A common stock on the record date and sell those shares on the “ex-distribution” market after the record date and on or before the Distribution Date, you will retain the right to receive shares of Versant Class A common stock in the Distribution.</w:t>
      </w:r>
    </w:p>
    <w:p>
      <w:pPr>
        <w:spacing w:after="0" w:line="188"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Furthermore, beginning on        , 2025 and continuing up to and including the Distribution Date, we expect there will be a “when-issued” market in our Class A common stock. “When-issued” trading refers to a sale or purchase made conditionally because the security has been authorized but not yet issued. The “when-issued” trading market will be a market for shares of Versant Class A common stock that will be distributed to Comcast shareholders on the Distribution Date. If you own shares of Comcast Class A common stock as of the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120"/>
          </w:cols>
          <w:pgMar w:left="320" w:top="455" w:right="459" w:bottom="1440" w:gutter="0" w:footer="0" w:header="0"/>
        </w:sectPr>
      </w:pPr>
    </w:p>
    <w:bookmarkStart w:id="830" w:name="page831"/>
    <w:bookmarkEnd w:id="8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close of business on the record date, you would be entitled to receive shares of our Class A common stock in the Distribution. You may trade this entitlement to receive shares of Versant Class A common stock, without trading the shares of Comcast Class A common stock you own, in the “when-issued” market. On the first trading day following the Distribution Date, we expect “when-issued” trading with respect to Versant Class A common stock will end and “regular-way” trading in Versant Class A common stock will begin.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Distribution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expect the Distribution will be effective on            , 2026, the Distribution Date, provided that, among other conditions described in the</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Separation and Distribution Agreement, the following conditions will have been satisfied or waived by Comcast in its sole discretion:</w:t>
      </w:r>
    </w:p>
    <w:p>
      <w:pPr>
        <w:spacing w:after="0" w:line="112" w:lineRule="exact"/>
        <w:rPr>
          <w:sz w:val="20"/>
          <w:szCs w:val="20"/>
          <w:color w:val="auto"/>
        </w:rPr>
      </w:pPr>
    </w:p>
    <w:p>
      <w:pPr>
        <w:ind w:left="1080" w:right="100" w:hanging="424"/>
        <w:spacing w:after="0" w:line="282"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Separation-related restructuring and financing transactions contemplated by the Separation and Distribution Agreement will each have been completed;</w:t>
      </w:r>
    </w:p>
    <w:p>
      <w:pPr>
        <w:spacing w:after="0" w:line="67" w:lineRule="exact"/>
        <w:rPr>
          <w:rFonts w:ascii="Times New Roman" w:cs="Times New Roman" w:eastAsia="Times New Roman" w:hAnsi="Times New Roman"/>
          <w:sz w:val="18"/>
          <w:szCs w:val="18"/>
          <w:color w:val="auto"/>
        </w:rPr>
      </w:pPr>
    </w:p>
    <w:p>
      <w:pPr>
        <w:ind w:left="1080" w:right="360" w:hanging="424"/>
        <w:spacing w:after="0" w:line="282"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Comcast Board will have approved the Distribution and will not have abandoned the Distribution or terminated the Separation and Distribution Agreement at any time prior to the Distribution;</w:t>
      </w:r>
    </w:p>
    <w:p>
      <w:pPr>
        <w:spacing w:after="0" w:line="67" w:lineRule="exact"/>
        <w:rPr>
          <w:rFonts w:ascii="Times New Roman" w:cs="Times New Roman" w:eastAsia="Times New Roman" w:hAnsi="Times New Roman"/>
          <w:sz w:val="18"/>
          <w:szCs w:val="18"/>
          <w:color w:val="auto"/>
        </w:rPr>
      </w:pPr>
    </w:p>
    <w:p>
      <w:pPr>
        <w:jc w:val="both"/>
        <w:ind w:left="1080" w:right="120" w:hanging="424"/>
        <w:spacing w:after="0" w:line="261"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registration statement on Form 10, of which this information statement is a part, will have become effective, no stop order suspending the effectiveness of our registration statement on Form 10 will be in effect and no proceedings for such purpose will be pending before or threatened by the SEC, and this information statement, or a notice of Internet availability thereof, will have been mailed to the holders of Comcast common stock as of the record date for the Distribution;</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actions and filings necessary or appropriate under applicable federal, state or other securities laws or “blue sky” laws and the rules and regulations thereunder will have been taken or made and, where applicable, become effective or accepted;</w:t>
      </w:r>
    </w:p>
    <w:p>
      <w:pPr>
        <w:spacing w:after="0" w:line="67"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A common stock to be delivered in the Distribution will have been approved for listing on Nasdaq subject to official notice of issuance;</w:t>
      </w:r>
    </w:p>
    <w:p>
      <w:pPr>
        <w:spacing w:after="0" w:line="67"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as named in this information statement, will have been duly elected, and the amended and restated articles of incorporation and the amended and restated bylaws of Versant, in substantially the form attached as exhibits to the registration statement of which this information statement is a part, will be in effect;</w:t>
      </w:r>
    </w:p>
    <w:p>
      <w:pPr>
        <w:spacing w:after="0" w:line="81"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contemplated by the Separation and Distribution Agreement will have been executed and delivered by the parties thereto;</w:t>
      </w:r>
    </w:p>
    <w:p>
      <w:pPr>
        <w:spacing w:after="0" w:line="67" w:lineRule="exact"/>
        <w:rPr>
          <w:rFonts w:ascii="Times New Roman" w:cs="Times New Roman" w:eastAsia="Times New Roman" w:hAnsi="Times New Roman"/>
          <w:sz w:val="18"/>
          <w:szCs w:val="18"/>
          <w:color w:val="auto"/>
        </w:rPr>
      </w:pPr>
    </w:p>
    <w:p>
      <w:pPr>
        <w:ind w:left="1080" w:right="20" w:hanging="424"/>
        <w:spacing w:after="0" w:line="256"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Comcast will have received the opinion of Davis Polk &amp; Wardwell LLP (which will not have been revoked or modified in any material respect), reasonably satisfactory to Comcast, dated as of the Distribution Date and to the effect that, for U.S. federal income tax purposes, the Distribution, together with certain related transactions, will qualify as a “reorganization” within the meaning of Section 368(a)(1)(D) of the Code and a distribution to which Section 355 of the Code applies, and the Comcast Cash Distribution will qualify as money distributed to Comcast creditors or shareholders in connection with the reorganization for purposes of Section 361(b) of the Code (the “Tax Opinion Condition”);</w:t>
      </w:r>
    </w:p>
    <w:p>
      <w:pPr>
        <w:spacing w:after="0" w:line="92"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applicable law will have been adopted, promulgated or issued that prohibits the consummation of the Distribution or any of the other transactions contemplated by the Separation and Distribution Agreement or an ancillary agreement contemplated by the Separation and Distribution Agreement;</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governmental approvals and consents and any material permits, registrations and consents from third parties, in each case, necessary to effect the Transactions or the Distribution, will have been obtained;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831" w:name="page832"/>
    <w:bookmarkEnd w:id="8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80" w:hanging="424"/>
        <w:spacing w:after="0" w:line="266" w:lineRule="auto"/>
        <w:tabs>
          <w:tab w:leader="none" w:pos="1080" w:val="left"/>
        </w:tabs>
        <w:numPr>
          <w:ilvl w:val="0"/>
          <w:numId w:val="1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event or development will have occurred or exist that, in the judgment of the Comcast Board, in its sole and absolute discretion, makes it inadvisable to effect the Distribution or any of the other transactions contemplated by the Separation and Distribution Agreement or an ancillary agreement contemplated by the Separation and Distribution Agreement.</w:t>
      </w:r>
    </w:p>
    <w:p>
      <w:pPr>
        <w:spacing w:after="0" w:line="176"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fulfillment of the foregoing conditions will not create any obligations on Comcast’s part to effect the Distribution, and Comcast has the right to abandon, modify or change the terms of the Distribution, including by accelerating or delaying the timing of the consummation of all or part of the Distribution, at any time prior to the Distribution.</w:t>
      </w:r>
    </w:p>
    <w:p>
      <w:pPr>
        <w:spacing w:after="0" w:line="176"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We cannot assure you that all of the conditions will be satisfied or waived. In addition, if the Distribution is completed and the Comcast Board waived any such condition, such waiver could have a material adverse effect on Comcast’s and Versant’s respective business, financial condition or results of operations, the trading price of Versant Class A common stock, or the ability of shareholders to sell their shares after the Distribution, including, without limitation, as a result of illiquid trading due to the failure of Versant Class A common stock to be accepted for listing or litigation relating to any preliminary or permanent injunctions sought to prevent the consummation of the Distribution. See “—Material U.S. Federal Income Tax Consequences of the Distribution—The Distribution” above for a discussion of the U.S. federal income tax consequences for Comcast and its shareholders that may arise if Comcast waives the Tax Opinion Condition and the Distribution is treated as a taxable transaction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Comcast</w:t>
      </w:r>
    </w:p>
    <w:p>
      <w:pPr>
        <w:spacing w:after="0" w:line="121"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These agreements will provide for the allocation of assets, liabilities and obligations of Comcast and its subsidiaries, and will govern the relationship between Versant and Comcast subsequent to the Separation.</w:t>
      </w:r>
    </w:p>
    <w:p>
      <w:pPr>
        <w:spacing w:after="0" w:line="180"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Separation and Distribution Agreement (which will contain many of the key provisions related to the Separation and the distribution of our shares of common stock to Comcast shareholders), these agreements include, among others:</w:t>
      </w:r>
    </w:p>
    <w:p>
      <w:pPr>
        <w:spacing w:after="0" w:line="67" w:lineRule="exact"/>
        <w:rPr>
          <w:sz w:val="20"/>
          <w:szCs w:val="20"/>
          <w:color w:val="auto"/>
        </w:rPr>
      </w:pPr>
    </w:p>
    <w:p>
      <w:pPr>
        <w:ind w:left="1080" w:hanging="424"/>
        <w:spacing w:after="0"/>
        <w:tabs>
          <w:tab w:leader="none" w:pos="1080" w:val="left"/>
        </w:tabs>
        <w:numPr>
          <w:ilvl w:val="0"/>
          <w:numId w:val="1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commercial arrangements.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forms of the principal agreements described below have been or are expected to be filed as exhibits to the registration statement of which this information statement forms a part. The following descriptions of these agreements are summaries of the material terms of these agreements.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The Separation and Distribution Agreement</w:t>
      </w:r>
    </w:p>
    <w:p>
      <w:pPr>
        <w:spacing w:after="0" w:line="121" w:lineRule="exact"/>
        <w:rPr>
          <w:sz w:val="20"/>
          <w:szCs w:val="20"/>
          <w:color w:val="auto"/>
        </w:rPr>
      </w:pPr>
    </w:p>
    <w:p>
      <w:pPr>
        <w:jc w:val="both"/>
        <w:ind w:left="120" w:firstLine="440"/>
        <w:spacing w:after="0" w:line="289" w:lineRule="auto"/>
        <w:rPr>
          <w:sz w:val="20"/>
          <w:szCs w:val="20"/>
          <w:color w:val="auto"/>
        </w:rPr>
      </w:pPr>
      <w:r>
        <w:rPr>
          <w:rFonts w:ascii="Times New Roman" w:cs="Times New Roman" w:eastAsia="Times New Roman" w:hAnsi="Times New Roman"/>
          <w:sz w:val="17"/>
          <w:szCs w:val="17"/>
          <w:color w:val="auto"/>
        </w:rPr>
        <w:t>The Separation and Distribution Agreement will govern the overall terms of the Separation. Generally, the Separation and Distribution Agreement will include Comcast’s and our agreements relating to the restructuring steps to be taken to complete the Separation, including the assets and rights to be transferred to Versant and its subsidiaries, the liabilities and obligations to be assumed by Versant and its subsidiaries and related matters.</w:t>
      </w:r>
    </w:p>
    <w:p>
      <w:pPr>
        <w:spacing w:after="0" w:line="158" w:lineRule="exact"/>
        <w:rPr>
          <w:sz w:val="20"/>
          <w:szCs w:val="20"/>
          <w:color w:val="auto"/>
        </w:rPr>
      </w:pPr>
    </w:p>
    <w:p>
      <w:pPr>
        <w:ind w:left="120" w:right="480" w:firstLine="440"/>
        <w:spacing w:after="0" w:line="282" w:lineRule="auto"/>
        <w:rPr>
          <w:sz w:val="20"/>
          <w:szCs w:val="20"/>
          <w:color w:val="auto"/>
        </w:rPr>
      </w:pPr>
      <w:r>
        <w:rPr>
          <w:rFonts w:ascii="Times New Roman" w:cs="Times New Roman" w:eastAsia="Times New Roman" w:hAnsi="Times New Roman"/>
          <w:sz w:val="18"/>
          <w:szCs w:val="18"/>
          <w:color w:val="auto"/>
        </w:rPr>
        <w:t>Subject to the receipt of required governmental and other consents and approvals and the satisfaction of other closing conditions, in order to accomplish the Separation, the Separation and Distribution Agreement will</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100"/>
          </w:cols>
          <w:pgMar w:left="320" w:top="455" w:right="479" w:bottom="1440" w:gutter="0" w:footer="0" w:header="0"/>
        </w:sectPr>
      </w:pPr>
    </w:p>
    <w:bookmarkStart w:id="832" w:name="page833"/>
    <w:bookmarkEnd w:id="8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provide for Comcast and us to transfer specified assets between the companies that will operate the Spin Business after the Distribution, on the one hand, and Comcast’s remaining businesses, on the other hand. The Separation and Distribution Agreement will require Comcast and us to use commercially reasonable efforts to obtain consents required to assign the assets and liabilities that are to be transferred pursuant to the Separation and Distribution Agreement, provided that, as long as a party is using such commercially reasonable efforts to obtain such consents, such party will not have any liability to the other party for any failure to obtain any such consents; provided, further that such efforts will not require Comcast or Versant to expend any money, commence any litigation or offer or grant any accommodation to any other person.</w:t>
      </w:r>
    </w:p>
    <w:p>
      <w:pPr>
        <w:spacing w:after="0" w:line="187" w:lineRule="exact"/>
        <w:rPr>
          <w:sz w:val="20"/>
          <w:szCs w:val="20"/>
          <w:color w:val="auto"/>
        </w:rPr>
      </w:pPr>
    </w:p>
    <w:p>
      <w:pPr>
        <w:ind w:left="120" w:right="40" w:firstLine="440"/>
        <w:spacing w:after="0" w:line="270" w:lineRule="auto"/>
        <w:rPr>
          <w:sz w:val="20"/>
          <w:szCs w:val="20"/>
          <w:color w:val="auto"/>
        </w:rPr>
      </w:pPr>
      <w:r>
        <w:rPr>
          <w:rFonts w:ascii="Times New Roman" w:cs="Times New Roman" w:eastAsia="Times New Roman" w:hAnsi="Times New Roman"/>
          <w:sz w:val="17"/>
          <w:szCs w:val="17"/>
          <w:color w:val="auto"/>
        </w:rPr>
        <w:t>Unless otherwise provided in the Separation and Distribution Agreement or any of the related ancillary agreements, all assets will be transferred on an “as is, where is” basis. Generally, if the transfer of any assets or any claim or right or benefit arising thereunder, or assumption of any liability, would result in a breach of any contract, would otherwise adversely affect the rights of Comcast or its subsidiaries or Versant or its subsidiaries thereunder or would violate applicable law, in each case, without obtaining a consent that will not be obtained before the Distribution, the Separation and Distribution Agreement will not constitute an agreement to effect such transfer and the party retaining any such asset that otherwise would have been transferred shall hold such asset for the use and benefit of the party entitled thereto and the party intended to assume such liability will pay the party retaining such liability for all amounts paid in connection with the retention of such liability. In addition, the party retaining such asset, claim or right, or such liability will, insofar as reasonably possible and to the extent permitted by applicable law, take such actions as may be reasonably requested by the party to which such asset, claim or right, or such liability, is to be transferred or assumed in order to place such party, insofar as reasonably possible, in the same position as if such asset, claim or right, or such liability, had been transferred or assumed on or prior to the Distribution.</w:t>
      </w:r>
    </w:p>
    <w:p>
      <w:pPr>
        <w:spacing w:after="0" w:line="177" w:lineRule="exact"/>
        <w:rPr>
          <w:sz w:val="20"/>
          <w:szCs w:val="20"/>
          <w:color w:val="auto"/>
        </w:rPr>
      </w:pPr>
    </w:p>
    <w:p>
      <w:pPr>
        <w:jc w:val="both"/>
        <w:ind w:left="120" w:right="48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also grant and receive licenses under certain patents and trade secrets in connection with the Separation and Distribution Agreement, which will generally provide us and Comcast the freedom to continue operating our respective businesses following the Distribution, including as follows:</w:t>
      </w:r>
    </w:p>
    <w:p>
      <w:pPr>
        <w:spacing w:after="0" w:line="81" w:lineRule="exact"/>
        <w:rPr>
          <w:sz w:val="20"/>
          <w:szCs w:val="20"/>
          <w:color w:val="auto"/>
        </w:rPr>
      </w:pPr>
    </w:p>
    <w:p>
      <w:pPr>
        <w:ind w:left="1080" w:right="220" w:hanging="424"/>
        <w:spacing w:after="0" w:line="282" w:lineRule="auto"/>
        <w:tabs>
          <w:tab w:leader="none" w:pos="1080" w:val="left"/>
        </w:tabs>
        <w:numPr>
          <w:ilvl w:val="0"/>
          <w:numId w:val="1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grant Comcast a non-exclusive, worldwide, perpetual, irrevocable, fully paid-up and royalty-free license to the patents and trade secrets transferred to us in connection with the Separation in order for Comcast to continue operating its business.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receive from Comcast a non-exclusive, worldwide, perpetual, irrevocable, fully paid-up and royalty-free license to certain patents and trade secrets retained by Comcast, including those that were used in the Spin Business as of the Distribution, in order for us to continue operating the Spin Business.</w:t>
      </w:r>
    </w:p>
    <w:p>
      <w:pPr>
        <w:spacing w:after="0" w:line="176"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The Separation and Distribution Agreement also provides that Versant will be required to cease any consumer-facing use of the brands and trademarks that are being retained by Comcast, but will have up to 12 months following the Separation to cease the internal use of those brands and trademarks. These limitations do not apply to any brands or trademarks licensed to us from Comcast for a longer duration under a separate agreement, such as our license to the CNBC brand as described in “Risk Factors—Spin-Related Risk Factors—We have historically operated within Comcast, and there are risks associated with the Separation.”</w:t>
      </w:r>
    </w:p>
    <w:p>
      <w:pPr>
        <w:spacing w:after="0" w:line="183"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addition, for so long as any person has an “attributable” interest in Comcast and Versant under the Communications Act, the Separation and Distribution Agreement restricts Versant’s ability, without the prior written consent of Comcast (which shall not be unreasonably withheld, conditioned, or delayed and for which Comcast shall undertake commercially reasonable efforts to enable it to provide such consent), to (i) acquire certain FCC-issued licenses or ownership interests that would be subject to an ownership restriction or spectrum screen under the Communications Act or that would otherwise be subject to a foreign ownership restriction or review by applicable regulatory authorities and (ii) enter into agreements with television broadcast stations relating to time brokerage, local marketing, joint sales or other shared services agreements, in each case if such actions would reasonably be expected to result in a violation of the Communications Act or subject Comcast, its affiliates or any person deemed to have an attributable interest in Comcast to additional non-de minimis restrictions or compliance burdens under the Communications Act.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140"/>
          </w:cols>
          <w:pgMar w:left="320" w:top="455" w:right="439" w:bottom="1440" w:gutter="0" w:footer="0" w:header="0"/>
        </w:sectPr>
      </w:pPr>
    </w:p>
    <w:bookmarkStart w:id="833" w:name="page834"/>
    <w:bookmarkEnd w:id="8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Separation and Distribution Agreement will specify those conditions that must be satisfied or waived by Comcast prior to the completion of the Separation, which are described further above in “—Conditions to the Distribution.” In addition, Comcast will have the right to determine the date and terms of the Separation, and will have the right, at any time until completion of the Distribution, to determine to abandon or modify the Distribution and to terminate the Separation and Distribution Agreement.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addition, the Separation and Distribution Agreement will govern the treatment of indemnification, insurance and litigation responsibility and management. Generally, the Separation and Distribution Agreement will provide for uncapped cross-indemnities principally designed to place financial responsibility for the obligations and liabilities of the Spin Business with us and financial responsibility for the obligations and liabilities of Comcast’s retained businesses with Comcast. The Separation and Distribution Agreement will also establish procedures for handling claims subject to indemnification and related matters.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Tax Matters Agreement</w:t>
      </w:r>
    </w:p>
    <w:p>
      <w:pPr>
        <w:spacing w:after="0" w:line="121"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we and Comcast will enter into a tax matters agreement (the “Tax Matters Agreement”) that will govern the parties’ respective rights, responsibilities and obligations with respect to taxes, including taxes arising in the ordinary course of business, and taxes, if any, incurred as a result of the failure of the Separation to qualify for tax-free treatment for U.S. federal income tax purposes. The Tax Matters Agreement will also set forth the respective obligations of the parties with respect to the filing of tax returns, the administration of tax contests and assistance and cooperation on tax matters.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In general, the Tax Matters Agreement will govern the rights and obligations that we and Comcast have after the Separation with respect to taxes for both pre- and post-closing periods. Under the Tax Matters Agreement, Comcast generally will be responsible for all of our pre-closing taxes that are reported on combined tax returns with Comcast or any of its affiliates and all pre-closing non-income taxes attributable to the businesses and assets retained by Comcast. We will generally be responsible for all of our pre-closing income taxes that are reported on tax returns that include only us and/or our subsidiaries (“separate tax returns”) and all pre-closing non-income taxes attributable to our business or assets.</w:t>
      </w:r>
    </w:p>
    <w:p>
      <w:pPr>
        <w:spacing w:after="0" w:line="183" w:lineRule="exact"/>
        <w:rPr>
          <w:sz w:val="20"/>
          <w:szCs w:val="20"/>
          <w:color w:val="auto"/>
        </w:rPr>
      </w:pPr>
    </w:p>
    <w:p>
      <w:pPr>
        <w:ind w:left="120" w:right="160" w:firstLine="440"/>
        <w:spacing w:after="0" w:line="274" w:lineRule="auto"/>
        <w:rPr>
          <w:sz w:val="20"/>
          <w:szCs w:val="20"/>
          <w:color w:val="auto"/>
        </w:rPr>
      </w:pPr>
      <w:r>
        <w:rPr>
          <w:rFonts w:ascii="Times New Roman" w:cs="Times New Roman" w:eastAsia="Times New Roman" w:hAnsi="Times New Roman"/>
          <w:sz w:val="17"/>
          <w:szCs w:val="17"/>
          <w:color w:val="auto"/>
        </w:rPr>
        <w:t>In the Tax Matters Agreement, we will also agree to certain covenants that contain restrictions intended to preserve the tax-free treatment of the Separation. We may take certain actions prohibited by these covenants only if we obtain and provide to Comcast a ruling from the IRS or an opinion from a tax adviser acceptable to Comcast in its sole discretion, in each case, to the effect that such action will not jeopardize the tax-free treatment of these transactions, or if we obtain prior written consent of Comcast, in its sole and absolute discretion, waiving such requirement. We will be barred from taking any action, or failing to take any action, where such action or failure to act adversely affects or could reasonably be expected to adversely affect the tax-free treatment of the Separation, for all relevant time periods. In addition, these covenants will include specific restrictions on our:</w:t>
      </w:r>
    </w:p>
    <w:p>
      <w:pPr>
        <w:spacing w:after="0" w:line="78" w:lineRule="exact"/>
        <w:rPr>
          <w:sz w:val="20"/>
          <w:szCs w:val="20"/>
          <w:color w:val="auto"/>
        </w:rPr>
      </w:pPr>
    </w:p>
    <w:p>
      <w:pPr>
        <w:ind w:left="1080" w:hanging="424"/>
        <w:spacing w:after="0"/>
        <w:tabs>
          <w:tab w:leader="none" w:pos="1080"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discontinuing the active conduct of our trade or business;</w:t>
      </w:r>
    </w:p>
    <w:p>
      <w:pPr>
        <w:spacing w:after="0" w:line="130"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or selling our stock or other securities (including securities convertible into our stock but excluding certain compensatory arrangements);</w:t>
      </w:r>
    </w:p>
    <w:p>
      <w:pPr>
        <w:spacing w:after="0" w:line="67" w:lineRule="exact"/>
        <w:rPr>
          <w:rFonts w:ascii="Times New Roman" w:cs="Times New Roman" w:eastAsia="Times New Roman" w:hAnsi="Times New Roman"/>
          <w:sz w:val="18"/>
          <w:szCs w:val="18"/>
          <w:color w:val="auto"/>
        </w:rPr>
      </w:pPr>
    </w:p>
    <w:p>
      <w:pPr>
        <w:ind w:left="1080" w:right="40" w:hanging="424"/>
        <w:spacing w:after="0" w:line="282" w:lineRule="auto"/>
        <w:tabs>
          <w:tab w:leader="none" w:pos="1080"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amending our articles of incorporation (or other organizational documents) or taking any other action, whether through a shareholder vote or otherwise, affecting the voting rights of our common stock;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entering into certain corporate transactions that could jeopardize the tax-free treatment of the Distribution.</w:t>
      </w:r>
    </w:p>
    <w:p>
      <w:pPr>
        <w:spacing w:after="0" w:line="225"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will generally agree to indemnify Comcast against any and all tax-related liabilities incurred by Comcast or its subsidiaries relating to the Distribution to the extent caused by any action undertaken by us or in respect of our shares. The indemnification will apply even if Comcast has permitted us to take an action that would otherwise have been prohibited under the tax-related covenants described above.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60"/>
          </w:cols>
          <w:pgMar w:left="320" w:top="455" w:right="519" w:bottom="1440" w:gutter="0" w:footer="0" w:header="0"/>
        </w:sectPr>
      </w:pPr>
    </w:p>
    <w:bookmarkStart w:id="834" w:name="page835"/>
    <w:bookmarkEnd w:id="8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Transition Services Agreement</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Transition Services Agreement will set forth the terms on which Comcast will provide to Versant, on a transitional basis, certain services or functions that the companies historically have shared. The transition services will include various services and functions, generally for a period of up to two years following the Distribution for all such services. Compensation for the transition services will be determined using billing methodologies which are described in the agreement. The Transition Services Agreement will provide that Versant may, subject to certain conditions, terminate any or all of the services, or any part of a service, upon prior written notice to Comcast. Versant will indemnify Comcast from liabilities for claims arising from Comcast’s provision of the services, Versant’s use of the services or breach of the agreement, or from Versant’s gross negligence, fraud or willful misconduct. Comcast will indemnify Versant from liabilities for claims arising from Comcast’s breach of the agreement or from Comcast’s gross negligence, fraud or willful misconduct. Subject to certain customary exceptions, Comcast’s maximum aggregate liability under the Transition Services Agreement will be limited to the fees actually received by Comcast under the agreement.</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Employee Matters Agreement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intend to enter into an Employee Matters Agreement with Comcast prior to the Separation that will govern the respective rights, responsibilities and obligations of the parties from and after the Separation with respect to employee-related assets and liabilities and our respective compensation, retirement and benefit plans. Except as specifically provided in the Employee Matters Agreement, we will generally assume responsibility for all employment-related liabilities relating to our employees, former employees and other service providers. Generally, the Employee Matters Agreement will provide that, except as may be provided in the Transition Services Agreement, each of our employees will cease active participation in Comcast compensation and benefit plans on or before the Separation and will commence participation in compensation and benefit plans sponsored and maintained by us. The Employee Matters Agreement will also set forth general principles relating to employee matters in connection with the Separation.</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Certain Commercial Arrangements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have certain commercial arrangements, and in connection with the Separation, we will enter into certain additional commercial arrangements or amendments to existing arrangements, with Comcast, NBCUniversal or certain of their affiliates relating to the Spin Business. These commercial arrangements relate to a variety of ordinary course business functions, including, but not limited to:</w:t>
      </w:r>
    </w:p>
    <w:p>
      <w:pPr>
        <w:spacing w:after="0" w:line="81" w:lineRule="exact"/>
        <w:rPr>
          <w:sz w:val="20"/>
          <w:szCs w:val="20"/>
          <w:color w:val="auto"/>
        </w:rPr>
      </w:pPr>
    </w:p>
    <w:p>
      <w:pPr>
        <w:ind w:left="1080" w:hanging="424"/>
        <w:spacing w:after="0"/>
        <w:tabs>
          <w:tab w:leader="none" w:pos="10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and use of our advertising and promotional inventory;</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or use, as applicable, by Comcast and NBCUniversal of certain of our networks, content, trademarks and applications on their own and certain third-party platforms and networks, along with certain related sales, marketing and other support services;</w:t>
      </w:r>
    </w:p>
    <w:p>
      <w:pPr>
        <w:spacing w:after="0" w:line="67" w:lineRule="exact"/>
        <w:rPr>
          <w:rFonts w:ascii="Times New Roman" w:cs="Times New Roman" w:eastAsia="Times New Roman" w:hAnsi="Times New Roman"/>
          <w:sz w:val="18"/>
          <w:szCs w:val="18"/>
          <w:color w:val="auto"/>
        </w:rPr>
      </w:pPr>
    </w:p>
    <w:p>
      <w:pPr>
        <w:ind w:left="1080" w:right="340" w:hanging="424"/>
        <w:spacing w:after="0" w:line="282" w:lineRule="auto"/>
        <w:tabs>
          <w:tab w:leader="none" w:pos="10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ancillary services, including the use of personnel, as well as studio and production-related services, for the production of sports content and the use of personnel and hospitality support services for certain advertising and sports industry events;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purchase agreements for each party to exhibit certain sports programming on the other party’s networks and platforms; and</w:t>
      </w:r>
    </w:p>
    <w:p>
      <w:pPr>
        <w:spacing w:after="0" w:line="130" w:lineRule="exact"/>
        <w:rPr>
          <w:rFonts w:ascii="Times New Roman" w:cs="Times New Roman" w:eastAsia="Times New Roman" w:hAnsi="Times New Roman"/>
          <w:sz w:val="18"/>
          <w:szCs w:val="18"/>
          <w:color w:val="auto"/>
        </w:rPr>
      </w:pPr>
    </w:p>
    <w:p>
      <w:pPr>
        <w:ind w:left="1080" w:right="820" w:hanging="424"/>
        <w:spacing w:after="0" w:line="282" w:lineRule="auto"/>
        <w:tabs>
          <w:tab w:leader="none" w:pos="1080" w:val="left"/>
        </w:tabs>
        <w:numPr>
          <w:ilvl w:val="0"/>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and similar arrangements relating to our use of certain entertainment and news content and trademark rights owned by NBCUniversal and its affiliates, as well as the use by Comcast and its affiliates of certain of our content, data and trademarks.</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These commercial agreements are generally for multiyear terms, with pricing and other terms and conditions that are customary for these types of agreements among unrelated parties. For additional information, see “Risk Factors—Spin-Related Risk Factors—We have historically operated within Comcast, and there are risks associated with the Separation” and “—Business Risk Factors—Our network rebrands may result in customer confusion and disruption, leading to lower ratings and monetization.”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120"/>
          </w:cols>
          <w:pgMar w:left="320" w:top="455" w:right="459" w:bottom="1440" w:gutter="0" w:footer="0" w:header="0"/>
        </w:sectPr>
      </w:pPr>
    </w:p>
    <w:bookmarkStart w:id="835" w:name="page836"/>
    <w:bookmarkEnd w:id="8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Transferability of Shares of Our Class A Common Stock</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shares of our Class A common stock that you will receive in the Distribution will be freely transferable, unless you are considered an “affiliate” of ours under Rule 144 under the Securities Act. Persons who can be considered our affiliates after the Separation generally include individuals or entities that directly, or indirectly through one or more intermediaries, control, are controlled by or are under common control with us, and may include certain of our officers and directors. In addition, individuals who are affiliates of Comcast on the Distribution Date may be deemed to be affiliates of ours. We estimate that our directors and executive officers, who may be considered “affiliates” for purposes of Rule 144, will beneficially own approximately        shares of our Class A common stock immediately following the Separation. See “Ownership of Common Stock by Certain Beneficial Owners and Management” included elsewhere in this information statement. Our affiliates may sell shares of our Class A common stock received in the Distribution only:</w:t>
      </w:r>
    </w:p>
    <w:p>
      <w:pPr>
        <w:spacing w:after="0" w:line="97" w:lineRule="exact"/>
        <w:rPr>
          <w:sz w:val="20"/>
          <w:szCs w:val="20"/>
          <w:color w:val="auto"/>
        </w:rPr>
      </w:pPr>
    </w:p>
    <w:p>
      <w:pPr>
        <w:ind w:left="1080" w:hanging="424"/>
        <w:spacing w:after="0"/>
        <w:tabs>
          <w:tab w:leader="none" w:pos="1080" w:val="left"/>
        </w:tabs>
        <w:numPr>
          <w:ilvl w:val="0"/>
          <w:numId w:val="1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 registration statement that has become effective under the Securities Act;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an exemption from registration under the Securities Act, such as the exemption afforded by Rule 144.</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general, under Rule 144 as currently in effect, an affiliate will be entitled to sell, within any three-month period, a number of shares of our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Class A common stock that does not exceed the greater of:</w:t>
      </w:r>
    </w:p>
    <w:p>
      <w:pPr>
        <w:spacing w:after="0" w:line="112" w:lineRule="exact"/>
        <w:rPr>
          <w:sz w:val="20"/>
          <w:szCs w:val="20"/>
          <w:color w:val="auto"/>
        </w:rPr>
      </w:pPr>
    </w:p>
    <w:p>
      <w:pPr>
        <w:ind w:left="1080" w:hanging="424"/>
        <w:spacing w:after="0"/>
        <w:tabs>
          <w:tab w:leader="none" w:pos="1080" w:val="left"/>
        </w:tabs>
        <w:numPr>
          <w:ilvl w:val="0"/>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of our Class A common stock then outstanding; or</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trading volume of our Class A common stock during the four calendar weeks preceding the filing of a notice on Form 144 for the sale.</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Rule 144 also includes notice requirements and restrictions governing the manner of sale for sales by our affiliates. Sales may not be made under Rule 144 unless certain information about us is publicly available.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Reason for Furnishing this Information Statement</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This information statement is being furnished solely to provide information to Comcast shareholders who are entitled to receive shares of our common stock in the Distribution. The information statement is not, and is not to be construed as, an inducement or encouragement to buy, hold or sell any of our securities. We believe the information contained in this information statement is accurate as of the date set forth on the cover. Changes may occur after that date and neither Comcast nor we undertake any obligation to update such information except in the normal course of our respective public disclosure obligations.</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120"/>
          </w:cols>
          <w:pgMar w:left="320" w:top="455" w:right="459" w:bottom="1440" w:gutter="0" w:footer="0" w:header="0"/>
        </w:sectPr>
      </w:pPr>
    </w:p>
    <w:bookmarkStart w:id="836" w:name="page837"/>
    <w:bookmarkEnd w:id="8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While we expect to have the capacity to return capital to our shareholders following the Separation,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our Board deems relevant. In addition, our ability to pay cash dividends on our capital stock may be limited by the terms of our existing and future debt or preferred securities we issue or any credit facilities we enter into. See “Risk Factors—Common Stock Risk Factors.”</w:t>
      </w:r>
    </w:p>
    <w:p>
      <w:pPr>
        <w:spacing w:after="0" w:line="10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320" w:top="455" w:right="619" w:bottom="1440" w:gutter="0" w:footer="0" w:header="0"/>
        </w:sectPr>
      </w:pPr>
    </w:p>
    <w:bookmarkStart w:id="837" w:name="page838"/>
    <w:bookmarkEnd w:id="8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9"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cash and cash equivalents and our capitalization as of June 30, 2025 on a historical and pro forma basis to give effect to the Separation and other matters, as discussed in “The Separation.”</w:t>
      </w:r>
    </w:p>
    <w:p>
      <w:pPr>
        <w:spacing w:after="0" w:line="162" w:lineRule="exact"/>
        <w:rPr>
          <w:sz w:val="20"/>
          <w:szCs w:val="20"/>
          <w:color w:val="auto"/>
        </w:rPr>
      </w:pPr>
    </w:p>
    <w:p>
      <w:pPr>
        <w:jc w:val="both"/>
        <w:ind w:left="120" w:right="560" w:firstLine="440"/>
        <w:spacing w:after="0" w:line="266" w:lineRule="auto"/>
        <w:rPr>
          <w:sz w:val="20"/>
          <w:szCs w:val="20"/>
          <w:color w:val="auto"/>
        </w:rPr>
      </w:pPr>
      <w:r>
        <w:rPr>
          <w:rFonts w:ascii="Times New Roman" w:cs="Times New Roman" w:eastAsia="Times New Roman" w:hAnsi="Times New Roman"/>
          <w:sz w:val="18"/>
          <w:szCs w:val="18"/>
          <w:color w:val="auto"/>
        </w:rPr>
        <w:t>The pro forma adjustments are based upon available information and assumptions that management believes are reasonable; however, such adjustments are subject to change based on the finalization of the terms of the Separation and the agreements which define our relationship with Comcast after the completion of the Separation. In addition, such adjustments are estimates and may not prove to be accurate.</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information in the following table together with “Management’s Discussion and Analysis of Financial Condition and Results of Operations,” “Unaudited Pro Forma Combined Financial Statements ,” “Description of Material Indebtedness” and our combined financial statements and the related notes included elsewhere in this information statement.</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are providing the capitalization table for information purposes only. The capitalization table below may not reflect the capitalization or financial condition that would have resulted had we been operating as an independent, publicly traded company on June 30, 2025 and is not necessarily indicative of our future capitalization or financial condition.</w:t>
      </w:r>
    </w:p>
    <w:p>
      <w:pPr>
        <w:spacing w:after="0" w:line="176" w:lineRule="exact"/>
        <w:rPr>
          <w:sz w:val="20"/>
          <w:szCs w:val="20"/>
          <w:color w:val="auto"/>
        </w:rPr>
      </w:pPr>
    </w:p>
    <w:p>
      <w:pPr>
        <w:ind w:left="120" w:right="540" w:firstLine="440"/>
        <w:spacing w:after="0" w:line="282" w:lineRule="auto"/>
        <w:rPr>
          <w:sz w:val="20"/>
          <w:szCs w:val="20"/>
          <w:color w:val="auto"/>
        </w:rPr>
      </w:pPr>
      <w:r>
        <w:rPr>
          <w:rFonts w:ascii="Times New Roman" w:cs="Times New Roman" w:eastAsia="Times New Roman" w:hAnsi="Times New Roman"/>
          <w:sz w:val="18"/>
          <w:szCs w:val="18"/>
          <w:color w:val="auto"/>
        </w:rPr>
        <w:t>We have not yet finalized our post-Distribution capitalization. We intend to update our financial information to reflect our post-Distribution capitalization in a subsequent amendment to this information statement.</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20" w:type="dxa"/>
            <w:vAlign w:val="bottom"/>
            <w:gridSpan w:val="6"/>
          </w:tcPr>
          <w:p>
            <w:pPr>
              <w:ind w:left="680"/>
              <w:spacing w:after="0"/>
              <w:rPr>
                <w:sz w:val="20"/>
                <w:szCs w:val="20"/>
                <w:color w:val="auto"/>
              </w:rPr>
            </w:pPr>
            <w:r>
              <w:rPr>
                <w:rFonts w:ascii="Times New Roman" w:cs="Times New Roman" w:eastAsia="Times New Roman" w:hAnsi="Times New Roman"/>
                <w:sz w:val="14"/>
                <w:szCs w:val="14"/>
                <w:b w:val="1"/>
                <w:bCs w:val="1"/>
                <w:color w:val="auto"/>
              </w:rPr>
              <w:t>As of June 30, 2025</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Actual</w:t>
            </w: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700" w:type="dxa"/>
            <w:vAlign w:val="bottom"/>
            <w:gridSpan w:val="5"/>
          </w:tcPr>
          <w:p>
            <w:pPr>
              <w:ind w:left="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share amounts)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Cash and cash equivalents</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0"/>
        </w:trPr>
        <w:tc>
          <w:tcPr>
            <w:tcW w:w="40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Term A Loan Facility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Term B Loan Facility</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Revolving Credit Facility</w:t>
            </w:r>
            <w:r>
              <w:rPr>
                <w:rFonts w:ascii="Times New Roman" w:cs="Times New Roman" w:eastAsia="Times New Roman" w:hAnsi="Times New Roman"/>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Notes due 2031</w:t>
            </w:r>
            <w:r>
              <w:rPr>
                <w:rFonts w:ascii="Times New Roman" w:cs="Times New Roman" w:eastAsia="Times New Roman" w:hAnsi="Times New Roman"/>
                <w:sz w:val="25"/>
                <w:szCs w:val="25"/>
                <w:color w:val="auto"/>
                <w:vertAlign w:val="superscript"/>
              </w:rPr>
              <w:t>(3)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Less: deferred debt issuance costs</w:t>
            </w:r>
            <w:r>
              <w:rPr>
                <w:rFonts w:ascii="Times New Roman" w:cs="Times New Roman" w:eastAsia="Times New Roman" w:hAnsi="Times New Roman"/>
                <w:sz w:val="25"/>
                <w:szCs w:val="25"/>
                <w:color w:val="auto"/>
                <w:vertAlign w:val="superscript"/>
              </w:rPr>
              <w:t>(4)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indebtedness</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— </w:t>
            </w: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080" w:type="dxa"/>
            <w:vAlign w:val="bottom"/>
            <w:gridSpan w:val="2"/>
          </w:tcPr>
          <w:p>
            <w:pPr>
              <w:ind w:left="360"/>
              <w:spacing w:after="0" w:line="198" w:lineRule="exact"/>
              <w:rPr>
                <w:sz w:val="20"/>
                <w:szCs w:val="20"/>
                <w:color w:val="auto"/>
              </w:rPr>
            </w:pPr>
            <w:r>
              <w:rPr>
                <w:rFonts w:ascii="Times New Roman" w:cs="Times New Roman" w:eastAsia="Times New Roman" w:hAnsi="Times New Roman"/>
                <w:sz w:val="18"/>
                <w:szCs w:val="18"/>
                <w:color w:val="auto"/>
                <w:w w:val="97"/>
              </w:rPr>
              <w:t>Class A common stock, par value $0.01 per share; 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tcPr>
          <w:p>
            <w:pPr>
              <w:ind w:left="80"/>
              <w:spacing w:after="0" w:line="198" w:lineRule="exact"/>
              <w:rPr>
                <w:sz w:val="20"/>
                <w:szCs w:val="20"/>
                <w:color w:val="auto"/>
              </w:rPr>
            </w:pPr>
            <w:r>
              <w:rPr>
                <w:rFonts w:ascii="Times New Roman" w:cs="Times New Roman" w:eastAsia="Times New Roman" w:hAnsi="Times New Roman"/>
                <w:sz w:val="18"/>
                <w:szCs w:val="18"/>
                <w:color w:val="auto"/>
                <w:w w:val="94"/>
              </w:rPr>
              <w:t>shares authorized, 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60" w:type="dxa"/>
            <w:vAlign w:val="bottom"/>
            <w:gridSpan w:val="2"/>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tcPr>
          <w:p>
            <w:pPr>
              <w:ind w:left="540"/>
              <w:spacing w:after="0" w:line="235" w:lineRule="exact"/>
              <w:rPr>
                <w:sz w:val="20"/>
                <w:szCs w:val="20"/>
                <w:color w:val="auto"/>
              </w:rPr>
            </w:pPr>
            <w:r>
              <w:rPr>
                <w:rFonts w:ascii="Times New Roman" w:cs="Times New Roman" w:eastAsia="Times New Roman" w:hAnsi="Times New Roman"/>
                <w:sz w:val="18"/>
                <w:szCs w:val="18"/>
                <w:color w:val="auto"/>
              </w:rPr>
              <w:t>issued and outstanding, pro forma</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080" w:type="dxa"/>
            <w:vAlign w:val="bottom"/>
            <w:gridSpan w:val="2"/>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w w:val="97"/>
              </w:rPr>
              <w:t>Class B common stock, par value $0.01 per share; 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50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w w:val="94"/>
              </w:rPr>
              <w:t>shares authorized, 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w w:val="70"/>
              </w:rPr>
              <w:t> </w:t>
            </w:r>
          </w:p>
        </w:tc>
        <w:tc>
          <w:tcPr>
            <w:tcW w:w="1860" w:type="dxa"/>
            <w:vAlign w:val="bottom"/>
            <w:gridSpan w:val="2"/>
            <w:shd w:val="clear" w:color="auto" w:fill="CCEEFF"/>
          </w:tcPr>
          <w:p>
            <w:pPr>
              <w:jc w:val="right"/>
              <w:ind w:right="1230"/>
              <w:spacing w:after="0" w:line="198" w:lineRule="exact"/>
              <w:rPr>
                <w:sz w:val="20"/>
                <w:szCs w:val="20"/>
                <w:color w:val="auto"/>
              </w:rPr>
            </w:pPr>
            <w:r>
              <w:rPr>
                <w:rFonts w:ascii="Times New Roman" w:cs="Times New Roman" w:eastAsia="Times New Roman" w:hAnsi="Times New Roman"/>
                <w:sz w:val="18"/>
                <w:szCs w:val="18"/>
                <w:color w:val="auto"/>
              </w:rPr>
              <w:t>shares</w:t>
            </w: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80" w:type="dxa"/>
            <w:vAlign w:val="bottom"/>
            <w:gridSpan w:val="2"/>
            <w:shd w:val="clear" w:color="auto" w:fill="CCEEFF"/>
          </w:tcPr>
          <w:p>
            <w:pPr>
              <w:ind w:left="540"/>
              <w:spacing w:after="0" w:line="235" w:lineRule="exact"/>
              <w:rPr>
                <w:sz w:val="20"/>
                <w:szCs w:val="20"/>
                <w:color w:val="auto"/>
              </w:rPr>
            </w:pPr>
            <w:r>
              <w:rPr>
                <w:rFonts w:ascii="Times New Roman" w:cs="Times New Roman" w:eastAsia="Times New Roman" w:hAnsi="Times New Roman"/>
                <w:sz w:val="18"/>
                <w:szCs w:val="18"/>
                <w:color w:val="auto"/>
              </w:rPr>
              <w:t>issued and outstanding, pro forma</w:t>
            </w:r>
            <w:r>
              <w:rPr>
                <w:rFonts w:ascii="Times New Roman" w:cs="Times New Roman" w:eastAsia="Times New Roman" w:hAnsi="Times New Roman"/>
                <w:sz w:val="26"/>
                <w:szCs w:val="26"/>
                <w:color w:val="auto"/>
                <w:vertAlign w:val="superscript"/>
              </w:rPr>
              <w:t>(5)</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line="216" w:lineRule="exact"/>
              <w:rPr>
                <w:sz w:val="20"/>
                <w:szCs w:val="20"/>
                <w:color w:val="auto"/>
              </w:rPr>
            </w:pPr>
            <w:r>
              <w:rPr>
                <w:rFonts w:ascii="Times New Roman" w:cs="Times New Roman" w:eastAsia="Times New Roman" w:hAnsi="Times New Roman"/>
                <w:sz w:val="17"/>
                <w:szCs w:val="17"/>
                <w:color w:val="auto"/>
              </w:rPr>
              <w:t>Net investment by Comcast</w:t>
            </w:r>
            <w:r>
              <w:rPr>
                <w:rFonts w:ascii="Times New Roman" w:cs="Times New Roman" w:eastAsia="Times New Roman" w:hAnsi="Times New Roman"/>
                <w:sz w:val="25"/>
                <w:szCs w:val="25"/>
                <w:color w:val="auto"/>
                <w:vertAlign w:val="superscript"/>
              </w:rPr>
              <w:t>(5)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10,463</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Additional paid-in capital</w:t>
            </w:r>
            <w:r>
              <w:rPr>
                <w:rFonts w:ascii="Times New Roman" w:cs="Times New Roman" w:eastAsia="Times New Roman" w:hAnsi="Times New Roman"/>
                <w:sz w:val="25"/>
                <w:szCs w:val="25"/>
                <w:color w:val="auto"/>
                <w:vertAlign w:val="superscript"/>
              </w:rPr>
              <w:t>(5)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16"/>
        </w:trPr>
        <w:tc>
          <w:tcPr>
            <w:tcW w:w="40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10,457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8,330</w:t>
            </w:r>
          </w:p>
        </w:tc>
        <w:tc>
          <w:tcPr>
            <w:tcW w:w="0" w:type="dxa"/>
            <w:vAlign w:val="bottom"/>
          </w:tcPr>
          <w:p>
            <w:pPr>
              <w:spacing w:after="0"/>
              <w:rPr>
                <w:sz w:val="1"/>
                <w:szCs w:val="1"/>
                <w:color w:val="auto"/>
              </w:rPr>
            </w:pPr>
          </w:p>
        </w:tc>
      </w:tr>
      <w:tr>
        <w:trPr>
          <w:trHeight w:val="230"/>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w w:val="96"/>
              </w:rPr>
              <w:t>120</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10,577</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8,450</w:t>
            </w:r>
          </w:p>
        </w:tc>
        <w:tc>
          <w:tcPr>
            <w:tcW w:w="0" w:type="dxa"/>
            <w:vAlign w:val="bottom"/>
          </w:tcPr>
          <w:p>
            <w:pPr>
              <w:spacing w:after="0"/>
              <w:rPr>
                <w:sz w:val="1"/>
                <w:szCs w:val="1"/>
                <w:color w:val="auto"/>
              </w:rPr>
            </w:pPr>
          </w:p>
        </w:tc>
      </w:tr>
      <w:tr>
        <w:trPr>
          <w:trHeight w:val="223"/>
        </w:trPr>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capitalization</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20" w:type="dxa"/>
            <w:vAlign w:val="bottom"/>
            <w:tcBorders>
              <w:bottom w:val="single" w:sz="8" w:color="auto"/>
            </w:tcBorders>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2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220" w:hanging="424"/>
        <w:spacing w:after="0" w:line="255" w:lineRule="auto"/>
        <w:tabs>
          <w:tab w:leader="none" w:pos="540"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and cash equivalents actually held by Versant after giving effect to the Separation, the receipt of the proceeds from the Debt Financing Transactions (as defined below) and the payment of the Special Cash Payment will vary, and will depend upon, among other things, working capital and other adjustments (including adjustments related to the payment of fees and expenses related to the Debt Financing Transactions) prior to the Separation.</w:t>
      </w:r>
    </w:p>
    <w:p>
      <w:pPr>
        <w:spacing w:after="0" w:line="2" w:lineRule="exact"/>
        <w:rPr>
          <w:rFonts w:ascii="Times New Roman" w:cs="Times New Roman" w:eastAsia="Times New Roman" w:hAnsi="Times New Roman"/>
          <w:sz w:val="18"/>
          <w:szCs w:val="18"/>
          <w:color w:val="auto"/>
        </w:rPr>
      </w:pPr>
    </w:p>
    <w:p>
      <w:pPr>
        <w:ind w:left="540" w:right="40" w:hanging="424"/>
        <w:spacing w:after="0" w:line="260" w:lineRule="auto"/>
        <w:tabs>
          <w:tab w:leader="none" w:pos="540"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2025, on a pro forma basis, the $750 million Revolving Credit Facility would have been undrawn and all amounts would have been available for borrowing thereunder.</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140"/>
          </w:cols>
          <w:pgMar w:left="320" w:top="455" w:right="439" w:bottom="1440" w:gutter="0" w:footer="0" w:header="0"/>
        </w:sectPr>
      </w:pPr>
    </w:p>
    <w:bookmarkStart w:id="838" w:name="page839"/>
    <w:bookmarkEnd w:id="8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right="40" w:hanging="424"/>
        <w:spacing w:after="0" w:line="257" w:lineRule="auto"/>
        <w:tabs>
          <w:tab w:leader="none" w:pos="540" w:val="left"/>
        </w:tabs>
        <w:numPr>
          <w:ilvl w:val="0"/>
          <w:numId w:val="1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proceeds of the Notes, together with certain additional amounts contributed by Comcast, were deposited into the Escrow Account (as defined herein) and will be released upon the satisfaction of the conditions set forth in the escrow agreement (as described under “Description of Material Indebtedness—Senior Secured Notes”) in connection with the consummation of the Separation.</w:t>
      </w:r>
    </w:p>
    <w:p>
      <w:pPr>
        <w:spacing w:after="0" w:line="1" w:lineRule="exact"/>
        <w:rPr>
          <w:rFonts w:ascii="Times New Roman" w:cs="Times New Roman" w:eastAsia="Times New Roman" w:hAnsi="Times New Roman"/>
          <w:sz w:val="18"/>
          <w:szCs w:val="18"/>
          <w:color w:val="auto"/>
        </w:rPr>
      </w:pPr>
    </w:p>
    <w:p>
      <w:pPr>
        <w:ind w:left="540" w:hanging="424"/>
        <w:spacing w:after="0" w:line="250" w:lineRule="auto"/>
        <w:tabs>
          <w:tab w:leader="none" w:pos="540" w:val="left"/>
        </w:tabs>
        <w:numPr>
          <w:ilvl w:val="0"/>
          <w:numId w:val="1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$45 million of estimated debt issuance costs incurred in connection with entrance into the Term A Loan Facility, the Term B Loan Facility, the Revolving Credit Facility and issuance of the Notes, comprised of (i) structuring and commitment fees related to the financings, (ii) arranger fees and OID related to the Term B Loan Facility, and (iii) the initial purchasers’ discount to the offering price and the offering expenses of the Notes.</w:t>
      </w:r>
    </w:p>
    <w:p>
      <w:pPr>
        <w:spacing w:after="0" w:line="1"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Separation, Comcast’s net investment in us will be eliminated to reflect the distribution of our common stock to Comcast’s shareholders.</w:t>
      </w:r>
    </w:p>
    <w:p>
      <w:pPr>
        <w:spacing w:after="0" w:line="13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320" w:top="455" w:right="579" w:bottom="1440" w:gutter="0" w:footer="0" w:header="0"/>
        </w:sectPr>
      </w:pPr>
    </w:p>
    <w:bookmarkStart w:id="839" w:name="page840"/>
    <w:bookmarkEnd w:id="8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following unaudited pro forma combined financial statements (the “pro forma financial statements”) were prepared in accordance with Article 11 of Regulation S-X and consist of unaudited pro forma combined statements of income for the six months ended June 30, 2025 and the year ended December 31, 2024 (collectively, the “pro forma statements of income”), an unaudited pro forma combined balance sheet (the “pro forma balance sheet”) as of June 30, 2025 and related notes. The pro forma financial statements reflect adjustments to our unaudited condensed combined statement of income for the six months ended June 30, 2025, our audited combined statement of income for the year ended December 31, 2024 and our unaudited condensed combined balance sheet as of June 30, 2025 (collectively, the “combined financial statements”).</w:t>
      </w:r>
    </w:p>
    <w:p>
      <w:pPr>
        <w:spacing w:after="0" w:line="187"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pro forma statements of income give effect to the Separation and related transactions, described below, as if they had occurred on January 1, 2024, the beginning of our most recently completed fiscal year. The pro forma balance sheet gives effect to the Separation and related transactions as if they occurred as of June 30, 2025, our latest balance sheet date.</w:t>
      </w:r>
    </w:p>
    <w:p>
      <w:pPr>
        <w:spacing w:after="0" w:line="176"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have been prepared to reflect transaction accounting and autonomous entity adjustments to present our results of operations and financial condition as if we were a separate standalone entity. In addition, we have provided a presentation of management adjustments that management believes are useful to enhance an understanding of the pro forma effects of the transactions. The pro forma financial statements have been adjusted to give effect to the following (collectively, the “Pro Forma Transactions”):</w:t>
      </w:r>
    </w:p>
    <w:p>
      <w:pPr>
        <w:spacing w:after="0" w:line="85" w:lineRule="exact"/>
        <w:rPr>
          <w:sz w:val="20"/>
          <w:szCs w:val="20"/>
          <w:color w:val="auto"/>
        </w:rPr>
      </w:pPr>
    </w:p>
    <w:p>
      <w:pPr>
        <w:ind w:left="1080" w:right="20" w:hanging="424"/>
        <w:spacing w:after="0" w:line="266" w:lineRule="auto"/>
        <w:tabs>
          <w:tab w:leader="none" w:pos="1080" w:val="left"/>
        </w:tabs>
        <w:numPr>
          <w:ilvl w:val="0"/>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 of assets and liabilities that comprise our business by Comcast pursuant to the Separation and Distribution Agreement, including the expected transfer to us, prior to or concurrent with the Separation of various Comcast assets and liabilities not included in the combined financial statements;</w:t>
      </w:r>
    </w:p>
    <w:p>
      <w:pPr>
        <w:sectPr>
          <w:pgSz w:w="11900" w:h="16838" w:orient="portrait"/>
          <w:cols w:equalWidth="0" w:num="1">
            <w:col w:w="11120"/>
          </w:cols>
          <w:pgMar w:left="320" w:top="455" w:right="459" w:bottom="1440" w:gutter="0" w:footer="0" w:header="0"/>
        </w:sectPr>
      </w:pPr>
    </w:p>
    <w:p>
      <w:pPr>
        <w:spacing w:after="0" w:line="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anticipated post-Distribution capital structure, including (i) the issuance of approximately        shares of our Class A common stock and        shares of our Class B common stock to holders of Comcast common stock in connection with the Separation and</w:t>
      </w:r>
    </w:p>
    <w:p>
      <w:pPr>
        <w:spacing w:after="0" w:line="1" w:lineRule="exact"/>
        <w:rPr>
          <w:sz w:val="20"/>
          <w:szCs w:val="20"/>
          <w:color w:val="auto"/>
        </w:rPr>
      </w:pPr>
    </w:p>
    <w:p>
      <w:pPr>
        <w:sectPr>
          <w:pgSz w:w="11900" w:h="16838" w:orient="portrait"/>
          <w:cols w:equalWidth="0" w:num="2">
            <w:col w:w="720" w:space="360"/>
            <w:col w:w="10040"/>
          </w:cols>
          <w:pgMar w:left="320" w:top="455" w:right="459" w:bottom="1440" w:gutter="0" w:footer="0" w:header="0"/>
          <w:type w:val="continuous"/>
        </w:sectPr>
      </w:pPr>
    </w:p>
    <w:p>
      <w:pPr>
        <w:ind w:left="1080"/>
        <w:spacing w:after="0"/>
        <w:rPr>
          <w:sz w:val="20"/>
          <w:szCs w:val="20"/>
          <w:color w:val="auto"/>
        </w:rPr>
      </w:pPr>
      <w:r>
        <w:rPr>
          <w:rFonts w:ascii="Times New Roman" w:cs="Times New Roman" w:eastAsia="Times New Roman" w:hAnsi="Times New Roman"/>
          <w:sz w:val="18"/>
          <w:szCs w:val="18"/>
          <w:color w:val="auto"/>
        </w:rPr>
        <w:t>(ii) the Debt Financing Transactions;</w:t>
      </w:r>
    </w:p>
    <w:p>
      <w:pPr>
        <w:spacing w:after="0" w:line="112" w:lineRule="exact"/>
        <w:rPr>
          <w:sz w:val="20"/>
          <w:szCs w:val="20"/>
          <w:color w:val="auto"/>
        </w:rPr>
      </w:pPr>
    </w:p>
    <w:p>
      <w:pPr>
        <w:ind w:left="1080" w:right="160" w:hanging="424"/>
        <w:spacing w:after="0" w:line="282" w:lineRule="auto"/>
        <w:tabs>
          <w:tab w:leader="none" w:pos="1080" w:val="left"/>
        </w:tabs>
        <w:numPr>
          <w:ilvl w:val="0"/>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Tax Matters Agreement and Employee Matters Agreement, both to be entered into with Comcast in connection with the Separation;</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Transition Services Agreement and certain other commercial agreements to be entered into with Comcast in connection with the Separation (see “The Separation—Agreements with Comcast”); and</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 costs and other amounts expected to be incurred as an autonomous entity and specifically related to the Separation and other adjustments described in the notes to the unaudited pro forma financial statements.</w:t>
      </w:r>
    </w:p>
    <w:p>
      <w:pPr>
        <w:spacing w:after="0" w:line="16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The pro forma financial statements are presented for informational purposes only and do not purport to represent what our results of operations and financial position actually would have been had the Pro Forma Transactions occurred on the dates indicated, or to project our financial performance for any future period. The pro forma financial statements are based on available information, estimates and assumptions, which we believe are reasonable and are described in the accompanying notes. Actual future results will differ from the amounts presented.</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combined financial statements, which were the basis for the pro forma financial statements, were prepared on a carve-out basis as we did not operate as a standalone entity for the periods presented. Accordingly, such financial statements reflect allocations related to shared services and assets (including expenses primarily related to personnel, advertising and marketing, facilities, information technology and network communications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120"/>
          </w:cols>
          <w:pgMar w:left="320" w:top="455" w:right="459" w:bottom="1440" w:gutter="0" w:footer="0" w:header="0"/>
          <w:type w:val="continuous"/>
        </w:sectPr>
      </w:pPr>
    </w:p>
    <w:bookmarkStart w:id="840" w:name="page841"/>
    <w:bookmarkEnd w:id="8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support and other overhead functions) and certain corporate administrative services (including charges for services such as accounting, tax, treasury and cash management, insurance, legal and risk management) that were provided to us by Comcast. See Note 5 to the unaudited condensed combined financial statements and Note 10 to the audited combined financial statements included elsewhere in this information statement for further information.</w:t>
      </w:r>
    </w:p>
    <w:p>
      <w:pPr>
        <w:spacing w:after="0" w:line="176"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pro forma financial statements should be read in conjunction with the sections herein entitled “Capitalization,” “Management’s Discussion and Analysis of Financial Condition and Results of Operations,” “Certain Relationships and Related Person Transactions” and “The Separation” as well as the combined financial statements, and the corresponding notes included elsewhere in this information statement. For factors that could cause actual results to differ materially from those presented in the unaudited pro forma combined financial statements, see “Cautionary Statement Concerning Forward-Looking Statements” and “Risk Factors” included elsewhere in this information statement.</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60"/>
          </w:cols>
          <w:pgMar w:left="320" w:top="455" w:right="519" w:bottom="1440" w:gutter="0" w:footer="0" w:header="0"/>
        </w:sectPr>
      </w:pPr>
    </w:p>
    <w:bookmarkStart w:id="841" w:name="page842"/>
    <w:bookmarkEnd w:id="8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2025</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3"/>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8"/>
              </w:rPr>
              <w:t>Historical</w:t>
            </w:r>
          </w:p>
        </w:tc>
        <w:tc>
          <w:tcPr>
            <w:tcW w:w="260" w:type="dxa"/>
            <w:vAlign w:val="bottom"/>
          </w:tcPr>
          <w:p>
            <w:pPr>
              <w:spacing w:after="0"/>
              <w:rPr>
                <w:sz w:val="12"/>
                <w:szCs w:val="12"/>
                <w:color w:val="auto"/>
              </w:rPr>
            </w:pPr>
          </w:p>
        </w:tc>
        <w:tc>
          <w:tcPr>
            <w:tcW w:w="1060" w:type="dxa"/>
            <w:vAlign w:val="bottom"/>
            <w:gridSpan w:val="3"/>
          </w:tcPr>
          <w:p>
            <w:pPr>
              <w:jc w:val="right"/>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jc w:val="right"/>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78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gridSpan w:val="3"/>
            <w:vMerge w:val="continue"/>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78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80" w:type="dxa"/>
            <w:vAlign w:val="bottom"/>
            <w:tcBorders>
              <w:top w:val="single" w:sz="8" w:color="auto"/>
            </w:tcBorders>
            <w:gridSpan w:val="7"/>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7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3,415</w:t>
            </w:r>
          </w:p>
        </w:tc>
        <w:tc>
          <w:tcPr>
            <w:tcW w:w="52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1,354</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w:t>
            </w: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1,349</w:t>
            </w:r>
          </w:p>
        </w:tc>
        <w:tc>
          <w:tcPr>
            <w:tcW w:w="0" w:type="dxa"/>
            <w:vAlign w:val="bottom"/>
          </w:tcPr>
          <w:p>
            <w:pPr>
              <w:spacing w:after="0"/>
              <w:rPr>
                <w:sz w:val="1"/>
                <w:szCs w:val="1"/>
                <w:color w:val="auto"/>
              </w:rPr>
            </w:pPr>
          </w:p>
        </w:tc>
      </w:tr>
      <w:tr>
        <w:trPr>
          <w:trHeight w:val="216"/>
        </w:trPr>
        <w:tc>
          <w:tcPr>
            <w:tcW w:w="5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w:t>
            </w: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g,h,j</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489</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910</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862</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101</w:t>
            </w:r>
          </w:p>
        </w:tc>
        <w:tc>
          <w:tcPr>
            <w:tcW w:w="4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908</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w:t>
            </w:r>
          </w:p>
        </w:tc>
        <w:tc>
          <w:tcPr>
            <w:tcW w:w="4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(63)</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360" w:type="dxa"/>
            <w:vAlign w:val="bottom"/>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k</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140"/>
          </w:cols>
          <w:pgMar w:left="320" w:top="455" w:right="439" w:bottom="1440" w:gutter="0" w:footer="0" w:header="0"/>
        </w:sectPr>
      </w:pPr>
    </w:p>
    <w:bookmarkStart w:id="842" w:name="page843"/>
    <w:bookmarkEnd w:id="8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Statement of Income</w:t>
      </w:r>
    </w:p>
    <w:p>
      <w:pPr>
        <w:spacing w:after="0" w:line="11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 the Year Ended December 31, 2024</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0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880" w:type="dxa"/>
            <w:vAlign w:val="bottom"/>
          </w:tcPr>
          <w:p>
            <w:pPr>
              <w:spacing w:after="0"/>
              <w:rPr>
                <w:sz w:val="12"/>
                <w:szCs w:val="12"/>
                <w:color w:val="auto"/>
              </w:rPr>
            </w:pPr>
          </w:p>
        </w:tc>
        <w:tc>
          <w:tcPr>
            <w:tcW w:w="10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00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68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173"/>
        </w:trPr>
        <w:tc>
          <w:tcPr>
            <w:tcW w:w="5880" w:type="dxa"/>
            <w:vAlign w:val="bottom"/>
          </w:tcPr>
          <w:p>
            <w:pPr>
              <w:spacing w:after="0"/>
              <w:rPr>
                <w:sz w:val="15"/>
                <w:szCs w:val="15"/>
                <w:color w:val="auto"/>
              </w:rPr>
            </w:pPr>
          </w:p>
        </w:tc>
        <w:tc>
          <w:tcPr>
            <w:tcW w:w="1020" w:type="dxa"/>
            <w:vAlign w:val="bottom"/>
            <w:gridSpan w:val="3"/>
            <w:vMerge w:val="continue"/>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8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7"/>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6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7,062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$7,062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3,064</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w:t>
            </w: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3,069</w:t>
            </w:r>
          </w:p>
        </w:tc>
        <w:tc>
          <w:tcPr>
            <w:tcW w:w="0" w:type="dxa"/>
            <w:vAlign w:val="bottom"/>
          </w:tcPr>
          <w:p>
            <w:pPr>
              <w:spacing w:after="0"/>
              <w:rPr>
                <w:sz w:val="1"/>
                <w:szCs w:val="1"/>
                <w:color w:val="auto"/>
              </w:rPr>
            </w:pPr>
          </w:p>
        </w:tc>
      </w:tr>
      <w:tr>
        <w:trPr>
          <w:trHeight w:val="216"/>
        </w:trPr>
        <w:tc>
          <w:tcPr>
            <w:tcW w:w="5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1,167</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a,b</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231</w:t>
            </w: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g,h,j</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989</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1,007</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4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1,841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1,663</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208</w:t>
            </w:r>
          </w:p>
        </w:tc>
        <w:tc>
          <w:tcPr>
            <w:tcW w:w="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(224)</w:t>
            </w:r>
          </w:p>
        </w:tc>
        <w:tc>
          <w:tcPr>
            <w:tcW w:w="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1,457</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(478)</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42</w:t>
            </w:r>
          </w:p>
        </w:tc>
        <w:tc>
          <w:tcPr>
            <w:tcW w:w="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57</w:t>
            </w: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(379)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1,365</w:t>
            </w:r>
          </w:p>
        </w:tc>
        <w:tc>
          <w:tcPr>
            <w:tcW w:w="26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(166)</w:t>
            </w:r>
          </w:p>
        </w:tc>
        <w:tc>
          <w:tcPr>
            <w:tcW w:w="68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1,078</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420" w:type="dxa"/>
            <w:vAlign w:val="bottom"/>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$1,076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earnings per share of common stock</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8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1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140"/>
          </w:cols>
          <w:pgMar w:left="320" w:top="455" w:right="439" w:bottom="1440" w:gutter="0" w:footer="0" w:header="0"/>
        </w:sectPr>
      </w:pPr>
    </w:p>
    <w:bookmarkStart w:id="843" w:name="page844"/>
    <w:bookmarkEnd w:id="8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Pro Forma Combined Balance Sheet</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 of June 30, 2025</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1120" w:type="dxa"/>
            <w:vAlign w:val="bottom"/>
          </w:tcPr>
          <w:p>
            <w:pPr>
              <w:spacing w:after="0"/>
              <w:rPr>
                <w:sz w:val="13"/>
                <w:szCs w:val="13"/>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Autonomous</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Pro</w:t>
            </w:r>
          </w:p>
        </w:tc>
        <w:tc>
          <w:tcPr>
            <w:tcW w:w="0" w:type="dxa"/>
            <w:vAlign w:val="bottom"/>
          </w:tcPr>
          <w:p>
            <w:pPr>
              <w:spacing w:after="0"/>
              <w:rPr>
                <w:sz w:val="1"/>
                <w:szCs w:val="1"/>
                <w:color w:val="auto"/>
              </w:rPr>
            </w:pPr>
          </w:p>
        </w:tc>
      </w:tr>
      <w:tr>
        <w:trPr>
          <w:trHeight w:val="148"/>
        </w:trPr>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Historical</w:t>
            </w:r>
          </w:p>
        </w:tc>
        <w:tc>
          <w:tcPr>
            <w:tcW w:w="120" w:type="dxa"/>
            <w:vAlign w:val="bottom"/>
          </w:tcPr>
          <w:p>
            <w:pPr>
              <w:spacing w:after="0"/>
              <w:rPr>
                <w:sz w:val="12"/>
                <w:szCs w:val="12"/>
                <w:color w:val="auto"/>
              </w:rPr>
            </w:pPr>
          </w:p>
        </w:tc>
        <w:tc>
          <w:tcPr>
            <w:tcW w:w="1020" w:type="dxa"/>
            <w:vAlign w:val="bottom"/>
            <w:gridSpan w:val="3"/>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gridSpan w:val="2"/>
          </w:tcPr>
          <w:p>
            <w:pPr>
              <w:jc w:val="right"/>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Entity</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120" w:type="dxa"/>
            <w:vAlign w:val="bottom"/>
          </w:tcPr>
          <w:p>
            <w:pPr>
              <w:spacing w:after="0"/>
              <w:rPr>
                <w:sz w:val="15"/>
                <w:szCs w:val="15"/>
                <w:color w:val="auto"/>
              </w:rPr>
            </w:pP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8"/>
              </w:rPr>
              <w:t>Forma</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0" w:type="dxa"/>
            <w:vAlign w:val="bottom"/>
            <w:tcBorders>
              <w:top w:val="single" w:sz="8" w:color="auto"/>
            </w:tcBorders>
            <w:gridSpan w:val="6"/>
          </w:tcPr>
          <w:p>
            <w:pPr>
              <w:jc w:val="right"/>
              <w:ind w:right="3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6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705</w:t>
            </w: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709</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1,411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(76)</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1,335</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7,732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11,610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12,491</w:t>
            </w:r>
          </w:p>
        </w:tc>
        <w:tc>
          <w:tcPr>
            <w:tcW w:w="0" w:type="dxa"/>
            <w:vAlign w:val="bottom"/>
          </w:tcPr>
          <w:p>
            <w:pPr>
              <w:spacing w:after="0"/>
              <w:rPr>
                <w:sz w:val="1"/>
                <w:szCs w:val="1"/>
                <w:color w:val="auto"/>
              </w:rPr>
            </w:pPr>
          </w:p>
        </w:tc>
      </w:tr>
      <w:tr>
        <w:trPr>
          <w:trHeight w:val="20"/>
        </w:trPr>
        <w:tc>
          <w:tcPr>
            <w:tcW w:w="4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60" w:type="dxa"/>
            <w:vAlign w:val="bottom"/>
            <w:vMerge w:val="continue"/>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tcPr>
          <w:p>
            <w:pPr>
              <w:spacing w:after="0"/>
              <w:rPr>
                <w:sz w:val="18"/>
                <w:szCs w:val="18"/>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w:t>
            </w:r>
          </w:p>
        </w:tc>
        <w:tc>
          <w:tcPr>
            <w:tcW w:w="6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h,j</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w:t>
            </w: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Noncurrent portion of debt</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2,835</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2,835</w:t>
            </w:r>
          </w:p>
        </w:tc>
        <w:tc>
          <w:tcPr>
            <w:tcW w:w="0" w:type="dxa"/>
            <w:vAlign w:val="bottom"/>
          </w:tcPr>
          <w:p>
            <w:pPr>
              <w:spacing w:after="0"/>
              <w:rPr>
                <w:sz w:val="1"/>
                <w:szCs w:val="1"/>
                <w:color w:val="auto"/>
              </w:rPr>
            </w:pP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w:t>
            </w: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investment by Comcast</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10,463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(10,463)</w:t>
            </w: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a,b,c,d,e,f</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Class A common stock, $0.01 par value</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8,350</w:t>
            </w:r>
          </w:p>
        </w:tc>
        <w:tc>
          <w:tcPr>
            <w:tcW w:w="1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w:t>
            </w:r>
          </w:p>
        </w:tc>
        <w:tc>
          <w:tcPr>
            <w:tcW w:w="16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h,j</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Versant parent and shareholders’ equity</w:t>
            </w:r>
          </w:p>
        </w:tc>
        <w:tc>
          <w:tcPr>
            <w:tcW w:w="8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w:t>
            </w:r>
          </w:p>
        </w:tc>
        <w:tc>
          <w:tcPr>
            <w:tcW w:w="0" w:type="dxa"/>
            <w:vAlign w:val="bottom"/>
          </w:tcPr>
          <w:p>
            <w:pPr>
              <w:spacing w:after="0"/>
              <w:rPr>
                <w:sz w:val="1"/>
                <w:szCs w:val="1"/>
                <w:color w:val="auto"/>
              </w:rPr>
            </w:pPr>
          </w:p>
        </w:tc>
      </w:tr>
      <w:tr>
        <w:trPr>
          <w:trHeight w:val="230"/>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(2,112)</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96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11,610</w:t>
            </w:r>
          </w:p>
        </w:tc>
        <w:tc>
          <w:tcPr>
            <w:tcW w:w="2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870</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12,491</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pro forma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140"/>
          </w:cols>
          <w:pgMar w:left="320" w:top="455" w:right="439" w:bottom="1440" w:gutter="0" w:footer="0" w:header="0"/>
        </w:sectPr>
      </w:pPr>
    </w:p>
    <w:bookmarkStart w:id="844" w:name="page845"/>
    <w:bookmarkEnd w:id="8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Pro Forma Financial Statements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millions, unless stated otherwise)</w:t>
      </w:r>
    </w:p>
    <w:p>
      <w:pPr>
        <w:spacing w:after="0" w:line="207" w:lineRule="exact"/>
        <w:rPr>
          <w:sz w:val="20"/>
          <w:szCs w:val="20"/>
          <w:color w:val="auto"/>
        </w:rPr>
      </w:pPr>
    </w:p>
    <w:p>
      <w:pPr>
        <w:ind w:left="120" w:right="580"/>
        <w:spacing w:after="0" w:line="282" w:lineRule="auto"/>
        <w:rPr>
          <w:sz w:val="20"/>
          <w:szCs w:val="20"/>
          <w:color w:val="auto"/>
        </w:rPr>
      </w:pPr>
      <w:r>
        <w:rPr>
          <w:rFonts w:ascii="Times New Roman" w:cs="Times New Roman" w:eastAsia="Times New Roman" w:hAnsi="Times New Roman"/>
          <w:sz w:val="18"/>
          <w:szCs w:val="18"/>
          <w:color w:val="auto"/>
        </w:rPr>
        <w:t>The unaudited pro forma combined statements of income for the six months ended June 30, 2025 and the year ended December 31, 2024 and the unaudited pro forma combined balance sheet as of June 30, 2025 include the following adjustments: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Transaction Accounting Adjustments</w:t>
      </w:r>
    </w:p>
    <w:p>
      <w:pPr>
        <w:spacing w:after="0" w:line="135" w:lineRule="exact"/>
        <w:rPr>
          <w:sz w:val="20"/>
          <w:szCs w:val="20"/>
          <w:color w:val="auto"/>
        </w:rPr>
      </w:pPr>
    </w:p>
    <w:p>
      <w:pPr>
        <w:ind w:left="540" w:right="60" w:hanging="424"/>
        <w:spacing w:after="0" w:line="261" w:lineRule="auto"/>
        <w:tabs>
          <w:tab w:leader="none" w:pos="540"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separation charges we expect to incur through the closing of the Separation. These adjustments include estimated non-recurring expenses of $10 million recorded in selling, general and administrative expenses for the year ended December 31, 2024, and the related accrual of $10 million as of June 30, 2025 recorded in accrued expenses and other current liabilities. Actual charges that will be incurred could be different from these estimates.</w:t>
      </w:r>
    </w:p>
    <w:p>
      <w:pPr>
        <w:spacing w:after="0" w:line="85" w:lineRule="exact"/>
        <w:rPr>
          <w:rFonts w:ascii="Times New Roman" w:cs="Times New Roman" w:eastAsia="Times New Roman" w:hAnsi="Times New Roman"/>
          <w:sz w:val="18"/>
          <w:szCs w:val="18"/>
          <w:color w:val="auto"/>
        </w:rPr>
      </w:pPr>
    </w:p>
    <w:p>
      <w:pPr>
        <w:ind w:left="540" w:right="80" w:hanging="424"/>
        <w:spacing w:after="0" w:line="252" w:lineRule="auto"/>
        <w:tabs>
          <w:tab w:leader="none" w:pos="540"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impacts of assets, and related liabilities and expenses, that, pursuant to the terms of the Separation and Distribution Agreement, are expected to be contributed to Versant, but were shared assets for the periods presented in the combined financial statements and therefore were excluded from the combined financial statements. These adjustments resulted in additional assets of $242 million primarily related to owned or leased operating facilities and related equipment (including the key operational hub located in Englewood Cliffs, New Jersey) and third-party agreements for content. The unaudited pro forma combined statements of income include adjustments to add related depreciation expense and costs of revenue, and remove amounts previously allocated to selling, general and administrative expenses for such shared assets. These adjustments also reflect the impact of assets and related liabilities and expenses that were historically dedicated to the Versant businesses and included in our combined financial statements, but which are expected to remain with Comcast. These adjustments resulted in the removal of assets totaling $76 million primarily related to the MSNBC and CNBC trademarks, and include adjustments to the unaudited pro forma combined statements of income to remove related depreciation and amortization expenses and add estimated costs associated with trademark license agreements between Comcast and Versant pertaining to such assets that are expected to be in place following the Separation. There may be additional assets, liabilities or related expenses transferred to Versant or to Comcast in the Separation for which the transfer has not yet been finalized. Accordingly, these pro forma financial statements may be further updated prior to the effectiveness of the Form 10 of which this information statement forms a part.</w:t>
      </w:r>
    </w:p>
    <w:p>
      <w:pPr>
        <w:spacing w:after="0" w:line="102" w:lineRule="exact"/>
        <w:rPr>
          <w:rFonts w:ascii="Times New Roman" w:cs="Times New Roman" w:eastAsia="Times New Roman" w:hAnsi="Times New Roman"/>
          <w:sz w:val="18"/>
          <w:szCs w:val="18"/>
          <w:color w:val="auto"/>
        </w:rPr>
      </w:pPr>
    </w:p>
    <w:p>
      <w:pPr>
        <w:ind w:left="540" w:right="60" w:hanging="424"/>
        <w:spacing w:after="0" w:line="254" w:lineRule="auto"/>
        <w:tabs>
          <w:tab w:leader="none" w:pos="540"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unaudited pro forma condensed combined balance sheet reflects the following senior secured financing arrangements (the “Debt Financing Transactions”): (i) the TLA/Revolver Credit Agreement, dated October 3, 2025, consisting of (A) the $1.0 billion Term A Loan Facility and (B) the $750 million Revolving Credit Facility; (ii) the Indenture, dated October 29, 2025, with respect to the $1.0 billion aggregate principal amount of Notes; and (iii) the TLB Credit Agreement, expected to be entered into in connection with the Separation, consisting of the $1.0 billion Term B Loan Facility. A portion of the proceeds of such indebtedness is expected to be used to fund the Special Cash Payment of approximately</w:t>
      </w:r>
    </w:p>
    <w:p>
      <w:pPr>
        <w:spacing w:after="0" w:line="3" w:lineRule="exact"/>
        <w:rPr>
          <w:rFonts w:ascii="Times New Roman" w:cs="Times New Roman" w:eastAsia="Times New Roman" w:hAnsi="Times New Roman"/>
          <w:sz w:val="18"/>
          <w:szCs w:val="18"/>
          <w:color w:val="auto"/>
        </w:rPr>
      </w:pPr>
    </w:p>
    <w:p>
      <w:pPr>
        <w:ind w:left="5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 billion to Comcast as consideration for assets that will be contributed to us in connection with the Separation, with the remainder being used for general corporate purposes. The amount of cash and cash equivalents actually held by Versant after giving effect to the Separation, the receipt of the proceeds from the Debt Financing Transactions and the payment of the Special Cash Payment may vary, and will depend upon, among other things, working capital and other adjustments prior to the Separation.</w:t>
      </w:r>
    </w:p>
    <w:p>
      <w:pPr>
        <w:spacing w:after="0" w:line="80" w:lineRule="exact"/>
        <w:rPr>
          <w:rFonts w:ascii="Times New Roman" w:cs="Times New Roman" w:eastAsia="Times New Roman" w:hAnsi="Times New Roman"/>
          <w:sz w:val="18"/>
          <w:szCs w:val="18"/>
          <w:color w:val="auto"/>
        </w:rPr>
      </w:pPr>
    </w:p>
    <w:p>
      <w:pPr>
        <w:ind w:left="5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debt, including the expected TLB Credit Agreement, has maturities of approximately five years and an estimated weighted average interest rate of 6.7%. A hypothetical 1/8% change to the interest rate would change interest expense by $2 million and $4 million for the six months ended June 30, 2025 and the year ended December 31, 2024, respectively.</w:t>
      </w:r>
    </w:p>
    <w:p>
      <w:pPr>
        <w:spacing w:after="0" w:line="67" w:lineRule="exact"/>
        <w:rPr>
          <w:rFonts w:ascii="Times New Roman" w:cs="Times New Roman" w:eastAsia="Times New Roman" w:hAnsi="Times New Roman"/>
          <w:sz w:val="18"/>
          <w:szCs w:val="18"/>
          <w:color w:val="auto"/>
        </w:rPr>
      </w:pPr>
    </w:p>
    <w:p>
      <w:pPr>
        <w:ind w:left="560" w:right="4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debt issuance costs associated with the indebtedness are estimated to be $45 million and presented as a reduction of our noncurrent portion of debt and amortized to interest expense. See “Capitalization,”</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845" w:name="page846"/>
    <w:bookmarkEnd w:id="8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560" w:right="180"/>
        <w:spacing w:after="0" w:line="282"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Operations—Liquidity and Capital Resources” and “Description of Material Indebtedness” for additional details.</w:t>
      </w:r>
    </w:p>
    <w:p>
      <w:pPr>
        <w:spacing w:after="0" w:line="67" w:lineRule="exact"/>
        <w:rPr>
          <w:sz w:val="20"/>
          <w:szCs w:val="20"/>
          <w:color w:val="auto"/>
        </w:rPr>
      </w:pPr>
    </w:p>
    <w:p>
      <w:pPr>
        <w:ind w:left="540" w:right="20" w:hanging="424"/>
        <w:spacing w:after="0" w:line="261" w:lineRule="auto"/>
        <w:tabs>
          <w:tab w:leader="none" w:pos="54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Pro Forma Transactions and the pro forma adjustments using an estimated income tax rate of 26% for the six months ended June 30, 2025 and the year ended December 31, 2024, based on the statutory rate for the jurisdictions in which we operate. Management believes the statutory tax rate provides a reasonable basis for the pro forma adjustment. However, the effective tax rate of Versant could be significantly different depending on actual operating results and the application of enacted tax laws applicable to those results.</w:t>
      </w:r>
    </w:p>
    <w:p>
      <w:pPr>
        <w:spacing w:after="0" w:line="85" w:lineRule="exact"/>
        <w:rPr>
          <w:rFonts w:ascii="Times New Roman" w:cs="Times New Roman" w:eastAsia="Times New Roman" w:hAnsi="Times New Roman"/>
          <w:sz w:val="18"/>
          <w:szCs w:val="18"/>
          <w:color w:val="auto"/>
        </w:rPr>
      </w:pPr>
    </w:p>
    <w:p>
      <w:pPr>
        <w:ind w:left="540" w:right="140" w:hanging="424"/>
        <w:spacing w:after="0" w:line="266" w:lineRule="auto"/>
        <w:tabs>
          <w:tab w:leader="none" w:pos="54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$58 million of obligations related to certain employee plans expected to be transferred from Comcast to Versant prior to the Separation pursuant to the terms of the Employee Matters Agreement. This adjustment also reflects $45 million of employee-related obligations included in our combined financial statements, but which are expected to be retained by Comcast pursuant to the terms of the Employee Matters Agreement.</w:t>
      </w:r>
    </w:p>
    <w:p>
      <w:pPr>
        <w:spacing w:after="0" w:line="81" w:lineRule="exact"/>
        <w:rPr>
          <w:rFonts w:ascii="Times New Roman" w:cs="Times New Roman" w:eastAsia="Times New Roman" w:hAnsi="Times New Roman"/>
          <w:sz w:val="18"/>
          <w:szCs w:val="18"/>
          <w:color w:val="auto"/>
        </w:rPr>
      </w:pPr>
    </w:p>
    <w:p>
      <w:pPr>
        <w:ind w:left="540" w:right="260" w:hanging="424"/>
        <w:spacing w:after="0" w:line="261" w:lineRule="auto"/>
        <w:tabs>
          <w:tab w:leader="none" w:pos="54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issuance of shares of our Class A common stock with a par value of $0.01 per share and Class B common stock with a par value of $0.01 per share pursuant to the Separation and Distribution Agreement and the related reclassification of Comcast’s net investment in our</w:t>
      </w:r>
    </w:p>
    <w:p>
      <w:pPr>
        <w:ind w:left="540" w:right="500"/>
        <w:spacing w:after="0" w:line="250" w:lineRule="auto"/>
        <w:rPr>
          <w:sz w:val="20"/>
          <w:szCs w:val="20"/>
          <w:color w:val="auto"/>
        </w:rPr>
      </w:pPr>
      <w:r>
        <w:rPr>
          <w:rFonts w:ascii="Times New Roman" w:cs="Times New Roman" w:eastAsia="Times New Roman" w:hAnsi="Times New Roman"/>
          <w:sz w:val="18"/>
          <w:szCs w:val="18"/>
          <w:color w:val="auto"/>
        </w:rPr>
        <w:t>Company with a corresponding net increase in additional paid-in capital. We have assumed the number of outstanding shares of our Class A common stock and Class B common stock based on shares of Comcast common stock outstanding, on the basis of the distribution ratio</w:t>
      </w:r>
    </w:p>
    <w:p>
      <w:pPr>
        <w:spacing w:after="0" w:line="1" w:lineRule="exact"/>
        <w:rPr>
          <w:sz w:val="20"/>
          <w:szCs w:val="20"/>
          <w:color w:val="auto"/>
        </w:rPr>
      </w:pPr>
    </w:p>
    <w:p>
      <w:pPr>
        <w:ind w:left="540" w:right="80"/>
        <w:spacing w:after="0" w:line="255" w:lineRule="auto"/>
        <w:rPr>
          <w:sz w:val="20"/>
          <w:szCs w:val="20"/>
          <w:color w:val="auto"/>
        </w:rPr>
      </w:pPr>
      <w:r>
        <w:rPr>
          <w:rFonts w:ascii="Times New Roman" w:cs="Times New Roman" w:eastAsia="Times New Roman" w:hAnsi="Times New Roman"/>
          <w:sz w:val="18"/>
          <w:szCs w:val="18"/>
          <w:color w:val="auto"/>
        </w:rPr>
        <w:t>of        share(s) of our common stock distributed for every share of Comcast common stock, and using approximately         shares of Comcast Class A common stock and        shares of Comcast Class B common stock outstanding as of        , 2025. The actual number of shares issued will not be known until the record date for the distribution.</w:t>
      </w:r>
    </w:p>
    <w:p>
      <w:pPr>
        <w:spacing w:after="0" w:line="78" w:lineRule="exact"/>
        <w:rPr>
          <w:sz w:val="20"/>
          <w:szCs w:val="20"/>
          <w:color w:val="auto"/>
        </w:rPr>
      </w:pPr>
    </w:p>
    <w:tbl>
      <w:tblPr>
        <w:tblLayout w:type="fixed"/>
        <w:tblInd w:w="560" w:type="dxa"/>
        <w:tblCellMar>
          <w:top w:w="0" w:type="dxa"/>
          <w:left w:w="0" w:type="dxa"/>
          <w:bottom w:w="0" w:type="dxa"/>
          <w:right w:w="0" w:type="dxa"/>
        </w:tblCellMar>
      </w:tblPr>
      <w:tr>
        <w:trPr>
          <w:trHeight w:val="234"/>
        </w:trPr>
        <w:tc>
          <w:tcPr>
            <w:tcW w:w="8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Summary of amounts reclassified from net investment by Comcast to additional paid-in capital (in millions):</w:t>
            </w:r>
          </w:p>
        </w:tc>
        <w:tc>
          <w:tcPr>
            <w:tcW w:w="8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86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Historical net investment by Comcast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6"/>
              </w:rPr>
              <w:t>10,463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Separation charges</w:t>
            </w:r>
            <w:r>
              <w:rPr>
                <w:rFonts w:ascii="Times New Roman" w:cs="Times New Roman" w:eastAsia="Times New Roman" w:hAnsi="Times New Roman"/>
                <w:sz w:val="25"/>
                <w:szCs w:val="25"/>
                <w:color w:val="auto"/>
                <w:vertAlign w:val="superscript"/>
              </w:rPr>
              <w:t>(a)</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Asset transfers</w:t>
            </w:r>
            <w:r>
              <w:rPr>
                <w:rFonts w:ascii="Times New Roman" w:cs="Times New Roman" w:eastAsia="Times New Roman" w:hAnsi="Times New Roman"/>
                <w:sz w:val="25"/>
                <w:szCs w:val="25"/>
                <w:color w:val="auto"/>
                <w:vertAlign w:val="superscript"/>
              </w:rPr>
              <w:t>(b)</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Special cash payment</w:t>
            </w:r>
            <w:r>
              <w:rPr>
                <w:rFonts w:ascii="Times New Roman" w:cs="Times New Roman" w:eastAsia="Times New Roman" w:hAnsi="Times New Roman"/>
                <w:sz w:val="25"/>
                <w:szCs w:val="25"/>
                <w:color w:val="auto"/>
                <w:vertAlign w:val="superscript"/>
              </w:rPr>
              <w:t>(c)</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Income taxes</w:t>
            </w:r>
            <w:r>
              <w:rPr>
                <w:rFonts w:ascii="Times New Roman" w:cs="Times New Roman" w:eastAsia="Times New Roman" w:hAnsi="Times New Roman"/>
                <w:sz w:val="25"/>
                <w:szCs w:val="25"/>
                <w:color w:val="auto"/>
                <w:vertAlign w:val="superscript"/>
              </w:rPr>
              <w:t>(d)</w:t>
            </w:r>
          </w:p>
        </w:tc>
        <w:tc>
          <w:tcPr>
            <w:tcW w:w="8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Employee-related obligations</w:t>
            </w:r>
            <w:r>
              <w:rPr>
                <w:rFonts w:ascii="Times New Roman" w:cs="Times New Roman" w:eastAsia="Times New Roman" w:hAnsi="Times New Roman"/>
                <w:sz w:val="25"/>
                <w:szCs w:val="25"/>
                <w:color w:val="auto"/>
                <w:vertAlign w:val="superscript"/>
              </w:rPr>
              <w:t>(e)</w:t>
            </w:r>
          </w:p>
        </w:tc>
        <w:tc>
          <w:tcPr>
            <w:tcW w:w="8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8,350</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Autonomous Entity Adjustments</w:t>
      </w:r>
    </w:p>
    <w:p>
      <w:pPr>
        <w:spacing w:after="0" w:line="135" w:lineRule="exact"/>
        <w:rPr>
          <w:sz w:val="20"/>
          <w:szCs w:val="20"/>
          <w:color w:val="auto"/>
        </w:rPr>
      </w:pPr>
    </w:p>
    <w:p>
      <w:pPr>
        <w:ind w:left="540" w:hanging="424"/>
        <w:spacing w:after="0" w:line="256" w:lineRule="auto"/>
        <w:tabs>
          <w:tab w:leader="none" w:pos="540" w:val="left"/>
        </w:tabs>
        <w:numPr>
          <w:ilvl w:val="0"/>
          <w:numId w:val="1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effects of commercial arrangements that Versant and Comcast will enter into in connection with the Separation described under “The Separation—Agreements with Comcast—Certain Commercial Arrangements.” Included in the pro forma combined statements of income for the six months ended June 30, 2025 and the year ended December 31, 2024 are adjustments for the differences in costs for these agreements, primarily related to the commercial services agreement for the sale and use of our advertising and promotional inventory compared to previously allocated costs, including adjustments to costs of revenue of $(5) million and $(7) million, respectively, and selling, general, and administrative expenses of $87 million and $208 million, respectively.</w:t>
      </w:r>
    </w:p>
    <w:p>
      <w:pPr>
        <w:spacing w:after="0" w:line="92" w:lineRule="exact"/>
        <w:rPr>
          <w:rFonts w:ascii="Times New Roman" w:cs="Times New Roman" w:eastAsia="Times New Roman" w:hAnsi="Times New Roman"/>
          <w:sz w:val="18"/>
          <w:szCs w:val="18"/>
          <w:color w:val="auto"/>
        </w:rPr>
      </w:pPr>
    </w:p>
    <w:p>
      <w:pPr>
        <w:ind w:left="540" w:right="80" w:hanging="424"/>
        <w:spacing w:after="0" w:line="258" w:lineRule="auto"/>
        <w:tabs>
          <w:tab w:leader="none" w:pos="540" w:val="left"/>
        </w:tabs>
        <w:numPr>
          <w:ilvl w:val="0"/>
          <w:numId w:val="1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estimates for additional charges we expect to incur within one year of the Separation to establish Versant as an independent standalone company. These charges primarily relate to systems costs and vendor fees totaling $1 million and $19 million for the six months ended June 30, 2025 and the year ended December 31, 2024, respectively, recorded in selling, general and administrative expenses, and the related accrual of $15 million, as of June 30, 2025, recorded in accrued expenses and other current liabilities. Actual charges that will be incurred could be different from these estimates.</w:t>
      </w:r>
    </w:p>
    <w:p>
      <w:pPr>
        <w:spacing w:after="0" w:line="88"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tax effects of the autonomous entity adjustments at the applicable statutory income tax rates as described above (d).</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120"/>
          </w:cols>
          <w:pgMar w:left="320" w:top="455" w:right="459" w:bottom="1440" w:gutter="0" w:footer="0" w:header="0"/>
        </w:sectPr>
      </w:pPr>
    </w:p>
    <w:bookmarkStart w:id="846" w:name="page847"/>
    <w:bookmarkEnd w:id="8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40" w:hanging="424"/>
        <w:spacing w:after="0"/>
        <w:tabs>
          <w:tab w:leader="none" w:pos="540" w:val="left"/>
        </w:tabs>
        <w:numPr>
          <w:ilvl w:val="0"/>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Reflects the net impact of lease agreements for facilities that have been entered into or will be entered into prior to the Separation.</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 Forma Earnings Per Share</w:t>
      </w:r>
    </w:p>
    <w:p>
      <w:pPr>
        <w:spacing w:after="0" w:line="135" w:lineRule="exact"/>
        <w:rPr>
          <w:sz w:val="20"/>
          <w:szCs w:val="20"/>
          <w:color w:val="auto"/>
        </w:rPr>
      </w:pPr>
    </w:p>
    <w:p>
      <w:pPr>
        <w:ind w:left="540" w:right="40" w:hanging="424"/>
        <w:spacing w:after="0" w:line="257" w:lineRule="auto"/>
        <w:tabs>
          <w:tab w:leader="none" w:pos="540" w:val="left"/>
        </w:tabs>
        <w:numPr>
          <w:ilvl w:val="0"/>
          <w:numId w:val="1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Versant did not have common shares outstanding in the combined financial statements. The weighted average number of shares used to compute pro forma basic earnings per share for the six months ended June 30, 2025 and for the year ended December 31, 2024 is based on the distribution ratio of        share(s) of our common stock distributed for every share of Comcast common stock, and using approximately        shares of</w:t>
      </w:r>
    </w:p>
    <w:p>
      <w:pPr>
        <w:spacing w:after="0" w:line="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Comcast Class A common stock and            shares of Comcast Class B common stock outstanding as of             , 2025.</w:t>
      </w:r>
    </w:p>
    <w:p>
      <w:pPr>
        <w:spacing w:after="0" w:line="99" w:lineRule="exact"/>
        <w:rPr>
          <w:sz w:val="20"/>
          <w:szCs w:val="20"/>
          <w:color w:val="auto"/>
        </w:rPr>
      </w:pPr>
    </w:p>
    <w:p>
      <w:pPr>
        <w:ind w:left="560" w:right="140"/>
        <w:spacing w:after="0" w:line="261" w:lineRule="auto"/>
        <w:rPr>
          <w:sz w:val="20"/>
          <w:szCs w:val="20"/>
          <w:color w:val="auto"/>
        </w:rPr>
      </w:pPr>
      <w:r>
        <w:rPr>
          <w:rFonts w:ascii="Times New Roman" w:cs="Times New Roman" w:eastAsia="Times New Roman" w:hAnsi="Times New Roman"/>
          <w:sz w:val="18"/>
          <w:szCs w:val="18"/>
          <w:color w:val="auto"/>
        </w:rPr>
        <w:t>The weighted average number of shares used to compute pro forma diluted earnings per share is based on the number of basic shares of our Class A common stock and Class B common stock as described above. The actual dilutive effect following the completion of the Separation will depend on various factors, including employees who may change employment between Versant and Comcast and the impact of equity-based compensation arrangements. We cannot fully estimate the dilutive effects at this time.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Management Adjustments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We have elected to present management adjustments to the pro forma financial statements and have included all adjustments necessary for a fair statement of such information. Following the Separation, we expect to incur additional costs as a standalone entity in certain of our corporate administrative and support functions. We received the benefit of economies of scale as a business unit or division as part of Comcast’s broader corporate organization and our combined financial statements included allocations related to the costs of these functions; however, in establishing these independent support functions, the expenses may significantly differ from the prior amounts allocated.</w:t>
      </w:r>
    </w:p>
    <w:p>
      <w:pPr>
        <w:spacing w:after="0" w:line="183"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As a standalone public company, we expect to incur certain dis-synergies and incremental public company costs, or higher costs in addition to those included as transaction accounting and autonomous entity adjustments noted above. These costs primarily include the recurring and ongoing costs required to operate new functions required for a public company such as external reporting, internal audit, treasury, investor relations, board of directors, stock administration, and expanding the services of existing functions such as information technology, finance, supply chain, human resources, legal, tax, facilities, branding, security, government relations, community outreach and insurance.</w:t>
      </w:r>
    </w:p>
    <w:p>
      <w:pPr>
        <w:spacing w:after="0" w:line="183"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We estimated that we would have incurred approximately $87 million of additional expenses (including costs related to personnel of approximately $27 million and vendor and other costs of approximately $60 million) for the six months ended June 30, 2025 and approximately $233 million of additional expenses (including costs related to personnel of approximately $100 million and vendor and other costs of approximately $134 million) for the year ended December 31, 2024.</w:t>
      </w:r>
    </w:p>
    <w:p>
      <w:pPr>
        <w:spacing w:after="0" w:line="180"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We estimated these additional expenses by assessing the resources and associated costs each function will require to operate Versant as a standalone public company as compared to the relevant allocated costs recorded within the combined financial statements.</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These estimates are based on assumptions that our management believes are reasonable. However, actual additional costs that will be incurred could be different from the estimates and would depend on several factors, including the economic environment, results of contractual negotiations with third party vendors, ability to execute on proposed separation plans, and strategic decisions made in our operations. In addition, adverse effects and limitations including those discussed in the section entitled “Risk Factors” to this document may impact actual costs incurred. We may also decide to increase or reduce resources or invest more heavily in certain areas in the future, which may differentiate the management adjustments even further from actual costs incurred in the future.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120"/>
          </w:cols>
          <w:pgMar w:left="320" w:top="455" w:right="459" w:bottom="1440" w:gutter="0" w:footer="0" w:header="0"/>
        </w:sectPr>
      </w:pPr>
    </w:p>
    <w:bookmarkStart w:id="847" w:name="page848"/>
    <w:bookmarkEnd w:id="8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00"/>
        <w:spacing w:after="0" w:line="266" w:lineRule="auto"/>
        <w:rPr>
          <w:sz w:val="20"/>
          <w:szCs w:val="20"/>
          <w:color w:val="auto"/>
        </w:rPr>
      </w:pPr>
      <w:r>
        <w:rPr>
          <w:rFonts w:ascii="Times New Roman" w:cs="Times New Roman" w:eastAsia="Times New Roman" w:hAnsi="Times New Roman"/>
          <w:sz w:val="18"/>
          <w:szCs w:val="18"/>
          <w:color w:val="auto"/>
        </w:rPr>
        <w:t>These management adjustments include forward-looking information that is subject to the safe harbor protections of the Exchange Act. The tax effect has been determined by applying the respective statutory tax rates to the aforementioned adjustments in jurisdictions where valuation allowances were not required.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 the six months ended June 30, 2025</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559</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(87)</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17"/>
        </w:trPr>
        <w:tc>
          <w:tcPr>
            <w:tcW w:w="1220" w:type="dxa"/>
            <w:vAlign w:val="bottom"/>
            <w:tcBorders>
              <w:bottom w:val="single" w:sz="8" w:color="auto"/>
            </w:tcBorders>
          </w:tcPr>
          <w:p>
            <w:pPr>
              <w:spacing w:after="0"/>
              <w:rPr>
                <w:sz w:val="10"/>
                <w:szCs w:val="10"/>
                <w:color w:val="auto"/>
              </w:rPr>
            </w:pPr>
          </w:p>
        </w:tc>
        <w:tc>
          <w:tcPr>
            <w:tcW w:w="704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25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tc>
        <w:tc>
          <w:tcPr>
            <w:tcW w:w="1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540"/>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year ended December 31, 2024</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1"/>
        </w:trPr>
        <w:tc>
          <w:tcPr>
            <w:tcW w:w="8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1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82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Pro forma combined net income attributable to Versant</w:t>
            </w:r>
            <w:r>
              <w:rPr>
                <w:rFonts w:ascii="Times New Roman" w:cs="Times New Roman" w:eastAsia="Times New Roman" w:hAnsi="Times New Roman"/>
                <w:sz w:val="25"/>
                <w:szCs w:val="25"/>
                <w:color w:val="auto"/>
                <w:vertAlign w:val="superscript"/>
              </w:rPr>
              <w:t>*</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1,076</w:t>
            </w:r>
          </w:p>
        </w:tc>
      </w:tr>
      <w:tr>
        <w:trPr>
          <w:trHeight w:val="216"/>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Management’s adjustments</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(233)</w:t>
            </w:r>
          </w:p>
        </w:tc>
      </w:tr>
      <w:tr>
        <w:trPr>
          <w:trHeight w:val="216"/>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management’s adjustments</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r>
      <w:tr>
        <w:trPr>
          <w:trHeight w:val="223"/>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 forma combined net income attributable to Versant after management’s adjustments</w:t>
            </w:r>
          </w:p>
        </w:tc>
        <w:tc>
          <w:tcPr>
            <w:tcW w:w="196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earnings per share of common stock after management’s adjustments</w:t>
            </w:r>
          </w:p>
        </w:tc>
        <w:tc>
          <w:tcPr>
            <w:tcW w:w="2180" w:type="dxa"/>
            <w:vAlign w:val="bottom"/>
            <w:gridSpan w:val="2"/>
            <w:shd w:val="clear" w:color="auto" w:fill="CCEEFF"/>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r>
        <w:trPr>
          <w:trHeight w:val="234"/>
        </w:trPr>
        <w:tc>
          <w:tcPr>
            <w:tcW w:w="8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earnings per share of common stock after management’s adjustments</w:t>
            </w:r>
          </w:p>
        </w:tc>
        <w:tc>
          <w:tcPr>
            <w:tcW w:w="218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 xml:space="preserve">$ </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w w:val="98"/>
              </w:rPr>
              <w:t> </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w w:val="77"/>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771525" cy="8890"/>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  As shown in the Unaudited Pro Forma Combined Statement of Income</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140"/>
          </w:cols>
          <w:pgMar w:left="320" w:top="455" w:right="439" w:bottom="1440" w:gutter="0" w:footer="0" w:header="0"/>
        </w:sectPr>
      </w:pPr>
    </w:p>
    <w:bookmarkStart w:id="848" w:name="page849"/>
    <w:bookmarkEnd w:id="8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RESULTS OF OPERATIONS</w:t>
      </w:r>
    </w:p>
    <w:p>
      <w:pPr>
        <w:spacing w:after="0" w:line="22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of our financial condition and results of operations should be read in conjunction with our combined financial statements and the notes thereto, included elsewhere in this information statement, as well as the information presented under “Unaudited Pro Forma Combined Financial Statements,” “Summary—Summary Combined Financial and Other Data” and “Business.” The following discussion and analysis includes forward-looking statements. These forward-looking statements are subject to risks, uncertainties and other factors that could cause our actual results to differ materially from those expressed or implied by the forward-looking statements. Factors that could cause or contribute to these differences include, but are not limited to, those discussed elsewhere in this information statement. See in particular “Special Note Regarding Forward-Looking Statements” and “Risk Factors.”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6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produce, license and acquire content that we distribute through a variety of outlets, including our networks and digital platforms, delivering</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value to key constituents: the viewing audience, paying subscribers, advertisers, distributors and licensing counterparties. We generate revenue primarily</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through distributing our networks, selling advertising across our brands, providing services through our digital platforms and content licensing. For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six months ended June 30, 2025, we had revenue of $3.4 billion, net income attributable to Versant of $0.7 billion and Adjusted EBITDA of $1.4 billion.</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$2.8 billion. For reconciliations of Adjusted EBITDA to net income attributable to Versant, the most directly comparable financial measure prepared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accordance with GAAP, see “—Non-GAAP Financial Measures.”</w:t>
      </w:r>
    </w:p>
    <w:p>
      <w:pPr>
        <w:spacing w:after="0" w:line="207"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We are currently a wholly owned subsidiary of Comcast that, after giving effect to the Transactions, will hold, directly or indirectly through its subsidiaries, the assets, liabilities and legal entities comprising the Spin Business. Following the Separation, we will be a publicly traded company independent from Comcast, and Comcast will not retain any ownership interest in us. Immediately following the Separation, holders of Comcast common stock prior to the Distribution will own 100% of the issued and outstanding shares of Versant common stock. For more information, see “The Separation.”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Factors Affecting Our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believe the key factors that impact our business include the following:</w:t>
      </w:r>
    </w:p>
    <w:p>
      <w:pPr>
        <w:spacing w:after="0" w:line="127" w:lineRule="exact"/>
        <w:rPr>
          <w:sz w:val="20"/>
          <w:szCs w:val="20"/>
          <w:color w:val="auto"/>
        </w:rPr>
      </w:pPr>
    </w:p>
    <w:p>
      <w:pPr>
        <w:ind w:left="1080" w:right="120" w:hanging="424"/>
        <w:spacing w:after="0" w:line="259" w:lineRule="auto"/>
        <w:tabs>
          <w:tab w:leader="none" w:pos="1080"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Consumer Demand for Cable Television</w:t>
      </w:r>
      <w:r>
        <w:rPr>
          <w:rFonts w:ascii="Times New Roman" w:cs="Times New Roman" w:eastAsia="Times New Roman" w:hAnsi="Times New Roman"/>
          <w:sz w:val="18"/>
          <w:szCs w:val="18"/>
          <w:color w:val="auto"/>
        </w:rPr>
        <w:t>. The amount of revenue we earn from MVPD distribution has declined in recent years,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primarily reflecting ongoing declines in MVPD subscriber levels due to evolving consumer preferences for consuming video content, and is expected to continue to decline in the future. As a result of these trends, we expect that our future success will depend on, among other things, our ability to compete with alternative content distribution platforms, our success in reaching new audiences by extending our content offerings through new distribution outlets, and our continued ability to distribute our networks on MVPDs.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120"/>
          </w:cols>
          <w:pgMar w:left="320" w:top="455" w:right="459" w:bottom="1440" w:gutter="0" w:footer="0" w:header="0"/>
        </w:sectPr>
      </w:pPr>
    </w:p>
    <w:bookmarkStart w:id="849" w:name="page850"/>
    <w:bookmarkEnd w:id="8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080" w:hanging="424"/>
        <w:spacing w:after="0" w:line="256" w:lineRule="auto"/>
        <w:tabs>
          <w:tab w:leader="none" w:pos="1080"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Advertising</w:t>
      </w:r>
      <w:r>
        <w:rPr>
          <w:rFonts w:ascii="Times New Roman" w:cs="Times New Roman" w:eastAsia="Times New Roman" w:hAnsi="Times New Roman"/>
          <w:sz w:val="18"/>
          <w:szCs w:val="18"/>
          <w:color w:val="auto"/>
        </w:rPr>
        <w:t>. We derive significant revenue from selling advertising on our networks, and have experienced in recent years, and expect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to experience, declines in advertising revenue caused by shifts in advertiser priorities primarily due to increased competition for the leisure time of viewers, increased audience fragmentation and increased use of streaming and digital platforms (all of which we expect will continue in the foreseeable future), as well as by cyclical factors, such as election cycles and the timing of major sporting events, the availability of advertising-blocking technologies and macroeconomic conditions. In addition, lower audience ratings and reduced viewership, which our networks have experienced, and likely will continue to experience, affect pricing and the willingness of advertisers to purchase advertising.</w:t>
      </w:r>
    </w:p>
    <w:p>
      <w:pPr>
        <w:spacing w:after="0" w:line="88" w:lineRule="exact"/>
        <w:rPr>
          <w:rFonts w:ascii="Times New Roman" w:cs="Times New Roman" w:eastAsia="Times New Roman" w:hAnsi="Times New Roman"/>
          <w:sz w:val="18"/>
          <w:szCs w:val="18"/>
          <w:color w:val="auto"/>
        </w:rPr>
      </w:pPr>
    </w:p>
    <w:p>
      <w:pPr>
        <w:ind w:left="1080" w:right="40" w:hanging="424"/>
        <w:spacing w:after="0" w:line="259" w:lineRule="auto"/>
        <w:tabs>
          <w:tab w:leader="none" w:pos="1080"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of Digital Platforms</w:t>
      </w:r>
      <w:r>
        <w:rPr>
          <w:rFonts w:ascii="Times New Roman" w:cs="Times New Roman" w:eastAsia="Times New Roman" w:hAnsi="Times New Roman"/>
          <w:sz w:val="18"/>
          <w:szCs w:val="18"/>
          <w:color w:val="auto"/>
        </w:rPr>
        <w:t>. Our digital platforms generate revenue from selling advertising, providing services directly to consumers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selling cloud-based technology and related services. The growth of digital platforms continues to be shaped by evolving consumer behavior and broader macroeconomic conditions, including changes in consumer spending patterns, concerns about data privacy and evolving preferences for digital engagement through websites and mobile applications. Our revenue from our digital platforms has grown in recent years, and we expect that it will continue to grow as we invest in this growing portion of our business.</w:t>
      </w:r>
    </w:p>
    <w:p>
      <w:pPr>
        <w:spacing w:after="0" w:line="84" w:lineRule="exact"/>
        <w:rPr>
          <w:rFonts w:ascii="Times New Roman" w:cs="Times New Roman" w:eastAsia="Times New Roman" w:hAnsi="Times New Roman"/>
          <w:sz w:val="18"/>
          <w:szCs w:val="18"/>
          <w:color w:val="auto"/>
        </w:rPr>
      </w:pPr>
    </w:p>
    <w:p>
      <w:pPr>
        <w:ind w:left="1080" w:hanging="424"/>
        <w:spacing w:after="0" w:line="262" w:lineRule="auto"/>
        <w:tabs>
          <w:tab w:leader="none" w:pos="1080"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Competition for Programming</w:t>
      </w:r>
      <w:r>
        <w:rPr>
          <w:rFonts w:ascii="Times New Roman" w:cs="Times New Roman" w:eastAsia="Times New Roman" w:hAnsi="Times New Roman"/>
          <w:sz w:val="18"/>
          <w:szCs w:val="18"/>
          <w:color w:val="auto"/>
        </w:rPr>
        <w:t>. The market for programming has been, and we expect will continue to be, very competitive. In recent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years, sports programming in particular has become significantly more competitive and expensive. We expect to continue to devote significant resources to acquire sports programming in the future, and our ability to continue to provide compelling content will be vital to our success.</w:t>
      </w:r>
    </w:p>
    <w:p>
      <w:pPr>
        <w:spacing w:after="0" w:line="81" w:lineRule="exact"/>
        <w:rPr>
          <w:rFonts w:ascii="Times New Roman" w:cs="Times New Roman" w:eastAsia="Times New Roman" w:hAnsi="Times New Roman"/>
          <w:sz w:val="18"/>
          <w:szCs w:val="18"/>
          <w:color w:val="auto"/>
        </w:rPr>
      </w:pPr>
    </w:p>
    <w:p>
      <w:pPr>
        <w:ind w:left="1080" w:right="40" w:hanging="424"/>
        <w:spacing w:after="0" w:line="262" w:lineRule="auto"/>
        <w:tabs>
          <w:tab w:leader="none" w:pos="1080"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Impact of Macroeconomic Conditions</w:t>
      </w:r>
      <w:r>
        <w:rPr>
          <w:rFonts w:ascii="Times New Roman" w:cs="Times New Roman" w:eastAsia="Times New Roman" w:hAnsi="Times New Roman"/>
          <w:sz w:val="18"/>
          <w:szCs w:val="18"/>
          <w:color w:val="auto"/>
        </w:rPr>
        <w:t>. A substantial portion of our revenue is impacted by consumer spending patterns, which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affected by prevailing economic conditions. Downturns in global economic conditions have in the past, and may in the future, negatively affect the spending patterns of consumers and, as a result, our current and potential customers, advertisers, vendors and others with whom we do business.</w:t>
      </w:r>
    </w:p>
    <w:p>
      <w:pPr>
        <w:spacing w:after="0" w:line="81" w:lineRule="exact"/>
        <w:rPr>
          <w:rFonts w:ascii="Times New Roman" w:cs="Times New Roman" w:eastAsia="Times New Roman" w:hAnsi="Times New Roman"/>
          <w:sz w:val="18"/>
          <w:szCs w:val="18"/>
          <w:color w:val="auto"/>
        </w:rPr>
      </w:pPr>
    </w:p>
    <w:p>
      <w:pPr>
        <w:ind w:left="1080" w:right="220" w:hanging="424"/>
        <w:spacing w:after="0" w:line="268" w:lineRule="auto"/>
        <w:tabs>
          <w:tab w:leader="none" w:pos="1080"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Brand Value and Reputation</w:t>
      </w:r>
      <w:r>
        <w:rPr>
          <w:rFonts w:ascii="Times New Roman" w:cs="Times New Roman" w:eastAsia="Times New Roman" w:hAnsi="Times New Roman"/>
          <w:sz w:val="18"/>
          <w:szCs w:val="18"/>
          <w:color w:val="auto"/>
        </w:rPr>
        <w:t>. Our brand image, awareness and reputation strengthen our relationship with our audiences and can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important drivers of consumer and advertiser engagement. Following the Separation, we will need to establish the Versant brand, while elevated public scrutiny, geopolitical tensions and rapid consumer reaction have heightened reputational concerns.</w:t>
      </w:r>
    </w:p>
    <w:p>
      <w:pPr>
        <w:spacing w:after="0" w:line="76" w:lineRule="exact"/>
        <w:rPr>
          <w:rFonts w:ascii="Times New Roman" w:cs="Times New Roman" w:eastAsia="Times New Roman" w:hAnsi="Times New Roman"/>
          <w:sz w:val="18"/>
          <w:szCs w:val="18"/>
          <w:color w:val="auto"/>
        </w:rPr>
      </w:pPr>
    </w:p>
    <w:p>
      <w:pPr>
        <w:ind w:left="1080" w:right="160" w:hanging="424"/>
        <w:spacing w:after="0" w:line="268" w:lineRule="auto"/>
        <w:tabs>
          <w:tab w:leader="none" w:pos="1080"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As a result of the Separation and costs associated with running an independent, publicly traded company,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 to incur expenditures that are higher than historical allocations that were allocated pro rata based on revenue, which may have an impact on our profitability and operating cash flows.</w:t>
      </w:r>
    </w:p>
    <w:p>
      <w:pPr>
        <w:spacing w:after="0" w:line="17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We evaluate these and other factors as we develop and execute our strategies. For more information on the risk factors affecting our business, see “Risk Factors” in this information statement.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 combined financial statements included elsewhere in this information statement,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GAAP and pursuant to the rules and regulations of the SEC.</w:t>
      </w:r>
    </w:p>
    <w:p>
      <w:pPr>
        <w:spacing w:after="0" w:line="183"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audited combined balance sheets were based on assessments as of</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40"/>
          </w:cols>
          <w:pgMar w:left="320" w:top="455" w:right="539" w:bottom="1440" w:gutter="0" w:footer="0" w:header="0"/>
        </w:sectPr>
      </w:pPr>
    </w:p>
    <w:bookmarkStart w:id="850" w:name="page851"/>
    <w:bookmarkEnd w:id="8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92"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5 to the unaudited condensed combined financial statements and Note 10 to the audited combined financial statements included elsewhere in this information statement).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necessarily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94"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and included in the combined financial statements are considered related party transactions. See Note 5 to the unaudited condensed combined financial statements and Note 10 to the audited combined financial statements included elsewhere in this information statement.</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120"/>
          </w:cols>
          <w:pgMar w:left="320" w:top="455" w:right="459" w:bottom="1440" w:gutter="0" w:footer="0" w:header="0"/>
        </w:sectPr>
      </w:pPr>
    </w:p>
    <w:bookmarkStart w:id="851" w:name="page852"/>
    <w:bookmarkEnd w:id="8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Operating Results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40" w:type="dxa"/>
            <w:vAlign w:val="bottom"/>
            <w:gridSpan w:val="6"/>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86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0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Ended June 30,</w:t>
            </w:r>
          </w:p>
        </w:tc>
        <w:tc>
          <w:tcPr>
            <w:tcW w:w="8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32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0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20" w:type="dxa"/>
            <w:vAlign w:val="bottom"/>
            <w:gridSpan w:val="6"/>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1,708</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1,808</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3,415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3,626</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8"/>
              </w:rPr>
              <w:t>1,354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1,436</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60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313</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13.3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662</w:t>
            </w:r>
          </w:p>
        </w:tc>
        <w:tc>
          <w:tcPr>
            <w:tcW w:w="10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616</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6000" w:type="dxa"/>
            <w:vAlign w:val="bottom"/>
            <w:tcBorders>
              <w:right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245</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494</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1,298</w:t>
            </w:r>
          </w:p>
        </w:tc>
        <w:tc>
          <w:tcPr>
            <w:tcW w:w="1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1,305</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2,505</w:t>
            </w:r>
          </w:p>
        </w:tc>
        <w:tc>
          <w:tcPr>
            <w:tcW w:w="3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2,546</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410</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502</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910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3"/>
              </w:rPr>
              <w:t>1,081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(15.8)</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503</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w w:val="93"/>
              </w:rPr>
              <w:t>1,081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6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(131)</w:t>
            </w: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(281)</w:t>
            </w: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80" w:type="dxa"/>
            <w:vAlign w:val="bottom"/>
            <w:tcBorders>
              <w:lef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372</w:t>
            </w:r>
          </w:p>
        </w:tc>
        <w:tc>
          <w:tcPr>
            <w:tcW w:w="8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801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600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w:t>
            </w:r>
          </w:p>
        </w:tc>
        <w:tc>
          <w:tcPr>
            <w:tcW w:w="8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NM</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00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18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373</w:t>
            </w:r>
          </w:p>
        </w:tc>
        <w:tc>
          <w:tcPr>
            <w:tcW w:w="8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(19.1)%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669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803</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(16.7)%</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(a)</w:t>
            </w: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000" w:type="dxa"/>
            <w:vAlign w:val="bottom"/>
            <w:vMerge w:val="continue"/>
          </w:tcPr>
          <w:p>
            <w:pPr>
              <w:spacing w:after="0"/>
              <w:rPr>
                <w:sz w:val="19"/>
                <w:szCs w:val="19"/>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685</w:t>
            </w:r>
          </w:p>
        </w:tc>
        <w:tc>
          <w:tcPr>
            <w:tcW w:w="18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320" w:type="dxa"/>
            <w:vAlign w:val="bottom"/>
            <w:vMerge w:val="continue"/>
          </w:tcPr>
          <w:p>
            <w:pPr>
              <w:spacing w:after="0"/>
              <w:rPr>
                <w:sz w:val="19"/>
                <w:szCs w:val="19"/>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(8.2)%</w:t>
            </w:r>
          </w:p>
        </w:tc>
        <w:tc>
          <w:tcPr>
            <w:tcW w:w="14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1,442</w:t>
            </w:r>
          </w:p>
        </w:tc>
        <w:tc>
          <w:tcPr>
            <w:tcW w:w="3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3"/>
              </w:rPr>
              <w:t>1,575</w:t>
            </w:r>
          </w:p>
        </w:tc>
        <w:tc>
          <w:tcPr>
            <w:tcW w:w="32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(8.4)%</w:t>
            </w:r>
          </w:p>
        </w:tc>
        <w:tc>
          <w:tcPr>
            <w:tcW w:w="0" w:type="dxa"/>
            <w:vAlign w:val="bottom"/>
          </w:tcPr>
          <w:p>
            <w:pPr>
              <w:spacing w:after="0"/>
              <w:rPr>
                <w:sz w:val="1"/>
                <w:szCs w:val="1"/>
                <w:color w:val="auto"/>
              </w:rPr>
            </w:pPr>
          </w:p>
        </w:tc>
      </w:tr>
      <w:tr>
        <w:trPr>
          <w:trHeight w:val="20"/>
        </w:trPr>
        <w:tc>
          <w:tcPr>
            <w:tcW w:w="60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3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6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5"/>
          </w:tcPr>
          <w:p>
            <w:pPr>
              <w:jc w:val="right"/>
              <w:ind w:right="10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620" w:type="dxa"/>
            <w:vAlign w:val="bottom"/>
          </w:tcPr>
          <w:p>
            <w:pPr>
              <w:spacing w:after="0"/>
              <w:rPr>
                <w:sz w:val="10"/>
                <w:szCs w:val="10"/>
                <w:color w:val="auto"/>
              </w:rPr>
            </w:pPr>
          </w:p>
        </w:tc>
        <w:tc>
          <w:tcPr>
            <w:tcW w:w="48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0"/>
                <w:szCs w:val="10"/>
                <w:color w:val="auto"/>
              </w:rPr>
            </w:pPr>
          </w:p>
        </w:tc>
        <w:tc>
          <w:tcPr>
            <w:tcW w:w="5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0"/>
                <w:szCs w:val="10"/>
                <w:color w:val="auto"/>
              </w:rPr>
            </w:pPr>
          </w:p>
        </w:tc>
        <w:tc>
          <w:tcPr>
            <w:tcW w:w="760" w:type="dxa"/>
            <w:vAlign w:val="bottom"/>
            <w:gridSpan w:val="2"/>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Pr>
          <w:p>
            <w:pPr>
              <w:spacing w:after="0"/>
              <w:rPr>
                <w:sz w:val="10"/>
                <w:szCs w:val="10"/>
                <w:color w:val="auto"/>
              </w:rPr>
            </w:pPr>
          </w:p>
        </w:tc>
        <w:tc>
          <w:tcPr>
            <w:tcW w:w="1440" w:type="dxa"/>
            <w:vAlign w:val="bottom"/>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62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44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6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4"/>
          </w:tcPr>
          <w:p>
            <w:pPr>
              <w:jc w:val="right"/>
              <w:ind w:right="14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2"/>
              </w:rPr>
              <w:t>$7,062</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$7,445</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$7,834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(5.1)%</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Costs of revenue (exclusive of depreciation and amortization)</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3,064</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3,154</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3,161</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(2.8)</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56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46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1,231</w:t>
            </w:r>
          </w:p>
        </w:tc>
        <w:tc>
          <w:tcPr>
            <w:tcW w:w="122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1,271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(5.1)</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989</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991</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992</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(0.2)</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30"/>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4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46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40" w:type="dxa"/>
            <w:vAlign w:val="bottom"/>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1,841</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2,069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2,410</w:t>
            </w: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(14.2)</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(61)</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(11.0)</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(478)</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(530)</w:t>
            </w:r>
          </w:p>
        </w:tc>
        <w:tc>
          <w:tcPr>
            <w:tcW w:w="122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(591)</w:t>
            </w:r>
          </w:p>
        </w:tc>
        <w:tc>
          <w:tcPr>
            <w:tcW w:w="14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(9.8)</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460" w:type="dxa"/>
            <w:vAlign w:val="bottom"/>
            <w:tcBorders>
              <w:left w:val="single" w:sz="8" w:color="CCEEFF"/>
            </w:tcBorders>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1,758</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(11.4)</w:t>
            </w:r>
          </w:p>
        </w:tc>
        <w:tc>
          <w:tcPr>
            <w:tcW w:w="11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NM</w:t>
            </w:r>
          </w:p>
        </w:tc>
        <w:tc>
          <w:tcPr>
            <w:tcW w:w="11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2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1,363</w:t>
            </w:r>
          </w:p>
        </w:tc>
        <w:tc>
          <w:tcPr>
            <w:tcW w:w="460" w:type="dxa"/>
            <w:vAlign w:val="bottom"/>
            <w:tcBorders>
              <w:left w:val="single" w:sz="8" w:color="CCEEFF"/>
            </w:tcBorders>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1,539</w:t>
            </w:r>
          </w:p>
        </w:tc>
        <w:tc>
          <w:tcPr>
            <w:tcW w:w="122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c>
          <w:tcPr>
            <w:tcW w:w="144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(11.4)%</w:t>
            </w:r>
          </w:p>
        </w:tc>
        <w:tc>
          <w:tcPr>
            <w:tcW w:w="1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(12.8)%</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line="243" w:lineRule="exact"/>
              <w:rPr>
                <w:sz w:val="20"/>
                <w:szCs w:val="20"/>
                <w:color w:val="auto"/>
              </w:rPr>
            </w:pPr>
            <w:r>
              <w:rPr>
                <w:rFonts w:ascii="Times New Roman" w:cs="Times New Roman" w:eastAsia="Times New Roman" w:hAnsi="Times New Roman"/>
                <w:sz w:val="18"/>
                <w:szCs w:val="18"/>
                <w:b w:val="1"/>
                <w:bCs w:val="1"/>
                <w:color w:val="auto"/>
              </w:rPr>
              <w:t>Adjusted EBITDA</w:t>
            </w:r>
            <w:r>
              <w:rPr>
                <w:rFonts w:ascii="Times New Roman" w:cs="Times New Roman" w:eastAsia="Times New Roman" w:hAnsi="Times New Roman"/>
                <w:sz w:val="26"/>
                <w:szCs w:val="26"/>
                <w:b w:val="1"/>
                <w:bCs w:val="1"/>
                <w:color w:val="auto"/>
                <w:vertAlign w:val="superscript"/>
              </w:rPr>
              <w:t>(a)</w:t>
            </w:r>
          </w:p>
        </w:tc>
        <w:tc>
          <w:tcPr>
            <w:tcW w:w="48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6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2,837</w:t>
            </w:r>
          </w:p>
        </w:tc>
        <w:tc>
          <w:tcPr>
            <w:tcW w:w="4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3,060</w:t>
            </w:r>
          </w:p>
        </w:tc>
        <w:tc>
          <w:tcPr>
            <w:tcW w:w="20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3,402</w:t>
            </w:r>
          </w:p>
        </w:tc>
        <w:tc>
          <w:tcPr>
            <w:tcW w:w="460" w:type="dxa"/>
            <w:vAlign w:val="bottom"/>
            <w:vMerge w:val="continue"/>
          </w:tcPr>
          <w:p>
            <w:pPr>
              <w:spacing w:after="0"/>
              <w:rPr>
                <w:sz w:val="19"/>
                <w:szCs w:val="19"/>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(7.3)%</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(10.1)%</w:t>
            </w:r>
          </w:p>
        </w:tc>
        <w:tc>
          <w:tcPr>
            <w:tcW w:w="0" w:type="dxa"/>
            <w:vAlign w:val="bottom"/>
          </w:tcPr>
          <w:p>
            <w:pPr>
              <w:spacing w:after="0"/>
              <w:rPr>
                <w:sz w:val="1"/>
                <w:szCs w:val="1"/>
                <w:color w:val="auto"/>
              </w:rPr>
            </w:pPr>
          </w:p>
        </w:tc>
      </w:tr>
      <w:tr>
        <w:trPr>
          <w:trHeight w:val="20"/>
        </w:trPr>
        <w:tc>
          <w:tcPr>
            <w:tcW w:w="562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3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Percentage changes that are considered not meaningful are denoted with NM.</w:t>
      </w:r>
    </w:p>
    <w:p>
      <w:pPr>
        <w:spacing w:after="0" w:line="131" w:lineRule="exact"/>
        <w:rPr>
          <w:sz w:val="20"/>
          <w:szCs w:val="20"/>
          <w:color w:val="auto"/>
        </w:rPr>
      </w:pPr>
    </w:p>
    <w:p>
      <w:pPr>
        <w:ind w:left="540" w:right="420" w:hanging="424"/>
        <w:spacing w:after="0" w:line="282" w:lineRule="auto"/>
        <w:tabs>
          <w:tab w:leader="none" w:pos="540"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is a non-GAAP financial measure. Refer to “—Non-GAAP Financial Measures” for additional information, including our definition and our use of Adjusted EBITDA, and for a reconciliation from net income attributable to Versant to Adjusted EBITDA.</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140"/>
          </w:cols>
          <w:pgMar w:left="320" w:top="455" w:right="439" w:bottom="1440" w:gutter="0" w:footer="0" w:header="0"/>
        </w:sectPr>
      </w:pPr>
    </w:p>
    <w:bookmarkStart w:id="852" w:name="page853"/>
    <w:bookmarkEnd w:id="8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w:t>
            </w: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40" w:type="dxa"/>
            <w:vAlign w:val="bottom"/>
            <w:gridSpan w:val="4"/>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540" w:type="dxa"/>
            <w:vAlign w:val="bottom"/>
            <w:gridSpan w:val="5"/>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Ended</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6180" w:type="dxa"/>
            <w:vAlign w:val="bottom"/>
          </w:tcPr>
          <w:p>
            <w:pPr>
              <w:spacing w:after="0"/>
              <w:rPr>
                <w:sz w:val="15"/>
                <w:szCs w:val="15"/>
                <w:color w:val="auto"/>
              </w:rPr>
            </w:pPr>
          </w:p>
        </w:tc>
        <w:tc>
          <w:tcPr>
            <w:tcW w:w="154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gridSpan w:val="4"/>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500" w:type="dxa"/>
            <w:vAlign w:val="bottom"/>
            <w:tcBorders>
              <w:top w:val="single" w:sz="8" w:color="auto"/>
            </w:tcBorders>
          </w:tcPr>
          <w:p>
            <w:pPr>
              <w:jc w:val="right"/>
              <w:ind w:right="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48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tcBorders>
          </w:tcPr>
          <w:p>
            <w:pPr>
              <w:jc w:val="right"/>
              <w:ind w:right="2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480" w:type="dxa"/>
            <w:vAlign w:val="bottom"/>
            <w:tcBorders>
              <w:top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18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$1,017</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$1,066</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$2,103</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6"/>
              </w:rPr>
              <w:t>$2,227</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w:t>
            </w:r>
          </w:p>
        </w:tc>
        <w:tc>
          <w:tcPr>
            <w:tcW w:w="10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489</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(13.1)</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814</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931</w:t>
            </w: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16"/>
        </w:trPr>
        <w:tc>
          <w:tcPr>
            <w:tcW w:w="61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223</w:t>
            </w:r>
          </w:p>
        </w:tc>
        <w:tc>
          <w:tcPr>
            <w:tcW w:w="102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202</w:t>
            </w:r>
          </w:p>
        </w:tc>
        <w:tc>
          <w:tcPr>
            <w:tcW w:w="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10.6</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398</w:t>
            </w:r>
          </w:p>
        </w:tc>
        <w:tc>
          <w:tcPr>
            <w:tcW w:w="7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370</w:t>
            </w: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61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51</w:t>
            </w:r>
          </w:p>
        </w:tc>
        <w:tc>
          <w:tcPr>
            <w:tcW w:w="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(15.1)</w:t>
            </w:r>
          </w:p>
        </w:tc>
        <w:tc>
          <w:tcPr>
            <w:tcW w:w="104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100</w:t>
            </w:r>
          </w:p>
        </w:tc>
        <w:tc>
          <w:tcPr>
            <w:tcW w:w="7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99</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5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1,708</w:t>
            </w:r>
          </w:p>
        </w:tc>
        <w:tc>
          <w:tcPr>
            <w:tcW w:w="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1,808</w:t>
            </w:r>
          </w:p>
        </w:tc>
        <w:tc>
          <w:tcPr>
            <w:tcW w:w="280" w:type="dxa"/>
            <w:vAlign w:val="bottom"/>
            <w:vMerge w:val="continue"/>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3,415</w:t>
            </w:r>
          </w:p>
        </w:tc>
        <w:tc>
          <w:tcPr>
            <w:tcW w:w="28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3,626</w:t>
            </w:r>
          </w:p>
        </w:tc>
        <w:tc>
          <w:tcPr>
            <w:tcW w:w="26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(5.8)%</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4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0" w:type="dxa"/>
            <w:vAlign w:val="bottom"/>
            <w:vMerge w:val="restart"/>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72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Pr>
          <w:p>
            <w:pPr>
              <w:spacing w:after="0"/>
              <w:rPr>
                <w:sz w:val="10"/>
                <w:szCs w:val="10"/>
                <w:color w:val="auto"/>
              </w:rPr>
            </w:pPr>
          </w:p>
        </w:tc>
        <w:tc>
          <w:tcPr>
            <w:tcW w:w="1220" w:type="dxa"/>
            <w:vAlign w:val="bottom"/>
            <w:gridSpan w:val="2"/>
          </w:tcPr>
          <w:p>
            <w:pPr>
              <w:jc w:val="right"/>
              <w:ind w:right="42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180" w:type="dxa"/>
            <w:vAlign w:val="bottom"/>
          </w:tcPr>
          <w:p>
            <w:pPr>
              <w:spacing w:after="0"/>
              <w:rPr>
                <w:sz w:val="10"/>
                <w:szCs w:val="10"/>
                <w:color w:val="auto"/>
              </w:rPr>
            </w:pPr>
          </w:p>
        </w:tc>
        <w:tc>
          <w:tcPr>
            <w:tcW w:w="8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4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80" w:type="dxa"/>
            <w:vAlign w:val="bottom"/>
          </w:tcPr>
          <w:p>
            <w:pPr>
              <w:spacing w:after="0"/>
              <w:rPr>
                <w:sz w:val="15"/>
                <w:szCs w:val="15"/>
                <w:color w:val="auto"/>
              </w:rPr>
            </w:pPr>
          </w:p>
        </w:tc>
        <w:tc>
          <w:tcPr>
            <w:tcW w:w="11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60" w:type="dxa"/>
            <w:vAlign w:val="bottom"/>
            <w:tcBorders>
              <w:top w:val="single" w:sz="8" w:color="auto"/>
            </w:tcBorders>
            <w:gridSpan w:val="4"/>
          </w:tcPr>
          <w:p>
            <w:pPr>
              <w:jc w:val="right"/>
              <w:ind w:right="10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Linear distribution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$4,325</w:t>
            </w:r>
          </w:p>
        </w:tc>
        <w:tc>
          <w:tcPr>
            <w:tcW w:w="3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$4,632</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$4,802</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(6.6)%</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Advertising</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1,731</w:t>
            </w:r>
          </w:p>
        </w:tc>
        <w:tc>
          <w:tcPr>
            <w:tcW w:w="3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1,865</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2,156</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(7.2)</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5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Platforms</w:t>
            </w:r>
          </w:p>
        </w:tc>
        <w:tc>
          <w:tcPr>
            <w:tcW w:w="860" w:type="dxa"/>
            <w:vAlign w:val="bottom"/>
            <w:gridSpan w:val="4"/>
          </w:tcPr>
          <w:p>
            <w:pPr>
              <w:jc w:val="right"/>
              <w:ind w:right="360"/>
              <w:spacing w:after="0"/>
              <w:rPr>
                <w:sz w:val="20"/>
                <w:szCs w:val="20"/>
                <w:color w:val="auto"/>
              </w:rPr>
            </w:pPr>
            <w:r>
              <w:rPr>
                <w:rFonts w:ascii="Times New Roman" w:cs="Times New Roman" w:eastAsia="Times New Roman" w:hAnsi="Times New Roman"/>
                <w:sz w:val="18"/>
                <w:szCs w:val="18"/>
                <w:color w:val="auto"/>
              </w:rPr>
              <w:t>795</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734</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662</w:t>
            </w:r>
          </w:p>
        </w:tc>
        <w:tc>
          <w:tcPr>
            <w:tcW w:w="12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        8.3</w:t>
            </w:r>
          </w:p>
        </w:tc>
        <w:tc>
          <w:tcPr>
            <w:tcW w:w="130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         10.9</w:t>
            </w: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211</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213</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214</w:t>
            </w:r>
          </w:p>
        </w:tc>
        <w:tc>
          <w:tcPr>
            <w:tcW w:w="12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w:t>
            </w:r>
          </w:p>
        </w:tc>
        <w:tc>
          <w:tcPr>
            <w:tcW w:w="13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5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7,062</w:t>
            </w:r>
          </w:p>
        </w:tc>
        <w:tc>
          <w:tcPr>
            <w:tcW w:w="2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7,445</w:t>
            </w:r>
          </w:p>
        </w:tc>
        <w:tc>
          <w:tcPr>
            <w:tcW w:w="1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7,834</w:t>
            </w:r>
          </w:p>
        </w:tc>
        <w:tc>
          <w:tcPr>
            <w:tcW w:w="360" w:type="dxa"/>
            <w:vAlign w:val="bottom"/>
            <w:vMerge w:val="continue"/>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(5.1)%</w:t>
            </w:r>
          </w:p>
        </w:tc>
        <w:tc>
          <w:tcPr>
            <w:tcW w:w="180" w:type="dxa"/>
            <w:vAlign w:val="bottom"/>
            <w:vMerge w:val="continue"/>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(5.0)%</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10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Linear distribution revenue </w:t>
      </w:r>
      <w:r>
        <w:rPr>
          <w:rFonts w:ascii="Times New Roman" w:cs="Times New Roman" w:eastAsia="Times New Roman" w:hAnsi="Times New Roman"/>
          <w:sz w:val="18"/>
          <w:szCs w:val="18"/>
          <w:color w:val="auto"/>
        </w:rPr>
        <w:t>primarily consists of revenue generated from the distribution of our television networks to traditional MVPDs,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180"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Linear distribution revenue continued to decrease for the three and six months ended June 30, 2025 due to declines in the number of subscribers of 8% for both periods, partially offset by contractual rate increases.</w:t>
      </w:r>
    </w:p>
    <w:p>
      <w:pPr>
        <w:spacing w:after="0" w:line="162"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Linear distribution revenue decreased in 2024 and 2023 due to declines in the number of subscribers of 8% for both periods, partially offset by contractual rate increases. We expect to experience continued declines in the number of subscribers and linear distribution revenue, as further discussed in “—Key Factors Affecting Our Business.”</w:t>
      </w:r>
    </w:p>
    <w:p>
      <w:pPr>
        <w:spacing w:after="0" w:line="172" w:lineRule="exact"/>
        <w:rPr>
          <w:sz w:val="20"/>
          <w:szCs w:val="20"/>
          <w:color w:val="auto"/>
        </w:rPr>
      </w:pPr>
    </w:p>
    <w:p>
      <w:pPr>
        <w:ind w:left="120" w:right="2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Advertising revenue </w:t>
      </w:r>
      <w:r>
        <w:rPr>
          <w:rFonts w:ascii="Times New Roman" w:cs="Times New Roman" w:eastAsia="Times New Roman" w:hAnsi="Times New Roman"/>
          <w:sz w:val="18"/>
          <w:szCs w:val="18"/>
          <w:color w:val="auto"/>
        </w:rPr>
        <w:t>consists of revenue generated from sales of advertising on our networks and digital platforms. The price charged for each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based on website page or application visits.</w:t>
      </w:r>
    </w:p>
    <w:p>
      <w:pPr>
        <w:spacing w:after="0" w:line="180"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decreased for the three and six months ended June 30, 2025 primarily due to decreases at our networks as a result of ratings declines of 16% and 18%, respectively. Ratings in 2025 continued to be negatively impacted by trends in linear advertising, and experienced further declines following the presidential inauguration.</w:t>
      </w:r>
    </w:p>
    <w:p>
      <w:pPr>
        <w:spacing w:after="0" w:line="176"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Advertising revenue decreased in 2024 and 2023 primarily due to decreases at our networks as a result of ratings declines of 8% and 5%, respectively. In 2023, advertising revenue was also impacted by negative market conditions compared to 2022, which included advertisers’ shifts in spending from linear to digital advertising.</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140"/>
          </w:cols>
          <w:pgMar w:left="320" w:top="455" w:right="439" w:bottom="1440" w:gutter="0" w:footer="0" w:header="0"/>
        </w:sectPr>
      </w:pPr>
    </w:p>
    <w:bookmarkStart w:id="853" w:name="page854"/>
    <w:bookmarkEnd w:id="8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We expect to experience continued ratings declines at our networks and continued shifts toward digital advertising in future periods, and these trends are further discussed in “—Key Factors Affecting Our Business.”</w:t>
      </w:r>
    </w:p>
    <w:p>
      <w:pPr>
        <w:spacing w:after="0" w:line="158"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Platforms revenue </w:t>
      </w:r>
      <w:r>
        <w:rPr>
          <w:rFonts w:ascii="Times New Roman" w:cs="Times New Roman" w:eastAsia="Times New Roman" w:hAnsi="Times New Roman"/>
          <w:sz w:val="18"/>
          <w:szCs w:val="18"/>
          <w:color w:val="auto"/>
        </w:rPr>
        <w:t>primarily consists of revenue generated from services provided through our digital platforms. The GolfNow, Fandango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 We have generally concluded that we are the agent for the underlying transactions being executed through our platforms, and we therefore do not recognize revenue for each tee time booked, movie ticket sold, television or movie title rented or purchased, or sports registration.</w:t>
      </w:r>
    </w:p>
    <w:p>
      <w:pPr>
        <w:spacing w:after="0" w:line="192"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Platforms revenue increased for the three and six months ended June 30, 2025 primarily due to increased transactional volumes, primarily related to services provided to golf courses, including an increased number of courses using our on-site payment facilitation services. Revenue for the three months ended June 30, 2025 also increased due to an increase in movie tickets purchases through our platform resulting from underlying box office performance.</w:t>
      </w:r>
    </w:p>
    <w:p>
      <w:pPr>
        <w:spacing w:after="0" w:line="180"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Platforms revenue increased in 2024 and 2023 primarily due to increased transactional volumes, primarily related to services provided to golf courses, including an increased number of courses using our on-site payment facilitation services.</w:t>
      </w:r>
    </w:p>
    <w:p>
      <w:pPr>
        <w:spacing w:after="0" w:line="158" w:lineRule="exact"/>
        <w:rPr>
          <w:sz w:val="20"/>
          <w:szCs w:val="20"/>
          <w:color w:val="auto"/>
        </w:rPr>
      </w:pPr>
    </w:p>
    <w:p>
      <w:pPr>
        <w:ind w:left="120" w:right="5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Content licensing and other revenue </w:t>
      </w:r>
      <w:r>
        <w:rPr>
          <w:rFonts w:ascii="Times New Roman" w:cs="Times New Roman" w:eastAsia="Times New Roman" w:hAnsi="Times New Roman"/>
          <w:sz w:val="18"/>
          <w:szCs w:val="18"/>
          <w:color w:val="auto"/>
        </w:rPr>
        <w:t>consists of revenue generated from licensing our owned content to third parties, including television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networks, streaming services and other platforms, licensing audio feeds of our programming and original podcasts to digital platforms and other products and services.</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Content licensing and other revenue decreased for the three months ended June 30, 2025 primarily due to timing of content licensing agreements.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Costs and Expenses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94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164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0" w:type="dxa"/>
            <w:vAlign w:val="bottom"/>
          </w:tcPr>
          <w:p>
            <w:pPr>
              <w:spacing w:after="0"/>
              <w:rPr>
                <w:sz w:val="13"/>
                <w:szCs w:val="13"/>
                <w:color w:val="auto"/>
              </w:rPr>
            </w:pPr>
          </w:p>
        </w:tc>
        <w:tc>
          <w:tcPr>
            <w:tcW w:w="150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73"/>
        </w:trPr>
        <w:tc>
          <w:tcPr>
            <w:tcW w:w="39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4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5"/>
          </w:tcPr>
          <w:p>
            <w:pPr>
              <w:jc w:val="right"/>
              <w:ind w:right="5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633</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(9.5)%</w:t>
            </w:r>
          </w:p>
        </w:tc>
        <w:tc>
          <w:tcPr>
            <w:tcW w:w="7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$1,120</w:t>
            </w:r>
          </w:p>
        </w:tc>
        <w:tc>
          <w:tcPr>
            <w:tcW w:w="88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$1,218</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84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10.9</w:t>
            </w:r>
          </w:p>
        </w:tc>
        <w:tc>
          <w:tcPr>
            <w:tcW w:w="7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88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218</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18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vMerge w:val="continue"/>
          </w:tcPr>
          <w:p>
            <w:pPr>
              <w:spacing w:after="0"/>
              <w:rPr>
                <w:sz w:val="19"/>
                <w:szCs w:val="19"/>
                <w:color w:val="auto"/>
              </w:rPr>
            </w:pPr>
          </w:p>
        </w:tc>
        <w:tc>
          <w:tcPr>
            <w:tcW w:w="2180" w:type="dxa"/>
            <w:vAlign w:val="bottom"/>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1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747</w:t>
            </w:r>
          </w:p>
        </w:tc>
        <w:tc>
          <w:tcPr>
            <w:tcW w:w="260" w:type="dxa"/>
            <w:vAlign w:val="bottom"/>
            <w:vMerge w:val="continue"/>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(6.3)%</w:t>
            </w:r>
          </w:p>
        </w:tc>
        <w:tc>
          <w:tcPr>
            <w:tcW w:w="140" w:type="dxa"/>
            <w:vAlign w:val="bottom"/>
            <w:vMerge w:val="continue"/>
          </w:tcPr>
          <w:p>
            <w:pPr>
              <w:spacing w:after="0"/>
              <w:rPr>
                <w:sz w:val="19"/>
                <w:szCs w:val="19"/>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1,354</w:t>
            </w:r>
          </w:p>
        </w:tc>
        <w:tc>
          <w:tcPr>
            <w:tcW w:w="14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1,436</w:t>
            </w:r>
          </w:p>
        </w:tc>
        <w:tc>
          <w:tcPr>
            <w:tcW w:w="260" w:type="dxa"/>
            <w:vAlign w:val="bottom"/>
            <w:vMerge w:val="continue"/>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(5.7)%</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18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76</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4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54" w:name="page855"/>
    <w:bookmarkEnd w:id="8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Costs of Revenue</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5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0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80" w:type="dxa"/>
            <w:vAlign w:val="bottom"/>
          </w:tcPr>
          <w:p>
            <w:pPr>
              <w:spacing w:after="0"/>
              <w:rPr>
                <w:sz w:val="10"/>
                <w:szCs w:val="10"/>
                <w:color w:val="auto"/>
              </w:rPr>
            </w:pPr>
          </w:p>
        </w:tc>
        <w:tc>
          <w:tcPr>
            <w:tcW w:w="50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vMerge w:val="restart"/>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0"/>
                <w:szCs w:val="10"/>
                <w:color w:val="auto"/>
              </w:rPr>
            </w:pPr>
          </w:p>
        </w:tc>
        <w:tc>
          <w:tcPr>
            <w:tcW w:w="740" w:type="dxa"/>
            <w:vAlign w:val="bottom"/>
            <w:gridSpan w:val="2"/>
            <w:vMerge w:val="restart"/>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Pr>
          <w:p>
            <w:pPr>
              <w:spacing w:after="0"/>
              <w:rPr>
                <w:sz w:val="10"/>
                <w:szCs w:val="10"/>
                <w:color w:val="auto"/>
              </w:rPr>
            </w:pPr>
          </w:p>
        </w:tc>
        <w:tc>
          <w:tcPr>
            <w:tcW w:w="1400" w:type="dxa"/>
            <w:vAlign w:val="bottom"/>
            <w:gridSpan w:val="2"/>
          </w:tcPr>
          <w:p>
            <w:pPr>
              <w:jc w:val="right"/>
              <w:ind w:right="600"/>
              <w:spacing w:after="0" w:line="118" w:lineRule="exact"/>
              <w:rPr>
                <w:sz w:val="20"/>
                <w:szCs w:val="20"/>
                <w:color w:val="auto"/>
              </w:rPr>
            </w:pPr>
            <w:r>
              <w:rPr>
                <w:rFonts w:ascii="Times New Roman" w:cs="Times New Roman" w:eastAsia="Times New Roman" w:hAnsi="Times New Roman"/>
                <w:sz w:val="13"/>
                <w:szCs w:val="13"/>
                <w:b w:val="1"/>
                <w:bCs w:val="1"/>
                <w:color w:val="auto"/>
              </w:rPr>
              <w:t>Change 2023</w:t>
            </w:r>
          </w:p>
        </w:tc>
        <w:tc>
          <w:tcPr>
            <w:tcW w:w="8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Change 2022</w:t>
            </w: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59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1400" w:type="dxa"/>
            <w:vAlign w:val="bottom"/>
            <w:gridSpan w:val="2"/>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to 2024</w:t>
            </w:r>
          </w:p>
        </w:tc>
        <w:tc>
          <w:tcPr>
            <w:tcW w:w="11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 2023</w:t>
            </w:r>
          </w:p>
        </w:tc>
        <w:tc>
          <w:tcPr>
            <w:tcW w:w="0" w:type="dxa"/>
            <w:vAlign w:val="bottom"/>
          </w:tcPr>
          <w:p>
            <w:pPr>
              <w:spacing w:after="0"/>
              <w:rPr>
                <w:sz w:val="1"/>
                <w:szCs w:val="1"/>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240" w:type="dxa"/>
            <w:vAlign w:val="bottom"/>
            <w:tcBorders>
              <w:top w:val="single" w:sz="8" w:color="auto"/>
            </w:tcBorders>
            <w:gridSpan w:val="4"/>
          </w:tcPr>
          <w:p>
            <w:pPr>
              <w:jc w:val="right"/>
              <w:ind w:right="12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Costs of Revenue</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w w:val="96"/>
              </w:rPr>
              <w:t>$2,606</w:t>
            </w:r>
          </w:p>
        </w:tc>
        <w:tc>
          <w:tcPr>
            <w:tcW w:w="3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$2,724</w:t>
            </w:r>
          </w:p>
        </w:tc>
        <w:tc>
          <w:tcPr>
            <w:tcW w:w="108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$2,749</w:t>
            </w:r>
          </w:p>
        </w:tc>
        <w:tc>
          <w:tcPr>
            <w:tcW w:w="14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(4.3)%</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(0.9)%</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340" w:type="dxa"/>
            <w:vAlign w:val="bottom"/>
            <w:gridSpan w:val="2"/>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108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412</w:t>
            </w:r>
          </w:p>
        </w:tc>
        <w:tc>
          <w:tcPr>
            <w:tcW w:w="140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        6.5</w:t>
            </w:r>
          </w:p>
        </w:tc>
        <w:tc>
          <w:tcPr>
            <w:tcW w:w="11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        4.3</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9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2"/>
              </w:rPr>
              <w:t>$</w:t>
            </w:r>
            <w:r>
              <w:rPr>
                <w:rFonts w:ascii="Times New Roman" w:cs="Times New Roman" w:eastAsia="Times New Roman" w:hAnsi="Times New Roman"/>
                <w:sz w:val="18"/>
                <w:szCs w:val="18"/>
                <w:b w:val="1"/>
                <w:bCs w:val="1"/>
                <w:color w:val="auto"/>
                <w:w w:val="92"/>
              </w:rPr>
              <w:t>3,064</w:t>
            </w:r>
          </w:p>
        </w:tc>
        <w:tc>
          <w:tcPr>
            <w:tcW w:w="2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3,154</w:t>
            </w:r>
          </w:p>
        </w:tc>
        <w:tc>
          <w:tcPr>
            <w:tcW w:w="12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3,161</w:t>
            </w:r>
          </w:p>
        </w:tc>
        <w:tc>
          <w:tcPr>
            <w:tcW w:w="340" w:type="dxa"/>
            <w:vAlign w:val="bottom"/>
            <w:vMerge w:val="continue"/>
          </w:tcPr>
          <w:p>
            <w:pPr>
              <w:spacing w:after="0"/>
              <w:rPr>
                <w:sz w:val="19"/>
                <w:szCs w:val="19"/>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(2.8)%</w:t>
            </w:r>
          </w:p>
        </w:tc>
        <w:tc>
          <w:tcPr>
            <w:tcW w:w="11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(0.2)%</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ind w:left="120" w:right="76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Programming and production costs </w:t>
      </w:r>
      <w:r>
        <w:rPr>
          <w:rFonts w:ascii="Times New Roman" w:cs="Times New Roman" w:eastAsia="Times New Roman" w:hAnsi="Times New Roman"/>
          <w:sz w:val="18"/>
          <w:szCs w:val="18"/>
          <w:color w:val="auto"/>
        </w:rPr>
        <w:t>primarily consist of the amortization of licensed and owned content, including sports rights, direct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production costs, production overhead and on-air talent costs.</w:t>
      </w:r>
    </w:p>
    <w:p>
      <w:pPr>
        <w:spacing w:after="0" w:line="15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Programming and production costs decreased for the three and six months ended June 30, 2025 primarily due to lower costs associated with sports programming.</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Programming and production costs decreased in 2024 primarily due to a production tax incentive recognized in 2024 and resulting in a benefit of $58 million (see Note 4 to the audited combined financial statements) as well as lower costs associated with sports programming driven by timing of events and lower costs associated with entertainment content. Programming and production costs were generally consistent in 2023 compared to the prior year period. Programming and production costs are our most significant costs of revenue and are further discussed in “—Key Factors Affecting Our Business” above.</w:t>
      </w:r>
    </w:p>
    <w:p>
      <w:pPr>
        <w:spacing w:after="0" w:line="179" w:lineRule="exact"/>
        <w:rPr>
          <w:sz w:val="20"/>
          <w:szCs w:val="20"/>
          <w:color w:val="auto"/>
        </w:rPr>
      </w:pPr>
    </w:p>
    <w:p>
      <w:pPr>
        <w:ind w:left="120" w:right="4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Other costs of revenue </w:t>
      </w:r>
      <w:r>
        <w:rPr>
          <w:rFonts w:ascii="Times New Roman" w:cs="Times New Roman" w:eastAsia="Times New Roman" w:hAnsi="Times New Roman"/>
          <w:sz w:val="18"/>
          <w:szCs w:val="18"/>
          <w:color w:val="auto"/>
        </w:rPr>
        <w:t>primarily include direct costs associated with transactions supported by our platforms, such as fees for data related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transactions available to consumers and payment processing fees, and other platform and customer support costs.</w:t>
      </w:r>
    </w:p>
    <w:p>
      <w:pPr>
        <w:spacing w:after="0" w:line="15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Other costs of revenue increased for the three and six months ended June 30, 2025 primarily due to higher transactional volumes related to our digital platforms.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Other costs of revenue increased in 2024 and 2023 primarily due to higher transactional volumes related to our digital platforms.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 Expense</w:t>
      </w:r>
    </w:p>
    <w:p>
      <w:pPr>
        <w:spacing w:after="0" w:line="121"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 primarily consists of salaries, employee benefits, rent and other overhead expenses, including allocations of costs from Comcast related to shared functions and infrastructure.</w:t>
      </w:r>
    </w:p>
    <w:p>
      <w:pPr>
        <w:spacing w:after="0" w:line="162"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 increased for the three and six months ended June 30, 2025 primarily due to transaction and transaction-related costs associated with the Separation, which totaled $32 million and $44 million for the three and six months ended June 30, 2025, respectively.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 decreased in 2024 and 2023 primarily due to a decrease in allocated costs from Comcast. As discussed in “—Key Factors Affecting Our Business,” Note 5 to the unaudited condensed combined financial statements and Note 10 to the audited combined financial statements, these costs were generally allocated on a pro rata basis using a measure based on revenue applied to the relevant pool of costs and may not be representative of our operating costs as a standalone company following the Separation.</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140"/>
          </w:cols>
          <w:pgMar w:left="320" w:top="455" w:right="439" w:bottom="1440" w:gutter="0" w:footer="0" w:header="0"/>
        </w:sectPr>
      </w:pPr>
    </w:p>
    <w:bookmarkStart w:id="855" w:name="page856"/>
    <w:bookmarkEnd w:id="8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includes amortization of certain acquisition-related intangible assets, which primarily relate to our television networks, as well as depreciation of property and equipment. Depreciation and amortization expense remained consistent for the three and six months ended June 30, 2025 and 2024, as well as in 2024 and 2023. See Note 7 to the audited combined financial statements for additional information on our intangible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Investment and other income (loss), net</w:t>
      </w:r>
    </w:p>
    <w:p>
      <w:pPr>
        <w:spacing w:after="0" w:line="121"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Investment and other income (loss), net in 2022 resulted primarily from an impairment of a nonmarketable equity security. See Note 5 to the audited combined financial statements for additional information on our investments.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 Expense</w:t>
      </w:r>
    </w:p>
    <w:p>
      <w:pPr>
        <w:spacing w:after="0" w:line="121"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Our effective income tax rate was 26.2% for both the three and six months ended June 30, 2025 and 25.9% for both the three and six months ended June 30, 2024. Our effective income tax rate was 25.9%, 25.6% and 25.2% in 2024, 2023 and 2022, respectively.</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decreases in income tax expense for the three and six months ended 2025, and the years ended December 31, 2024 and 2023 were primarily due to decreases in income before income taxes.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See Note 8 to the audited combined financial statements for additional information on our income taxes.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Adjusted EBITDA is a non-GAAP financial measure and is the primary basis used to measure the operational strength and performance of our businesses as well as to assist in the evaluation of underlying trends in our businesses. This measure eliminates the significant level of noncash depreciation and amortization expense that results from intangible assets recognized in business combinations. It is also unaffected by our capital and tax structures, and by our investment activities, as our management excludes these results when evaluating our operating performance. Our management uses this financial measure to evaluate our operating performance. Additionally, we believe that Adjusted EBITDA is useful to investors because it is one of the bases for comparing our operating performance with that of other companies in our industries, although our measure of Adjusted EBITDA may not be directly comparable to similar measures used by other companies.</w:t>
      </w:r>
    </w:p>
    <w:p>
      <w:pPr>
        <w:spacing w:after="0" w:line="18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define Adjusted EBITDA as net income attributable to Versant before net income (loss) attributable to noncontrolling interests, income tax expense, investment and other income (loss), net, interest expense, depreciation and amortization expense, and other operating gains and losses (such as impairment charges related to fixed and intangible assets and gains or losses on the sale of long-lived assets), if any. From time to time, we may exclude from Adjusted EBITDA the impact of certain events, gains, losses or other charges that affect the period-to-period comparability of our operating performance.</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We reconcile Adjusted EBITDA to net income attributable to Versant. This measure should not be considered a substitute for operating income (loss), net income (loss), net income (loss) attributable to Versant, or net cash provided by operating activities that we have reported in accordance with GAAP.</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80"/>
          </w:cols>
          <w:pgMar w:left="320" w:top="455" w:right="499" w:bottom="1440" w:gutter="0" w:footer="0" w:header="0"/>
        </w:sectPr>
      </w:pPr>
    </w:p>
    <w:bookmarkStart w:id="856" w:name="page857"/>
    <w:bookmarkEnd w:id="8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Reconciliation from Net Income Attributable to Versant to Adjusted EBITDA</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6"/>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12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b w:val="1"/>
                <w:bCs w:val="1"/>
                <w:color w:val="auto"/>
                <w:w w:val="72"/>
              </w:rPr>
              <w:t> </w:t>
            </w:r>
          </w:p>
        </w:tc>
        <w:tc>
          <w:tcPr>
            <w:tcW w:w="660" w:type="dxa"/>
            <w:vAlign w:val="bottom"/>
            <w:tcBorders>
              <w:bottom w:val="single" w:sz="8" w:color="auto"/>
            </w:tcBorders>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4"/>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86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302</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373</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669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803</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131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281</w:t>
            </w:r>
          </w:p>
        </w:tc>
      </w:tr>
      <w:tr>
        <w:trPr>
          <w:trHeight w:val="216"/>
        </w:trPr>
        <w:tc>
          <w:tcPr>
            <w:tcW w:w="5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r>
      <w:tr>
        <w:trPr>
          <w:trHeight w:val="223"/>
        </w:trPr>
        <w:tc>
          <w:tcPr>
            <w:tcW w:w="584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(a)</w:t>
            </w:r>
          </w:p>
        </w:tc>
        <w:tc>
          <w:tcPr>
            <w:tcW w:w="1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5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860" w:type="dxa"/>
            <w:vAlign w:val="bottom"/>
            <w:gridSpan w:val="2"/>
            <w:shd w:val="clear" w:color="auto" w:fill="CCEEFF"/>
          </w:tcPr>
          <w:p>
            <w:pPr>
              <w:ind w:left="176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685</w:t>
            </w:r>
          </w:p>
        </w:tc>
        <w:tc>
          <w:tcPr>
            <w:tcW w:w="3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747</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3"/>
              </w:rPr>
              <w:t>1,442</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1,575</w:t>
            </w:r>
          </w:p>
        </w:tc>
      </w:tr>
      <w:tr>
        <w:trPr>
          <w:trHeight w:val="20"/>
        </w:trPr>
        <w:tc>
          <w:tcPr>
            <w:tcW w:w="12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46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right="140" w:hanging="424"/>
        <w:spacing w:after="0" w:line="258" w:lineRule="auto"/>
        <w:tabs>
          <w:tab w:leader="none" w:pos="540" w:val="left"/>
        </w:tabs>
        <w:numPr>
          <w:ilvl w:val="0"/>
          <w:numId w:val="1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For the periods presented, Adjusted EBITDA excludes transaction and transaction-related costs associated with the Separation. Transaction costs are incremental costs directly related to effectuating the Separation and primarily include legal, audit and advisory fees. Transaction-related costs are incremental costs incurred in anticipation of the Separation and primarily include IT separation and implementation costs, advisory fees and other one-time costs.</w:t>
      </w:r>
    </w:p>
    <w:p>
      <w:pPr>
        <w:spacing w:after="0" w:line="192"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20" w:type="dxa"/>
            <w:vAlign w:val="bottom"/>
            <w:gridSpan w:val="7"/>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1380" w:type="dxa"/>
            <w:vAlign w:val="bottom"/>
            <w:gridSpan w:val="7"/>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56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2025 </w:t>
            </w:r>
          </w:p>
        </w:tc>
        <w:tc>
          <w:tcPr>
            <w:tcW w:w="5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bottom w:val="single" w:sz="8" w:color="auto"/>
            </w:tcBorders>
            <w:gridSpan w:val="2"/>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2024 </w:t>
            </w:r>
          </w:p>
        </w:tc>
        <w:tc>
          <w:tcPr>
            <w:tcW w:w="4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7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Transaction-related costs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5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gridSpan w:val="2"/>
          </w:tcPr>
          <w:p>
            <w:pPr>
              <w:jc w:val="right"/>
              <w:ind w:right="195"/>
              <w:spacing w:after="0"/>
              <w:rPr>
                <w:sz w:val="20"/>
                <w:szCs w:val="20"/>
                <w:color w:val="auto"/>
              </w:rPr>
            </w:pPr>
            <w:r>
              <w:rPr>
                <w:rFonts w:ascii="Times New Roman" w:cs="Times New Roman" w:eastAsia="Times New Roman" w:hAnsi="Times New Roman"/>
                <w:sz w:val="18"/>
                <w:szCs w:val="18"/>
                <w:color w:val="auto"/>
              </w:rPr>
              <w:t>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w:t>
            </w:r>
          </w:p>
        </w:tc>
      </w:tr>
      <w:tr>
        <w:trPr>
          <w:trHeight w:val="27"/>
        </w:trPr>
        <w:tc>
          <w:tcPr>
            <w:tcW w:w="56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Adjustments</w:t>
            </w:r>
          </w:p>
        </w:tc>
        <w:tc>
          <w:tcPr>
            <w:tcW w:w="1700" w:type="dxa"/>
            <w:vAlign w:val="bottom"/>
            <w:gridSpan w:val="2"/>
            <w:shd w:val="clear" w:color="auto" w:fill="CCEEFF"/>
          </w:tcPr>
          <w:p>
            <w:pPr>
              <w:ind w:left="15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w:t>
            </w:r>
          </w:p>
        </w:tc>
        <w:tc>
          <w:tcPr>
            <w:tcW w:w="66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4"/>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gridSpan w:val="2"/>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b w:val="1"/>
                <w:bCs w:val="1"/>
                <w:color w:val="auto"/>
              </w:rPr>
              <w:t>44</w:t>
            </w:r>
          </w:p>
        </w:tc>
        <w:tc>
          <w:tcPr>
            <w:tcW w:w="1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p>
        </w:tc>
      </w:tr>
      <w:tr>
        <w:trPr>
          <w:trHeight w:val="20"/>
        </w:trPr>
        <w:tc>
          <w:tcPr>
            <w:tcW w:w="5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85"/>
        </w:trPr>
        <w:tc>
          <w:tcPr>
            <w:tcW w:w="5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Pr>
          <w:p>
            <w:pPr>
              <w:spacing w:after="0"/>
              <w:rPr>
                <w:sz w:val="12"/>
                <w:szCs w:val="12"/>
                <w:color w:val="auto"/>
              </w:rPr>
            </w:pPr>
          </w:p>
        </w:tc>
      </w:tr>
      <w:tr>
        <w:trPr>
          <w:trHeight w:val="142"/>
        </w:trPr>
        <w:tc>
          <w:tcPr>
            <w:tcW w:w="56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4"/>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$1,363</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$1,539</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478</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c>
          <w:tcPr>
            <w:tcW w:w="120" w:type="dxa"/>
            <w:vAlign w:val="bottom"/>
            <w:tcBorders>
              <w:left w:val="single" w:sz="8" w:color="CCEEFF"/>
            </w:tcBorders>
            <w:shd w:val="clear" w:color="auto" w:fill="CCEEFF"/>
          </w:tcPr>
          <w:p>
            <w:pPr>
              <w:spacing w:after="0"/>
              <w:rPr>
                <w:sz w:val="18"/>
                <w:szCs w:val="18"/>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w:t>
            </w:r>
          </w:p>
        </w:tc>
        <w:tc>
          <w:tcPr>
            <w:tcW w:w="120" w:type="dxa"/>
            <w:vAlign w:val="bottom"/>
            <w:tcBorders>
              <w:left w:val="single" w:sz="8" w:color="CCEEFF"/>
            </w:tcBorders>
            <w:shd w:val="clear" w:color="auto" w:fill="CCEEFF"/>
          </w:tcPr>
          <w:p>
            <w:pPr>
              <w:spacing w:after="0"/>
              <w:rPr>
                <w:sz w:val="18"/>
                <w:szCs w:val="18"/>
                <w:color w:val="auto"/>
              </w:rPr>
            </w:pPr>
          </w:p>
        </w:tc>
      </w:tr>
      <w:tr>
        <w:trPr>
          <w:trHeight w:val="223"/>
        </w:trPr>
        <w:tc>
          <w:tcPr>
            <w:tcW w:w="564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Adjustments</w:t>
            </w:r>
            <w:r>
              <w:rPr>
                <w:rFonts w:ascii="Times New Roman" w:cs="Times New Roman" w:eastAsia="Times New Roman" w:hAnsi="Times New Roman"/>
                <w:sz w:val="25"/>
                <w:szCs w:val="25"/>
                <w:color w:val="auto"/>
                <w:vertAlign w:val="superscript"/>
              </w:rPr>
              <w:t>(a)</w:t>
            </w: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Pr>
          <w:p>
            <w:pPr>
              <w:spacing w:after="0"/>
              <w:rPr>
                <w:sz w:val="19"/>
                <w:szCs w:val="19"/>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2,837</w:t>
            </w:r>
          </w:p>
        </w:tc>
        <w:tc>
          <w:tcPr>
            <w:tcW w:w="1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3,060</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3,402</w:t>
            </w:r>
          </w:p>
        </w:tc>
        <w:tc>
          <w:tcPr>
            <w:tcW w:w="120" w:type="dxa"/>
            <w:vAlign w:val="bottom"/>
            <w:tcBorders>
              <w:left w:val="single" w:sz="8" w:color="CCEEFF"/>
            </w:tcBorders>
            <w:shd w:val="clear" w:color="auto" w:fill="CCEEFF"/>
          </w:tcPr>
          <w:p>
            <w:pPr>
              <w:spacing w:after="0"/>
              <w:rPr>
                <w:sz w:val="18"/>
                <w:szCs w:val="18"/>
                <w:color w:val="auto"/>
              </w:rPr>
            </w:pPr>
          </w:p>
        </w:tc>
      </w:tr>
      <w:tr>
        <w:trPr>
          <w:trHeight w:val="20"/>
        </w:trPr>
        <w:tc>
          <w:tcPr>
            <w:tcW w:w="5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89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420" w:hanging="424"/>
        <w:spacing w:after="0" w:line="282" w:lineRule="auto"/>
        <w:tabs>
          <w:tab w:leader="none" w:pos="540" w:val="left"/>
        </w:tabs>
        <w:numPr>
          <w:ilvl w:val="0"/>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impact of certain events, gains, losses or other charges that are excluded from Adjusted EBITDA, which are related to certain transaction costs associated with the Separation in 2024. See Note 2 to the audited combined financial statements.</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140"/>
          </w:cols>
          <w:pgMar w:left="320" w:top="455" w:right="439" w:bottom="1440" w:gutter="0" w:footer="0" w:header="0"/>
        </w:sectPr>
      </w:pPr>
    </w:p>
    <w:bookmarkStart w:id="857" w:name="page858"/>
    <w:bookmarkEnd w:id="8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60" w:type="dxa"/>
            <w:vAlign w:val="bottom"/>
          </w:tcPr>
          <w:p>
            <w:pPr>
              <w:spacing w:after="0"/>
              <w:rPr>
                <w:sz w:val="13"/>
                <w:szCs w:val="13"/>
                <w:color w:val="auto"/>
              </w:rPr>
            </w:pPr>
          </w:p>
        </w:tc>
        <w:tc>
          <w:tcPr>
            <w:tcW w:w="2460" w:type="dxa"/>
            <w:vAlign w:val="bottom"/>
            <w:gridSpan w:val="6"/>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gridSpan w:val="3"/>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246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top w:val="single" w:sz="8" w:color="auto"/>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4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0" w:type="dxa"/>
            <w:vAlign w:val="bottom"/>
            <w:tcBorders>
              <w:top w:val="single" w:sz="8" w:color="auto"/>
              <w:bottom w:val="single" w:sz="8" w:color="auto"/>
            </w:tcBorders>
          </w:tcPr>
          <w:p>
            <w:pPr>
              <w:jc w:val="right"/>
              <w:ind w:right="5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6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$ 1,113</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$ 1,084</w:t>
            </w: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$ 2,211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$ 2,509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Cash used in investing activities</w:t>
            </w:r>
          </w:p>
        </w:tc>
        <w:tc>
          <w:tcPr>
            <w:tcW w:w="1120" w:type="dxa"/>
            <w:vAlign w:val="bottom"/>
            <w:gridSpan w:val="2"/>
          </w:tcPr>
          <w:p>
            <w:pPr>
              <w:ind w:left="440"/>
              <w:spacing w:after="0"/>
              <w:rPr>
                <w:sz w:val="20"/>
                <w:szCs w:val="20"/>
                <w:color w:val="auto"/>
              </w:rPr>
            </w:pPr>
            <w:r>
              <w:rPr>
                <w:rFonts w:ascii="Times New Roman" w:cs="Times New Roman" w:eastAsia="Times New Roman" w:hAnsi="Times New Roman"/>
                <w:sz w:val="18"/>
                <w:szCs w:val="18"/>
                <w:color w:val="auto"/>
              </w:rPr>
              <w:t>$   (77)</w:t>
            </w: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   (28)</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   (71)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9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   (39)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112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$(1,040)</w:t>
            </w:r>
          </w:p>
        </w:tc>
        <w:tc>
          <w:tcPr>
            <w:tcW w:w="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$(1,059)</w:t>
            </w:r>
          </w:p>
        </w:tc>
        <w:tc>
          <w:tcPr>
            <w:tcW w:w="10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$(2,155)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(2,355)</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$(2,486)</w:t>
            </w:r>
          </w:p>
        </w:tc>
        <w:tc>
          <w:tcPr>
            <w:tcW w:w="0" w:type="dxa"/>
            <w:vAlign w:val="bottom"/>
          </w:tcPr>
          <w:p>
            <w:pPr>
              <w:spacing w:after="0"/>
              <w:rPr>
                <w:sz w:val="1"/>
                <w:szCs w:val="1"/>
                <w:color w:val="auto"/>
              </w:rPr>
            </w:pPr>
          </w:p>
        </w:tc>
      </w:tr>
      <w:tr>
        <w:trPr>
          <w:trHeight w:val="391"/>
        </w:trPr>
        <w:tc>
          <w:tcPr>
            <w:tcW w:w="6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gridSpan w:val="2"/>
          </w:tcPr>
          <w:p>
            <w:pPr>
              <w:jc w:val="center"/>
              <w:ind w:right="425"/>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6340" w:type="dxa"/>
            <w:vAlign w:val="bottom"/>
          </w:tcPr>
          <w:p>
            <w:pPr>
              <w:spacing w:after="0"/>
              <w:rPr>
                <w:sz w:val="10"/>
                <w:szCs w:val="10"/>
                <w:color w:val="auto"/>
              </w:rPr>
            </w:pPr>
          </w:p>
        </w:tc>
        <w:tc>
          <w:tcPr>
            <w:tcW w:w="1120" w:type="dxa"/>
            <w:vAlign w:val="bottom"/>
            <w:gridSpan w:val="2"/>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94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60" w:type="dxa"/>
            <w:vAlign w:val="bottom"/>
          </w:tcPr>
          <w:p>
            <w:pPr>
              <w:spacing w:after="0"/>
              <w:rPr>
                <w:sz w:val="10"/>
                <w:szCs w:val="10"/>
                <w:color w:val="auto"/>
              </w:rPr>
            </w:pPr>
          </w:p>
        </w:tc>
        <w:tc>
          <w:tcPr>
            <w:tcW w:w="1540" w:type="dxa"/>
            <w:vAlign w:val="bottom"/>
            <w:gridSpan w:val="3"/>
          </w:tcPr>
          <w:p>
            <w:pPr>
              <w:jc w:val="right"/>
              <w:ind w:right="375"/>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860" w:type="dxa"/>
            <w:vAlign w:val="bottom"/>
            <w:gridSpan w:val="2"/>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340" w:type="dxa"/>
            <w:vAlign w:val="bottom"/>
          </w:tcPr>
          <w:p>
            <w:pPr>
              <w:spacing w:after="0"/>
              <w:rPr>
                <w:sz w:val="15"/>
                <w:szCs w:val="15"/>
                <w:color w:val="auto"/>
              </w:rPr>
            </w:pPr>
          </w:p>
        </w:tc>
        <w:tc>
          <w:tcPr>
            <w:tcW w:w="1120" w:type="dxa"/>
            <w:vAlign w:val="bottom"/>
            <w:tcBorders>
              <w:bottom w:val="single" w:sz="8" w:color="auto"/>
            </w:tcBorders>
            <w:gridSpan w:val="2"/>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8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ind w:right="265"/>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120" w:type="dxa"/>
            <w:vAlign w:val="bottom"/>
            <w:gridSpan w:val="2"/>
            <w:shd w:val="clear" w:color="auto" w:fill="CCEEFF"/>
          </w:tcPr>
          <w:p>
            <w:pPr>
              <w:jc w:val="right"/>
              <w:ind w:right="368"/>
              <w:spacing w:after="0"/>
              <w:rPr>
                <w:sz w:val="20"/>
                <w:szCs w:val="20"/>
                <w:color w:val="auto"/>
              </w:rPr>
            </w:pPr>
            <w:r>
              <w:rPr>
                <w:rFonts w:ascii="Times New Roman" w:cs="Times New Roman" w:eastAsia="Times New Roman" w:hAnsi="Times New Roman"/>
                <w:sz w:val="18"/>
                <w:szCs w:val="18"/>
                <w:color w:val="auto"/>
              </w:rPr>
              <w:t>$        3.9</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7.8</w:t>
            </w:r>
          </w:p>
        </w:tc>
        <w:tc>
          <w:tcPr>
            <w:tcW w:w="16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375"/>
              <w:spacing w:after="0"/>
              <w:rPr>
                <w:sz w:val="20"/>
                <w:szCs w:val="20"/>
                <w:color w:val="auto"/>
              </w:rPr>
            </w:pPr>
            <w:r>
              <w:rPr>
                <w:rFonts w:ascii="Times New Roman" w:cs="Times New Roman" w:eastAsia="Times New Roman" w:hAnsi="Times New Roman"/>
                <w:sz w:val="18"/>
                <w:szCs w:val="18"/>
                <w:color w:val="auto"/>
              </w:rPr>
              <w:t>$        23.4</w:t>
            </w:r>
          </w:p>
        </w:tc>
        <w:tc>
          <w:tcPr>
            <w:tcW w:w="9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        10.7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Historically, we have generated significant cash flows from operating activities. However, we have operated within Comcast’s cash management structure, which uses a centralized approach to cash management and financing of our operations. This arrangement is not reflective of the manner in which we would have financed our operations had we been an independent, publicly traded company during the periods presented.</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Following the Separation, our capital structure and sources of liquidity will change from the historical capital structure because we will no longer participate in Comcast’s centralized cash management program. Our ability to fund our operating needs will depend on our future ability to continue to generate positive cash flow from operations, and on our ability to obtain debt financing on acceptable terms. Management believes that our cash balances and funds provided by operating activities, along with expected borrowing capacity and access to capital markets, taken as a whole, will provide adequate liquidity to meet all of our current and long-term obligations when due, including third-party debt that we expect to incur in connection with the Separation, adequate liquidity to fund capital expenditures, and flexibility to fund investment opportunities that may arise. However, there can be no assurances that we will be able to obtain debt or equity financing on acceptable terms in the future.</w:t>
      </w:r>
    </w:p>
    <w:p>
      <w:pPr>
        <w:spacing w:after="0" w:line="189"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On October 3, 2025, we entered into the TLA/Revolver Credit Agreement with respect to the Term A Loan Facility and the Revolving Credit Facility (which is expected to be undrawn at the time of the Separation). On October 29, 2025, we entered into the Indenture pursuant to which we issued the Notes. We also intend to enter into the Term B Loan Facility in connection with the Separation, which together with the Term A Loan Facility and the Notes will constitute approximately $3 billion of debt. See “Description of Material Indebtedness” for a description of the Term Loan Facilities, the Revolving Facility and the Notes and “Unaudited Pro Forma Combined Financial Statements—Notes to Pro Forma Financial Statements— Transaction Accounting Adjustments” for more information. The debt may also restrict our business and may adversely impact our financial condition, results of operations or cash flows. In addition, the Separation may increase the overall cost of debt funding and decrease the overall debt capacity and commercial credit available to us.</w:t>
      </w:r>
    </w:p>
    <w:p>
      <w:pPr>
        <w:spacing w:after="0" w:line="192"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expect to utilize our cash flows to continue to invest across our business, whether through organic or inorganic growth strategies, as well as to repay our indebtedness over time.</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Provided by Operating Activities</w:t>
      </w:r>
    </w:p>
    <w:p>
      <w:pPr>
        <w:spacing w:after="0" w:line="121" w:lineRule="exact"/>
        <w:rPr>
          <w:sz w:val="20"/>
          <w:szCs w:val="20"/>
          <w:color w:val="auto"/>
        </w:rPr>
      </w:pPr>
    </w:p>
    <w:p>
      <w:pPr>
        <w:jc w:val="both"/>
        <w:ind w:left="120" w:right="40" w:firstLine="440"/>
        <w:spacing w:after="0" w:line="257" w:lineRule="auto"/>
        <w:rPr>
          <w:sz w:val="20"/>
          <w:szCs w:val="20"/>
          <w:color w:val="auto"/>
        </w:rPr>
      </w:pPr>
      <w:r>
        <w:rPr>
          <w:rFonts w:ascii="Times New Roman" w:cs="Times New Roman" w:eastAsia="Times New Roman" w:hAnsi="Times New Roman"/>
          <w:sz w:val="18"/>
          <w:szCs w:val="18"/>
          <w:color w:val="auto"/>
        </w:rPr>
        <w:t>Net cash provided by operating activities increased for the six months ended June 30, 2025 primarily due to an increase from changes in operating assets and liabilities, partially offset by a decline in net income caused by decreasing revenue as described above. The increase resulting from changes in operating assets and liabilities was primarily due to decreases in current and noncurrent receivables, net and other operating assets and liabilities.</w:t>
      </w:r>
    </w:p>
    <w:p>
      <w:pPr>
        <w:spacing w:after="0" w:line="1" w:lineRule="exact"/>
        <w:rPr>
          <w:sz w:val="20"/>
          <w:szCs w:val="20"/>
          <w:color w:val="auto"/>
        </w:rPr>
      </w:pPr>
    </w:p>
    <w:p>
      <w:pPr>
        <w:ind w:left="120" w:right="220"/>
        <w:spacing w:after="0" w:line="260" w:lineRule="auto"/>
        <w:rPr>
          <w:sz w:val="20"/>
          <w:szCs w:val="20"/>
          <w:color w:val="auto"/>
        </w:rPr>
      </w:pPr>
      <w:r>
        <w:rPr>
          <w:rFonts w:ascii="Times New Roman" w:cs="Times New Roman" w:eastAsia="Times New Roman" w:hAnsi="Times New Roman"/>
          <w:sz w:val="18"/>
          <w:szCs w:val="18"/>
          <w:color w:val="auto"/>
        </w:rPr>
        <w:t>Operating assets and liabilities in our combined statements of cash flows generally fluctuate based on the timing of amortization and related payments for our content costs and the timing of collections of receivables.</w:t>
      </w:r>
    </w:p>
    <w:p>
      <w:pPr>
        <w:spacing w:after="0" w:line="11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140"/>
          </w:cols>
          <w:pgMar w:left="320" w:top="455" w:right="439" w:bottom="1440" w:gutter="0" w:footer="0" w:header="0"/>
        </w:sectPr>
      </w:pPr>
    </w:p>
    <w:bookmarkStart w:id="858" w:name="page859"/>
    <w:bookmarkEnd w:id="8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decreased in 2024 and 2023, primarily due to a decline in net income caused by decreasing revenue as described above. In 2023, net cash provided by operating activities was also negatively impacted by a decrease in net gain on investment activity. The decrease resulting from changes in operating assets and liabilities in 2024 was primarily due to a decrease in content costs, net, partially offset by an increase in current and noncurrent receivables, net. The increase resulting from changes in operating assets and liabilities in 2023 was primarily due to increases in content costs, net and current and noncurrent receivables, net, partially offset by a decrease in other operating assets and liabilities.</w:t>
      </w:r>
    </w:p>
    <w:p>
      <w:pPr>
        <w:spacing w:after="0" w:line="183"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As described in Notes 1 and 5 to the unaudited condensed combined financial statements, Notes 1 and 10 to the audited combined financial statements and above in “—Liquidity and Capital Resources,” we have historically participated in Comcast’s centralized cash management process, and as a result, the amounts and timing of operating receipts and payments may not be indicative of our results as a standalone company.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Investing Activities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Net cash used in investing activities primarily relates to capital expenditures, which increased for the six months ended June 30, 2025 as a result of transaction-related capital spending for facilities and IT systems, and were consistent for the years ended December 31, 2024, 2023 and 2022. Other investing activities included net payments to Comcast pursuant to loans associated with its centralized cash management programs, and net loan receipts in 2022. See Note 5 to our unaudited condensed combined financial statements and Note 10 to our audited combined financial statements for additional information on these related party loans.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Used in Financing Activities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Cash used in financing activities for the six months ended June 30, 2025 decreased primarily due to changes in net parent investment, which primarily resulted from increased cash generated from operating activities and swept to Comcast during the periods, partially offset by increased capital expenditures funded through Comcast’s centralized cash management program.</w:t>
      </w:r>
    </w:p>
    <w:p>
      <w:pPr>
        <w:spacing w:after="0" w:line="176"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The reduction in cash used in financing activities in 2024 and 2023 was primarily due to changes in net parent investment, which primarily resulted from lower cash generated from operating activities and swept to Comcast during the periods. See Note 2 to our audited combined financial statements for additional information on net parent investment.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our most significant contractual obligations as of December 31, 2024:</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960" w:type="dxa"/>
            <w:vAlign w:val="bottom"/>
          </w:tcPr>
          <w:p>
            <w:pPr>
              <w:spacing w:after="0"/>
              <w:rPr>
                <w:sz w:val="15"/>
                <w:szCs w:val="15"/>
                <w:color w:val="auto"/>
              </w:rPr>
            </w:pPr>
          </w:p>
        </w:tc>
        <w:tc>
          <w:tcPr>
            <w:tcW w:w="20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As of December 31, 2024</w:t>
            </w:r>
          </w:p>
        </w:tc>
        <w:tc>
          <w:tcPr>
            <w:tcW w:w="0" w:type="dxa"/>
            <w:vAlign w:val="bottom"/>
          </w:tcPr>
          <w:p>
            <w:pPr>
              <w:spacing w:after="0"/>
              <w:rPr>
                <w:sz w:val="1"/>
                <w:szCs w:val="1"/>
                <w:color w:val="auto"/>
              </w:rPr>
            </w:pPr>
          </w:p>
        </w:tc>
      </w:tr>
      <w:tr>
        <w:trPr>
          <w:trHeight w:val="117"/>
        </w:trPr>
        <w:tc>
          <w:tcPr>
            <w:tcW w:w="8960" w:type="dxa"/>
            <w:vAlign w:val="bottom"/>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Within</w:t>
            </w:r>
          </w:p>
        </w:tc>
        <w:tc>
          <w:tcPr>
            <w:tcW w:w="560" w:type="dxa"/>
            <w:vAlign w:val="bottom"/>
            <w:tcBorders>
              <w:top w:val="single" w:sz="8" w:color="auto"/>
            </w:tcBorders>
          </w:tcPr>
          <w:p>
            <w:pPr>
              <w:ind w:left="80"/>
              <w:spacing w:after="0" w:line="118" w:lineRule="exact"/>
              <w:rPr>
                <w:sz w:val="20"/>
                <w:szCs w:val="20"/>
                <w:color w:val="auto"/>
              </w:rPr>
            </w:pPr>
            <w:r>
              <w:rPr>
                <w:rFonts w:ascii="Times New Roman" w:cs="Times New Roman" w:eastAsia="Times New Roman" w:hAnsi="Times New Roman"/>
                <w:sz w:val="13"/>
                <w:szCs w:val="13"/>
                <w:b w:val="1"/>
                <w:bCs w:val="1"/>
                <w:color w:val="auto"/>
              </w:rPr>
              <w:t>Beyond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89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w:t>
            </w:r>
          </w:p>
        </w:tc>
        <w:tc>
          <w:tcPr>
            <w:tcW w:w="6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the next</w:t>
            </w:r>
          </w:p>
        </w:tc>
        <w:tc>
          <w:tcPr>
            <w:tcW w:w="0" w:type="dxa"/>
            <w:vAlign w:val="bottom"/>
          </w:tcPr>
          <w:p>
            <w:pPr>
              <w:spacing w:after="0"/>
              <w:rPr>
                <w:sz w:val="1"/>
                <w:szCs w:val="1"/>
                <w:color w:val="auto"/>
              </w:rPr>
            </w:pPr>
          </w:p>
        </w:tc>
      </w:tr>
      <w:tr>
        <w:trPr>
          <w:trHeight w:val="149"/>
        </w:trPr>
        <w:tc>
          <w:tcPr>
            <w:tcW w:w="8960" w:type="dxa"/>
            <w:vAlign w:val="bottom"/>
          </w:tcPr>
          <w:p>
            <w:pPr>
              <w:spacing w:after="0"/>
              <w:rPr>
                <w:sz w:val="12"/>
                <w:szCs w:val="12"/>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next 12</w:t>
            </w:r>
          </w:p>
        </w:tc>
        <w:tc>
          <w:tcPr>
            <w:tcW w:w="560" w:type="dxa"/>
            <w:vAlign w:val="bottom"/>
          </w:tcPr>
          <w:p>
            <w:pPr>
              <w:jc w:val="right"/>
              <w:ind w:right="105"/>
              <w:spacing w:after="0" w:line="149" w:lineRule="exact"/>
              <w:rPr>
                <w:sz w:val="20"/>
                <w:szCs w:val="20"/>
                <w:color w:val="auto"/>
              </w:rPr>
            </w:pPr>
            <w:r>
              <w:rPr>
                <w:rFonts w:ascii="Times New Roman" w:cs="Times New Roman" w:eastAsia="Times New Roman" w:hAnsi="Times New Roman"/>
                <w:sz w:val="14"/>
                <w:szCs w:val="14"/>
                <w:b w:val="1"/>
                <w:bCs w:val="1"/>
                <w:color w:val="auto"/>
              </w:rPr>
              <w:t>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896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months</w:t>
            </w:r>
          </w:p>
        </w:tc>
        <w:tc>
          <w:tcPr>
            <w:tcW w:w="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months</w:t>
            </w:r>
          </w:p>
        </w:tc>
        <w:tc>
          <w:tcPr>
            <w:tcW w:w="0" w:type="dxa"/>
            <w:vAlign w:val="bottom"/>
          </w:tcPr>
          <w:p>
            <w:pPr>
              <w:spacing w:after="0"/>
              <w:rPr>
                <w:sz w:val="1"/>
                <w:szCs w:val="1"/>
                <w:color w:val="auto"/>
              </w:rPr>
            </w:pPr>
          </w:p>
        </w:tc>
      </w:tr>
      <w:tr>
        <w:trPr>
          <w:trHeight w:val="142"/>
        </w:trPr>
        <w:tc>
          <w:tcPr>
            <w:tcW w:w="89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 obligations</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$2,016</w:t>
            </w: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705</w:t>
            </w:r>
          </w:p>
        </w:tc>
        <w:tc>
          <w:tcPr>
            <w:tcW w:w="62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1,312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largest contractual obligations are associated with our programming and production expenses. We have multiyear agreements for broadcast rights of sporting events, which represent the majority of our programming and production obligations. As of December 31, 2024, all cash payments related to our programming and production obligations are due within five years. Our programming and production costs include significant amounts related to content contracts shared with Comcast. These contracts, which primarily related to multiyear sports rights agreements, are not included in the amounts presented above as we are not the primary obligor under the contract. As a result, following the Separation we expect to have significant additional contractual obligations. See Note 4 and Note 10 to our audited combined financial statements for additional information on programming and production costs and related party transactions, respectively.</w:t>
      </w:r>
    </w:p>
    <w:p>
      <w:pPr>
        <w:spacing w:after="0" w:line="1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140"/>
          </w:cols>
          <w:pgMar w:left="320" w:top="455" w:right="439" w:bottom="1440" w:gutter="0" w:footer="0" w:header="0"/>
        </w:sectPr>
      </w:pPr>
    </w:p>
    <w:bookmarkStart w:id="859" w:name="page860"/>
    <w:bookmarkEnd w:id="8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00" w:firstLine="440"/>
        <w:spacing w:after="0" w:line="273" w:lineRule="auto"/>
        <w:rPr>
          <w:sz w:val="20"/>
          <w:szCs w:val="20"/>
          <w:color w:val="auto"/>
        </w:rPr>
      </w:pPr>
      <w:r>
        <w:rPr>
          <w:rFonts w:ascii="Times New Roman" w:cs="Times New Roman" w:eastAsia="Times New Roman" w:hAnsi="Times New Roman"/>
          <w:sz w:val="17"/>
          <w:szCs w:val="17"/>
          <w:color w:val="auto"/>
        </w:rPr>
        <w:t>On October 3, 2025, we entered into the TLA/Revolver Credit Agreement with respect to the Term A Loan Facility and the Revolving Credit Facility (which is expected to be undrawn at the time of the Separation). We also intend to enter into the Term B Loan Facility in connection with the Separation, which together with the Term A Loan Facility and the Notes will constitute approximately $3 billion of debt. See “Unaudited Pro Forma Combined Financial Statements—Notes to Pro Forma Financial Statements—Transaction Accounting Adjustments” for more information. The Term Loan Facilities will bear interest at variable rates. As a result, we will be exposed to market risk of adverse changes in interest rates related to these arrangements. To help manage our exposure to changes in interest rates, we may enter into interest rate risk management derivative transactions in accordance with our policy. There were no such instruments outstanding for the periods presented in the combined financial statements.</w:t>
      </w:r>
    </w:p>
    <w:p>
      <w:pPr>
        <w:spacing w:after="0" w:line="2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As discussed in Note 2 to the unaudited condensed combined financial statements and Note 3 to the audited combined financial statements, a significant portion of our accounts receivable balances relate to our linear distribution agreements with large multichannel video providers. These receivables have short term maturities and we actively monitor the creditworthiness of our counterparties. Although we may be exposed to losses in the event of nonperformance by counterparties, we do not expect such losses, if any, to be material.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preparation of our combined financial statements requires us to make estimates that affect the reported amounts of assets, liabilities, revenue and expenses, and the related disclosure of contingent assets and contingent liabilities. We base our judgments on our historical experience and on various other assumptions that we believe are reasonable under the circumstances, the results of which form the basis for making estimates about the carrying value of assets and liabilities that are not readily apparent from other sources. Actual results may differ from these estimates under different assumptions or conditions.</w:t>
      </w:r>
    </w:p>
    <w:p>
      <w:pPr>
        <w:spacing w:after="0" w:line="183"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We believe our estimates associated with the valuation and impairment testing of goodwill and the accounting for content costs are critical in the preparation of our combined financial statements.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Valuation and Impairment Testing of Goodwill</w:t>
      </w:r>
    </w:p>
    <w:p>
      <w:pPr>
        <w:spacing w:after="0" w:line="121"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7"/>
          <w:szCs w:val="17"/>
          <w:color w:val="auto"/>
        </w:rPr>
        <w:t>Goodwill results from business combinations and represents the excess amount of the consideration paid over the identifiable assets and liabilities recorded in the acquisition. Because Versant’s businesses were operated as a part of Comcast’s Media segment, our combined balance sheets include an allocated amount of goodwill from Comcast’s Media segment, which was determined using a relative fair value analysis as of July 1, 2024, the date of Comcast’s most recent annual goodwill impairment assessment. This relative fair value analysis resulted in the allocation of approximately 40% of Comcast’s Media segment goodwill to Versant. The fair values utilized in the relative fair value analysis were estimated using a discounted cash flow analysis based on Level 3 inputs. When performing this analysis, we also considered multiples of earnings from comparable public companies and recent market transactions. We test goodwill for impairment at the reporting unit level. Impairment analysis was performed at the Comcast level as of July 1, 2024 and in prior periods. Based on Comcast’s 2024 assessment, the estimated fair value of the Media reporting unit, and therefore the estimated fair value of the Versant reporting unit, substantially exceeded its carrying value and no impairment was required. Following Versant’s change in chief operating decision maker in 2025 (see Note 1 to our unaudited combined financial statements), we reassessed our reporting units and concluded that the estimated fair value of the Versant reporting units substantially exceeded their carrying value and no impairment was required.</w:t>
      </w:r>
    </w:p>
    <w:p>
      <w:pPr>
        <w:spacing w:after="0" w:line="11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60"/>
          </w:cols>
          <w:pgMar w:left="320" w:top="455" w:right="519" w:bottom="1440" w:gutter="0" w:footer="0" w:header="0"/>
        </w:sectPr>
      </w:pPr>
    </w:p>
    <w:bookmarkStart w:id="860" w:name="page861"/>
    <w:bookmarkEnd w:id="8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For periods after the initial allocation, we will assess the recoverability of our goodwill annually as of July 1, or more frequently whenever events or substantive changes in circumstances indicate that the assets might be impaired.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In connection with our impairment assessment process, from time to time, we may perform quantitative assessments in order to support our qualitative assessments.</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When performing a quantitative assessment, we estimate the fair values of a reporting unit primarily based on a discounted cash flow analysis that involves significant judgment, including market participant estimates of future cash flows expected to be generated by the business and the selection of discount rates. When performing this analysis, we also consider multiples of earnings from comparable public companies and recent market transactions.</w:t>
      </w:r>
    </w:p>
    <w:p>
      <w:pPr>
        <w:spacing w:after="0" w:line="180" w:lineRule="exact"/>
        <w:rPr>
          <w:sz w:val="20"/>
          <w:szCs w:val="20"/>
          <w:color w:val="auto"/>
        </w:rPr>
      </w:pPr>
    </w:p>
    <w:p>
      <w:pPr>
        <w:jc w:val="both"/>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Changes in market conditions, laws and regulations and key assumptions made in future quantitative assessments, such as expected cash flows, competitive factors, discount rates and value indications from market transactions, including the market price of our Class A common stock following the Separation, could negatively impact the results of future impairment testing and could result in the recognition of an impairment charge.</w:t>
      </w:r>
    </w:p>
    <w:p>
      <w:pPr>
        <w:spacing w:after="0" w:line="2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Costs</w:t>
      </w:r>
    </w:p>
    <w:p>
      <w:pPr>
        <w:spacing w:after="0" w:line="121" w:lineRule="exact"/>
        <w:rPr>
          <w:sz w:val="20"/>
          <w:szCs w:val="20"/>
          <w:color w:val="auto"/>
        </w:rPr>
      </w:pPr>
    </w:p>
    <w:p>
      <w:pPr>
        <w:jc w:val="both"/>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capitalize costs for owned film and television content, including direct costs, production overhead, print costs, development costs and interest, as well as acquired libraries.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The most sensitive factor affecting our estimate of ultimate revenue is whether the television series can be successfully licensed beyond its initial window. Estimates of ultimate revenue generally are limited to the amount of revenue attributed to the initial window unless and until it is determined that the content can be licensed beyond the initial license window.</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Capitalized content costs are subject to impairment testing when certain triggering events are identified. The substantial majority of our owned content is evaluated for impairment on a group basis. Our licensed and owned content are generally assessed on a channel, network or platform basis. Sports rights are accounted for as executory contracts and are not subject to impairment. When performing an impairment assessment, we estimate fair value primarily based on a discounted cash flow analysis that involves significant judgment, including market participant estimates of future cash flows, which are supported by internal forecasts. Impairments of capitalized content costs were not material in any of the periods presented.</w:t>
      </w:r>
    </w:p>
    <w:p>
      <w:pPr>
        <w:spacing w:after="0" w:line="183"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utilized over the contract term based on estimated relative value. Estimated relative value is generally based on terms of the contract and the nature of and potential revenue generation of the deliverables within the contract.</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80"/>
          </w:cols>
          <w:pgMar w:left="320" w:top="455" w:right="499" w:bottom="1440" w:gutter="0" w:footer="0" w:header="0"/>
        </w:sectPr>
      </w:pPr>
    </w:p>
    <w:bookmarkStart w:id="861" w:name="page862"/>
    <w:bookmarkEnd w:id="8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BUSINESS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are an industry-leading media and entertainment business that operates in four core markets: political news and opinion, business news and personal finance, golf and athletics participation and sports and genre entertainment. We serve these markets primarily through a strong portfolio of brands comprised of renowned networks and complementary digital platforms.</w:t>
      </w:r>
    </w:p>
    <w:p>
      <w:pPr>
        <w:spacing w:after="0" w:line="176"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Over the past 45 years, we have developed and operated iconic and award-winning brands, including MSNBC, CNBC, USA Network, Golf Channel, E!, SYFY and Oxygen. Our networks have achieved significant scale, with over 10 billion hours watched during 2024 according to Nielsen. Additionally, our digital platforms, led by GolfNow, Fandango, Rotten Tomatoes and SportsEngine, are leaders within their industries and complement our networks.</w:t>
      </w:r>
    </w:p>
    <w:p>
      <w:pPr>
        <w:spacing w:after="0" w:line="180"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We produce, license and acquire content that we distribute through a variety of outlets, including our networks and digital platforms, delivering value to key constituents: the viewing audience, paying subscribers, advertisers, distributors and licensing counterparties. We generate revenue primarily through distributing our networks, selling advertising across our brands, providing services through our digital platforms and content licensing.</w:t>
      </w:r>
    </w:p>
    <w:p>
      <w:pPr>
        <w:spacing w:after="0" w:line="158"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we had revenue of $7.1 billion, net income attributable to Versant of $1.4 billion and Adjusted EBITDA of $2.8 billion. For a reconciliation of Adjusted EBITDA to net income attributable to Versant, the most directly comparable financial measure prepared in accordance with GAAP, see “Management’s Discussion and Analysis of Financial Condition and Results of Operation—Non-GAAP Financial Measures.”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Versant will be headquartered in New York City. Prior to the Separation, we have operated as a part of Comcast’s Media Segment within its Content &amp; Experiences business. Following the completion of the Separation, Versant will be an independent, publicly traded company led by a highly experienced management team dedicated to driving value through our leading asset portfolio. Comcast will provide transition services to us for certain functions, which are expected to be temporary in nature, and we will enter into certain other commercial agreements with Comcast. See “The Separation —Agreements with Comcast” for additional information regarding these agreements.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Brands</w:t>
      </w:r>
    </w:p>
    <w:p>
      <w:pPr>
        <w:spacing w:after="0" w:line="121"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Our strong portfolio of brands delivers compelling news, sports and entertainment content that we distribute through our networks and digital platforms. Our networks were collectively watched by an average audience of over 60 million unique viewers each week in 2024, with MSNBC and USA Network representing two of the eight most watched cable networks domestically in 2024 and many of our other networks also being leaders in their respective categories. Our digital platforms offer complementary news, sports and entertainment offerings to consumers online. Through our scale and compelling news, sports and entertainment offerings, we believe our brands offer significant value for our stakeholders.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MSNBC, to be rebranded as My Source News Opinion World (MS NOW)</w:t>
      </w:r>
    </w:p>
    <w:p>
      <w:pPr>
        <w:spacing w:after="0" w:line="135" w:lineRule="exact"/>
        <w:rPr>
          <w:sz w:val="20"/>
          <w:szCs w:val="20"/>
          <w:color w:val="auto"/>
        </w:rPr>
      </w:pPr>
    </w:p>
    <w:p>
      <w:pPr>
        <w:ind w:left="1080" w:right="100" w:hanging="424"/>
        <w:spacing w:after="0" w:line="258" w:lineRule="auto"/>
        <w:tabs>
          <w:tab w:leader="none" w:pos="1080"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is a premier destination for politics, news and opinion through informed, distinct perspectives and analysis. MSNBC operates across multiple media platforms: MVPDs, digital, social platforms, podcasts and live events. With highly loyal and engaged audiences representing over 14 million viewers weekly in 2024 according to Nielsen, MSNBC is home to many of the country’s most influential political news programs that shape daily public discourse. In August 2025, we announced the rebranding of MSNBC as My Source News Opinion World (MS NOW). This gives us the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100"/>
          </w:cols>
          <w:pgMar w:left="320" w:top="455" w:right="479" w:bottom="1440" w:gutter="0" w:footer="0" w:header="0"/>
        </w:sectPr>
      </w:pPr>
    </w:p>
    <w:bookmarkStart w:id="862" w:name="page863"/>
    <w:bookmarkEnd w:id="8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60"/>
        <w:spacing w:after="0" w:line="261" w:lineRule="auto"/>
        <w:rPr>
          <w:sz w:val="20"/>
          <w:szCs w:val="20"/>
          <w:color w:val="auto"/>
        </w:rPr>
      </w:pPr>
      <w:r>
        <w:rPr>
          <w:rFonts w:ascii="Times New Roman" w:cs="Times New Roman" w:eastAsia="Times New Roman" w:hAnsi="Times New Roman"/>
          <w:sz w:val="18"/>
          <w:szCs w:val="18"/>
          <w:color w:val="auto"/>
        </w:rPr>
        <w:t>opportunity to create a distinct brand that underscores our mission to serve as the destination for domestic and international breaking news and best-in-class opinion journalism. The rebranding will become effective towards the end of 2025, at which time we expect to discontinue use of the MSNBC brand and begin using My Source News Opinion World (MS NOW) for the network and all related platforms and products.</w:t>
      </w:r>
    </w:p>
    <w:p>
      <w:pPr>
        <w:spacing w:after="0" w:line="85" w:lineRule="exact"/>
        <w:rPr>
          <w:sz w:val="20"/>
          <w:szCs w:val="20"/>
          <w:color w:val="auto"/>
        </w:rPr>
      </w:pPr>
    </w:p>
    <w:p>
      <w:pPr>
        <w:ind w:left="1080" w:right="400" w:hanging="424"/>
        <w:spacing w:after="0" w:line="266" w:lineRule="auto"/>
        <w:tabs>
          <w:tab w:leader="none" w:pos="108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saw one of its largest audiences on record in 2024, finishing the year as the number two network across all cable television networks according to Nielsen for the seventh consecutive year. For 2022-2024, MSNBC was the only top-20 cable network with two consecutive years of audience gains.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MSNBC has rapidly grown its digital audience in recent years, including through MSNBC.com and the MSNBC mobile app, averaging</w:t>
      </w:r>
    </w:p>
    <w:p>
      <w:pPr>
        <w:spacing w:after="0" w:line="27" w:lineRule="exact"/>
        <w:rPr>
          <w:rFonts w:ascii="Times New Roman" w:cs="Times New Roman" w:eastAsia="Times New Roman" w:hAnsi="Times New Roman"/>
          <w:sz w:val="18"/>
          <w:szCs w:val="18"/>
          <w:color w:val="auto"/>
        </w:rPr>
      </w:pPr>
    </w:p>
    <w:p>
      <w:pPr>
        <w:ind w:left="1080"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 million monthly unique visitors in 2024. Additionally, in 2024, MSNBC was the number one news brand across all of YouTube and the number one cable news brand on TikTok. MSNBC generated nearly 160 million total downloads across its audio portfolio.</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CNBC</w:t>
      </w:r>
    </w:p>
    <w:p>
      <w:pPr>
        <w:spacing w:after="0" w:line="135" w:lineRule="exact"/>
        <w:rPr>
          <w:sz w:val="20"/>
          <w:szCs w:val="20"/>
          <w:color w:val="auto"/>
        </w:rPr>
      </w:pPr>
    </w:p>
    <w:p>
      <w:pPr>
        <w:ind w:left="1080" w:right="120" w:hanging="424"/>
        <w:spacing w:after="0" w:line="261" w:lineRule="auto"/>
        <w:tabs>
          <w:tab w:leader="none" w:pos="1080" w:val="left"/>
        </w:tabs>
        <w:numPr>
          <w:ilvl w:val="0"/>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is a global leader in business and personal finance news, with real-time financial market coverage and analysis. Business coverage through franchises such as Squawk Box, Squawk on the Street, Closing Bell and Mad Money has made CNBC a critical resource for business leaders and investors. In addition, CNBC has successfully expanded its audience through a portfolio of branded products, including direct-to-consumer streaming services, investing club, podcasts, conferences and other live events.</w:t>
      </w:r>
    </w:p>
    <w:p>
      <w:pPr>
        <w:spacing w:after="0" w:line="85"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seeks to engage and serve its core, hard-to-reach audiences of investors, C-suite executives, policy makers, entrepreneurs, small and medium-sized businesses and the financially aspirational across various platforms, including MVPDs, online, social platforms, podcasts, audio, radio and events. CNBC reaches more affluent Americans than any other business news platform and its leading financial market coverage and analysis make it the network of choice at many corporate and business offices.</w:t>
      </w:r>
    </w:p>
    <w:p>
      <w:pPr>
        <w:spacing w:after="0" w:line="85" w:lineRule="exact"/>
        <w:rPr>
          <w:rFonts w:ascii="Times New Roman" w:cs="Times New Roman" w:eastAsia="Times New Roman" w:hAnsi="Times New Roman"/>
          <w:sz w:val="18"/>
          <w:szCs w:val="18"/>
          <w:color w:val="auto"/>
        </w:rPr>
      </w:pPr>
    </w:p>
    <w:p>
      <w:pPr>
        <w:ind w:left="1080" w:hanging="424"/>
        <w:spacing w:after="0" w:line="277" w:lineRule="auto"/>
        <w:tabs>
          <w:tab w:leader="none" w:pos="1080" w:val="left"/>
        </w:tabs>
        <w:numPr>
          <w:ilvl w:val="0"/>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CNBC has expanded its audience through branded products, including direct-to-consumer streaming services, investing club, podcasts, conferences and other live events. CNBC.com has the number one business news website based on total minutes of audience usage for four consecutive years, according to comScore.</w:t>
      </w:r>
      <w:r>
        <w:rPr>
          <w:rFonts w:ascii="Times New Roman" w:cs="Times New Roman" w:eastAsia="Times New Roman" w:hAnsi="Times New Roman"/>
          <w:sz w:val="26"/>
          <w:szCs w:val="26"/>
          <w:color w:val="auto"/>
          <w:vertAlign w:val="superscript"/>
        </w:rPr>
        <w:t>2</w:t>
      </w:r>
    </w:p>
    <w:p>
      <w:pPr>
        <w:spacing w:after="0" w:line="14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USA Network</w:t>
      </w:r>
    </w:p>
    <w:p>
      <w:pPr>
        <w:spacing w:after="0" w:line="135" w:lineRule="exact"/>
        <w:rPr>
          <w:sz w:val="20"/>
          <w:szCs w:val="20"/>
          <w:color w:val="auto"/>
        </w:rPr>
      </w:pPr>
    </w:p>
    <w:p>
      <w:pPr>
        <w:ind w:left="1080" w:right="120" w:hanging="424"/>
        <w:spacing w:after="0" w:line="266" w:lineRule="auto"/>
        <w:tabs>
          <w:tab w:leader="none" w:pos="1080"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a multiplatform destination for leading sports, entertainment and live event programming, including WWE Smackdown, NASCAR, the WNBA (starting with the 2026 season), golf, including the U.S. Open, The Open Championship and the Ryder Cup, the Premier League, college basketball and the Olympics.</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has been a top-five cable entertainment network each year for the past 30 years. USA Network ended 2024 as the number eight network across all cable television networks according to Nielsen.</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 is home to popular and acclaimed acquired series, including Law &amp; Order: Special Victims Unit, Chicago Fire, Chicago P.D. and 9-1-1, as well as blockbuster theatrical films and originals, including The Rainmaker and Resident Alien.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771525" cy="825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340" w:right="220" w:hanging="224"/>
        <w:spacing w:after="0" w:line="209" w:lineRule="auto"/>
        <w:tabs>
          <w:tab w:leader="none" w:pos="340" w:val="left"/>
        </w:tabs>
        <w:numPr>
          <w:ilvl w:val="0"/>
          <w:numId w:val="113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January 2021—December 2024, Desktop &amp; Mobile excluding Social Incremental, Total Minutes, Desktop 2+ and Total Mobile 13+, News/Information—Business/Finance News Category showing domains only</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120"/>
          </w:cols>
          <w:pgMar w:left="320" w:top="455" w:right="459" w:bottom="1440" w:gutter="0" w:footer="0" w:header="0"/>
        </w:sectPr>
      </w:pPr>
    </w:p>
    <w:bookmarkStart w:id="863" w:name="page864"/>
    <w:bookmarkEnd w:id="8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240" w:hanging="424"/>
        <w:spacing w:after="0" w:line="282" w:lineRule="auto"/>
        <w:tabs>
          <w:tab w:leader="none" w:pos="1080" w:val="left"/>
        </w:tabs>
        <w:numPr>
          <w:ilvl w:val="0"/>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USA Network’s extensive content library consists of a wide variety of on-demand films and television shows that are generally licensed under long-term contracts with major studios.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 Channel</w:t>
      </w:r>
    </w:p>
    <w:p>
      <w:pPr>
        <w:spacing w:after="0" w:line="135" w:lineRule="exact"/>
        <w:rPr>
          <w:sz w:val="20"/>
          <w:szCs w:val="20"/>
          <w:color w:val="auto"/>
        </w:rPr>
      </w:pPr>
    </w:p>
    <w:p>
      <w:pPr>
        <w:ind w:left="1080" w:right="1000" w:hanging="424"/>
        <w:spacing w:after="0" w:line="282" w:lineRule="auto"/>
        <w:tabs>
          <w:tab w:leader="none" w:pos="1080"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is a premier destination for live golf and related content, including news, instruction, documentaries and library programming. Its content is distributed on a variety of platforms to millions of viewers in more than 50 countries.</w:t>
      </w:r>
    </w:p>
    <w:p>
      <w:pPr>
        <w:spacing w:after="0" w:line="67" w:lineRule="exact"/>
        <w:rPr>
          <w:rFonts w:ascii="Times New Roman" w:cs="Times New Roman" w:eastAsia="Times New Roman" w:hAnsi="Times New Roman"/>
          <w:sz w:val="18"/>
          <w:szCs w:val="18"/>
          <w:color w:val="auto"/>
        </w:rPr>
      </w:pPr>
    </w:p>
    <w:p>
      <w:pPr>
        <w:ind w:left="1080" w:right="380" w:hanging="424"/>
        <w:spacing w:after="0" w:line="213" w:lineRule="auto"/>
        <w:tabs>
          <w:tab w:leader="none" w:pos="1080"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 Channel celebrated its 30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anniversary in 2025, making it the longest-running single-sport television network. Golf Channel airs more live golf than all other U.S. television networks combined, including the PGA Tour, LPGA Tour and DP World Tour.</w:t>
      </w:r>
    </w:p>
    <w:p>
      <w:pPr>
        <w:spacing w:after="0" w:line="104" w:lineRule="exact"/>
        <w:rPr>
          <w:rFonts w:ascii="Times New Roman" w:cs="Times New Roman" w:eastAsia="Times New Roman" w:hAnsi="Times New Roman"/>
          <w:sz w:val="18"/>
          <w:szCs w:val="18"/>
          <w:color w:val="auto"/>
        </w:rPr>
      </w:pPr>
    </w:p>
    <w:p>
      <w:pPr>
        <w:ind w:left="1080" w:right="460" w:hanging="424"/>
        <w:spacing w:after="0" w:line="282" w:lineRule="auto"/>
        <w:tabs>
          <w:tab w:leader="none" w:pos="1080"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According to Nielsen, Golf Channel’s leading portfolio of men’s and women’s professional, amateur and international golf generated 500 million of total viewing hours in 2024 with the most affluent audience of any cable network.</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GolfNow</w:t>
      </w:r>
    </w:p>
    <w:p>
      <w:pPr>
        <w:spacing w:after="0" w:line="135" w:lineRule="exact"/>
        <w:rPr>
          <w:sz w:val="20"/>
          <w:szCs w:val="20"/>
          <w:color w:val="auto"/>
        </w:rPr>
      </w:pPr>
    </w:p>
    <w:p>
      <w:pPr>
        <w:ind w:left="1080" w:right="40" w:hanging="424"/>
        <w:spacing w:after="0" w:line="266" w:lineRule="auto"/>
        <w:tabs>
          <w:tab w:leader="none" w:pos="1080" w:val="left"/>
        </w:tabs>
        <w:numPr>
          <w:ilvl w:val="0"/>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is one of the largest online tee time marketplaces in the world, helping golfers and golf courses better connect by offering tee time bookings at over 9,000 courses worldwide. GolfNow also offers golf course technology and related services to help streamline course operations, including solutions that facilitate on-site payments for tee times, food and beverage and merchandise.</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GolfNow offers a subscription service, GolfPass, which provides unique and engaging content for all levels of golfers, with curated content from swing instruction to exclusive behind the scenes footage for the newly launched TGL golf league.</w:t>
      </w:r>
    </w:p>
    <w:p>
      <w:pPr>
        <w:spacing w:after="0" w:line="67" w:lineRule="exact"/>
        <w:rPr>
          <w:rFonts w:ascii="Times New Roman" w:cs="Times New Roman" w:eastAsia="Times New Roman" w:hAnsi="Times New Roman"/>
          <w:sz w:val="18"/>
          <w:szCs w:val="18"/>
          <w:color w:val="auto"/>
        </w:rPr>
      </w:pPr>
    </w:p>
    <w:p>
      <w:pPr>
        <w:ind w:left="1080" w:right="620" w:hanging="424"/>
        <w:spacing w:after="0" w:line="312" w:lineRule="auto"/>
        <w:tabs>
          <w:tab w:leader="none" w:pos="1080" w:val="left"/>
        </w:tabs>
        <w:numPr>
          <w:ilvl w:val="0"/>
          <w:numId w:val="1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GolfNow operates in the United States and major international markets, including the U.K., Ireland, Canada, France and Germany. GolfNow is dedicated to making golf accessible to everyone and helping golfers everywhere create their perfect golf experience.</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SportsEngine</w:t>
      </w:r>
    </w:p>
    <w:p>
      <w:pPr>
        <w:spacing w:after="0" w:line="135" w:lineRule="exact"/>
        <w:rPr>
          <w:sz w:val="20"/>
          <w:szCs w:val="20"/>
          <w:color w:val="auto"/>
        </w:rPr>
      </w:pPr>
    </w:p>
    <w:p>
      <w:pPr>
        <w:ind w:left="1080" w:right="280" w:hanging="424"/>
        <w:spacing w:after="0" w:line="261" w:lineRule="auto"/>
        <w:tabs>
          <w:tab w:leader="none" w:pos="1080" w:val="left"/>
        </w:tabs>
        <w:numPr>
          <w:ilvl w:val="0"/>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is a suite of digital products and services that facilitate management of youth sport leagues, teams, participants and their families, and the processing of related payments. Through its innovative technology, SportsEngine has revolutionized how youth sports leaders operate organizations, teams and leagues. More than 8 million athletes and over 25,000 organizations rely on SportsEngine’s software solutions.</w:t>
      </w:r>
    </w:p>
    <w:p>
      <w:pPr>
        <w:spacing w:after="0" w:line="85"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has expanded into youth sports subscription video streaming, providing off-location access to youth sports competition, and also offers and facilitates background screenings for coaches and volunteers.</w:t>
      </w:r>
    </w:p>
    <w:p>
      <w:pPr>
        <w:spacing w:after="0" w:line="67"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SportsEngine platforms have millions of touchpoints with parents and families each year and those users are also consumers of its diverse portfolio of sports, entertainment and news products.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w:t>
      </w:r>
    </w:p>
    <w:p>
      <w:pPr>
        <w:spacing w:after="0" w:line="135" w:lineRule="exact"/>
        <w:rPr>
          <w:sz w:val="20"/>
          <w:szCs w:val="20"/>
          <w:color w:val="auto"/>
        </w:rPr>
      </w:pPr>
    </w:p>
    <w:p>
      <w:pPr>
        <w:ind w:left="1080" w:right="420" w:hanging="424"/>
        <w:spacing w:after="0" w:line="282" w:lineRule="auto"/>
        <w:tabs>
          <w:tab w:leader="none" w:pos="1080" w:val="left"/>
        </w:tabs>
        <w:numPr>
          <w:ilvl w:val="0"/>
          <w:numId w:val="1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is a multiplatform destination for all things pop culture serving audiences through news, unscripted originals, live events and high-profile acquired content, such as Sex and the City and a variety of primarily female-focused films.</w:t>
      </w:r>
    </w:p>
    <w:p>
      <w:pPr>
        <w:spacing w:after="0" w:line="67"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a history of multiplatform digital and social content expertise, E! News Digital delivers audience, scale and premium content to fans across owned and third-party digital and social platforms. In 2024, E! News Digital generated 11 billion video views across all digital platforms, with substantial millennial and Gen Z audiences.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120"/>
          </w:cols>
          <w:pgMar w:left="320" w:top="455" w:right="459" w:bottom="1440" w:gutter="0" w:footer="0" w:header="0"/>
        </w:sectPr>
      </w:pPr>
    </w:p>
    <w:bookmarkStart w:id="864" w:name="page865"/>
    <w:bookmarkEnd w:id="8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300" w:hanging="424"/>
        <w:spacing w:after="0" w:line="282" w:lineRule="auto"/>
        <w:tabs>
          <w:tab w:leader="none" w:pos="1080" w:val="left"/>
        </w:tabs>
        <w:numPr>
          <w:ilvl w:val="0"/>
          <w:numId w:val="1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 News Digital’s in-house original production studio and 24/7 news team create engaging news content and easy-to-watch, shareable programming that continues to generate conversation and community.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SYFY</w:t>
      </w:r>
    </w:p>
    <w:p>
      <w:pPr>
        <w:spacing w:after="0" w:line="135" w:lineRule="exact"/>
        <w:rPr>
          <w:sz w:val="20"/>
          <w:szCs w:val="20"/>
          <w:color w:val="auto"/>
        </w:rPr>
      </w:pPr>
    </w:p>
    <w:p>
      <w:pPr>
        <w:ind w:left="1080" w:right="680" w:hanging="424"/>
        <w:spacing w:after="0" w:line="282" w:lineRule="auto"/>
        <w:tabs>
          <w:tab w:leader="none" w:pos="1080" w:val="left"/>
        </w:tabs>
        <w:numPr>
          <w:ilvl w:val="0"/>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a premier science fiction genre destination serving passionate audiences with science fiction, fantasy, action, adventure, paranormal and superhero programming, along with fan-focused theatrical franchises.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provides content on a multiplatform basis through SYFY’s network and related digital services.</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SYFY is home to popular horror and science fiction programming such as The Twilight Zone and originals including SurrealEstate, The Ark and Revival.</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Oxygen True Crime</w:t>
      </w:r>
    </w:p>
    <w:p>
      <w:pPr>
        <w:spacing w:after="0" w:line="135" w:lineRule="exact"/>
        <w:rPr>
          <w:sz w:val="20"/>
          <w:szCs w:val="20"/>
          <w:color w:val="auto"/>
        </w:rPr>
      </w:pPr>
    </w:p>
    <w:p>
      <w:pPr>
        <w:ind w:left="1080" w:right="160" w:hanging="424"/>
        <w:spacing w:after="0" w:line="266" w:lineRule="auto"/>
        <w:tabs>
          <w:tab w:leader="none" w:pos="1080" w:val="left"/>
        </w:tabs>
        <w:numPr>
          <w:ilvl w:val="0"/>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is a multiplatform brand featuring popular true crime programming, including the flagship Snapped franchise, Cold Justice, Killer Relationship with Faith Jenkins and breakout event specials such as The Pike County Murders: A Family Massacre, Selena &amp; Yolanda: The Secrets Between Them and The Disappearance of Alissa Turney.</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Oxygen True Crime was the second most-viewed true crime network in 2024.</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Fandango Media</w:t>
      </w:r>
    </w:p>
    <w:p>
      <w:pPr>
        <w:spacing w:after="0" w:line="135" w:lineRule="exact"/>
        <w:rPr>
          <w:sz w:val="20"/>
          <w:szCs w:val="20"/>
          <w:color w:val="auto"/>
        </w:rPr>
      </w:pPr>
    </w:p>
    <w:p>
      <w:pPr>
        <w:ind w:left="1080" w:right="260" w:hanging="424"/>
        <w:spacing w:after="0" w:line="265" w:lineRule="auto"/>
        <w:tabs>
          <w:tab w:leader="none" w:pos="1080" w:val="left"/>
        </w:tabs>
        <w:numPr>
          <w:ilvl w:val="0"/>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is the ultimate online resource for all things movies and television. Fandango Media served approximately 40 million unique visitors per month in 2024, according to comScore, with best-in-class movie and television information, movie ticketing to approximately 31,000 U.S. screens, trailers and original video and home entertainment.</w:t>
      </w:r>
      <w:r>
        <w:rPr>
          <w:rFonts w:ascii="Times New Roman" w:cs="Times New Roman" w:eastAsia="Times New Roman" w:hAnsi="Times New Roman"/>
          <w:sz w:val="26"/>
          <w:szCs w:val="26"/>
          <w:color w:val="auto"/>
          <w:vertAlign w:val="superscript"/>
        </w:rPr>
        <w:t>3</w:t>
      </w:r>
    </w:p>
    <w:p>
      <w:pPr>
        <w:spacing w:after="0" w:line="2" w:lineRule="exact"/>
        <w:rPr>
          <w:rFonts w:ascii="Times New Roman" w:cs="Times New Roman" w:eastAsia="Times New Roman" w:hAnsi="Times New Roman"/>
          <w:sz w:val="18"/>
          <w:szCs w:val="18"/>
          <w:color w:val="auto"/>
        </w:rPr>
      </w:pPr>
    </w:p>
    <w:p>
      <w:pPr>
        <w:ind w:left="1080" w:hanging="424"/>
        <w:spacing w:after="0" w:line="254" w:lineRule="auto"/>
        <w:tabs>
          <w:tab w:leader="none" w:pos="1080" w:val="left"/>
        </w:tabs>
        <w:numPr>
          <w:ilvl w:val="0"/>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Media’s brand portfolio includes one of the leading online movie ticketing services, Fandango; a world-renowned movie and television review site, Rotten Tomatoes; YouTube’s leading movie trailers and clips network, Movieclips; and video on-demand streaming store front, Fandango at Home, offering thousands of new release and catalog movies and next-day television shows.</w:t>
      </w:r>
    </w:p>
    <w:p>
      <w:pPr>
        <w:spacing w:after="0" w:line="92"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Fandango Media includes Rotten Tomatoes, one of the world’s most trusted sources of movie and television reviews. Known for its Tomatometer and audience scores, Rotten Tomatoes has provided a diverse range of reviews from professional critics and everyday fans for over 25 years.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portfolio of networks operates predominantly in the United States. The table below presents a summary of our networks and their advertising reach to U.S. households as of December 31, 2024.</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16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86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Approx. U.S.</w:t>
            </w:r>
          </w:p>
        </w:tc>
        <w:tc>
          <w:tcPr>
            <w:tcW w:w="0" w:type="dxa"/>
            <w:vAlign w:val="bottom"/>
          </w:tcPr>
          <w:p>
            <w:pPr>
              <w:spacing w:after="0"/>
              <w:rPr>
                <w:sz w:val="1"/>
                <w:szCs w:val="1"/>
                <w:color w:val="auto"/>
              </w:rPr>
            </w:pPr>
          </w:p>
        </w:tc>
      </w:tr>
      <w:tr>
        <w:trPr>
          <w:trHeight w:val="148"/>
        </w:trPr>
        <w:tc>
          <w:tcPr>
            <w:tcW w:w="1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Cable Television Audience</w:t>
            </w:r>
          </w:p>
        </w:tc>
        <w:tc>
          <w:tcPr>
            <w:tcW w:w="5000" w:type="dxa"/>
            <w:vAlign w:val="bottom"/>
          </w:tcPr>
          <w:p>
            <w:pPr>
              <w:spacing w:after="0"/>
              <w:rPr>
                <w:sz w:val="12"/>
                <w:szCs w:val="12"/>
                <w:color w:val="auto"/>
              </w:rPr>
            </w:pPr>
          </w:p>
        </w:tc>
        <w:tc>
          <w:tcPr>
            <w:tcW w:w="8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Households</w:t>
            </w:r>
          </w:p>
        </w:tc>
        <w:tc>
          <w:tcPr>
            <w:tcW w:w="0" w:type="dxa"/>
            <w:vAlign w:val="bottom"/>
          </w:tcPr>
          <w:p>
            <w:pPr>
              <w:spacing w:after="0"/>
              <w:rPr>
                <w:sz w:val="1"/>
                <w:szCs w:val="1"/>
                <w:color w:val="auto"/>
              </w:rPr>
            </w:pPr>
          </w:p>
        </w:tc>
      </w:tr>
      <w:tr>
        <w:trPr>
          <w:trHeight w:val="180"/>
        </w:trPr>
        <w:tc>
          <w:tcPr>
            <w:tcW w:w="1620" w:type="dxa"/>
            <w:vAlign w:val="bottom"/>
            <w:tcBorders>
              <w:bottom w:val="single" w:sz="8" w:color="auto"/>
            </w:tcBorders>
            <w:vMerge w:val="continue"/>
          </w:tcPr>
          <w:p>
            <w:pPr>
              <w:spacing w:after="0"/>
              <w:rPr>
                <w:sz w:val="15"/>
                <w:szCs w:val="15"/>
                <w:color w:val="auto"/>
              </w:rPr>
            </w:pPr>
          </w:p>
        </w:tc>
        <w:tc>
          <w:tcPr>
            <w:tcW w:w="5000" w:type="dxa"/>
            <w:vAlign w:val="bottom"/>
          </w:tcPr>
          <w:p>
            <w:pPr>
              <w:spacing w:after="0"/>
              <w:rPr>
                <w:sz w:val="15"/>
                <w:szCs w:val="15"/>
                <w:color w:val="auto"/>
              </w:rPr>
            </w:pPr>
          </w:p>
        </w:tc>
        <w:tc>
          <w:tcPr>
            <w:tcW w:w="860" w:type="dxa"/>
            <w:vAlign w:val="bottom"/>
            <w:gridSpan w:val="2"/>
          </w:tcPr>
          <w:p>
            <w:pPr>
              <w:jc w:val="center"/>
              <w:ind w:right="40"/>
              <w:spacing w:after="0" w:line="160" w:lineRule="exact"/>
              <w:rPr>
                <w:sz w:val="20"/>
                <w:szCs w:val="20"/>
                <w:color w:val="auto"/>
              </w:rPr>
            </w:pPr>
            <w:r>
              <w:rPr>
                <w:rFonts w:ascii="Times New Roman" w:cs="Times New Roman" w:eastAsia="Times New Roman" w:hAnsi="Times New Roman"/>
                <w:sz w:val="14"/>
                <w:szCs w:val="14"/>
                <w:b w:val="1"/>
                <w:bCs w:val="1"/>
                <w:color w:val="auto"/>
              </w:rPr>
              <w:t>(mm)</w:t>
            </w:r>
            <w:r>
              <w:rPr>
                <w:rFonts w:ascii="Times New Roman" w:cs="Times New Roman" w:eastAsia="Times New Roman" w:hAnsi="Times New Roman"/>
                <w:sz w:val="10"/>
                <w:szCs w:val="10"/>
                <w:b w:val="1"/>
                <w:bCs w:val="1"/>
                <w:color w:val="auto"/>
              </w:rPr>
              <w:t>(a)</w:t>
            </w:r>
          </w:p>
        </w:tc>
        <w:tc>
          <w:tcPr>
            <w:tcW w:w="0" w:type="dxa"/>
            <w:vAlign w:val="bottom"/>
          </w:tcPr>
          <w:p>
            <w:pPr>
              <w:spacing w:after="0"/>
              <w:rPr>
                <w:sz w:val="1"/>
                <w:szCs w:val="1"/>
                <w:color w:val="auto"/>
              </w:rPr>
            </w:pP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MSNBC</w:t>
            </w:r>
          </w:p>
        </w:tc>
        <w:tc>
          <w:tcPr>
            <w:tcW w:w="50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ind w:left="620"/>
              <w:spacing w:after="0" w:line="203" w:lineRule="exact"/>
              <w:rPr>
                <w:sz w:val="20"/>
                <w:szCs w:val="20"/>
                <w:color w:val="auto"/>
              </w:rPr>
            </w:pPr>
            <w:r>
              <w:rPr>
                <w:rFonts w:ascii="Times New Roman" w:cs="Times New Roman" w:eastAsia="Times New Roman" w:hAnsi="Times New Roman"/>
                <w:sz w:val="18"/>
                <w:szCs w:val="18"/>
                <w:color w:val="auto"/>
                <w:w w:val="88"/>
              </w:rPr>
              <w:t>65</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CNBC</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USA Network</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Golf Channel</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SYFY</w:t>
            </w:r>
          </w:p>
        </w:tc>
        <w:tc>
          <w:tcPr>
            <w:tcW w:w="5860" w:type="dxa"/>
            <w:vAlign w:val="bottom"/>
            <w:gridSpan w:val="3"/>
          </w:tcPr>
          <w:p>
            <w:pPr>
              <w:ind w:left="562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Oxygen True Crime</w:t>
            </w:r>
          </w:p>
        </w:tc>
        <w:tc>
          <w:tcPr>
            <w:tcW w:w="5860" w:type="dxa"/>
            <w:vAlign w:val="bottom"/>
            <w:gridSpan w:val="3"/>
            <w:shd w:val="clear" w:color="auto" w:fill="CCEEFF"/>
          </w:tcPr>
          <w:p>
            <w:pPr>
              <w:ind w:left="5620"/>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1333500</wp:posOffset>
            </wp:positionH>
            <wp:positionV relativeFrom="paragraph">
              <wp:posOffset>85725</wp:posOffset>
            </wp:positionV>
            <wp:extent cx="771525" cy="825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1" w:lineRule="exact"/>
        <w:rPr>
          <w:sz w:val="20"/>
          <w:szCs w:val="20"/>
          <w:color w:val="auto"/>
        </w:rPr>
      </w:pPr>
    </w:p>
    <w:p>
      <w:pPr>
        <w:ind w:left="2520" w:right="280" w:hanging="649"/>
        <w:spacing w:after="0" w:line="282" w:lineRule="auto"/>
        <w:tabs>
          <w:tab w:leader="none" w:pos="2520" w:val="left"/>
        </w:tabs>
        <w:numPr>
          <w:ilvl w:val="0"/>
          <w:numId w:val="1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Household data is based on information from Nielsen as of December 31, 2024 using its Cable Coverage Universe Estimates report and dynamic ad insertion estimates.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3" w:lineRule="exact"/>
        <w:rPr>
          <w:sz w:val="20"/>
          <w:szCs w:val="20"/>
          <w:color w:val="auto"/>
        </w:rPr>
      </w:pPr>
    </w:p>
    <w:p>
      <w:pPr>
        <w:ind w:left="340" w:right="460" w:hanging="224"/>
        <w:spacing w:after="0" w:line="209" w:lineRule="auto"/>
        <w:tabs>
          <w:tab w:leader="none" w:pos="340" w:val="left"/>
        </w:tabs>
        <w:numPr>
          <w:ilvl w:val="0"/>
          <w:numId w:val="114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i w:val="1"/>
          <w:iCs w:val="1"/>
          <w:color w:val="auto"/>
        </w:rPr>
        <w:t>Source: Comscore Media Metrix, Multi-Platform, July 2024 – August 2024, Desktop &amp; Mobile excluding Social Incremental, Monthly Unique Visitors, Desktop 2+ and Total Mobile 18+, [C] Fandango Sites.</w:t>
      </w:r>
    </w:p>
    <w:p>
      <w:pPr>
        <w:spacing w:after="0" w:line="13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40"/>
          </w:cols>
          <w:pgMar w:left="320" w:top="455" w:right="539" w:bottom="1440" w:gutter="0" w:footer="0" w:header="0"/>
        </w:sectPr>
      </w:pPr>
    </w:p>
    <w:bookmarkStart w:id="865" w:name="page866"/>
    <w:bookmarkEnd w:id="8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2540" w:right="140"/>
        <w:spacing w:after="0" w:line="289" w:lineRule="auto"/>
        <w:rPr>
          <w:sz w:val="20"/>
          <w:szCs w:val="20"/>
          <w:color w:val="auto"/>
        </w:rPr>
      </w:pPr>
      <w:r>
        <w:rPr>
          <w:rFonts w:ascii="Times New Roman" w:cs="Times New Roman" w:eastAsia="Times New Roman" w:hAnsi="Times New Roman"/>
          <w:sz w:val="17"/>
          <w:szCs w:val="17"/>
          <w:color w:val="auto"/>
        </w:rPr>
        <w:t>Nielsen estimates include subscribers to both traditional and certain virtual MVPDs and represent the approximate number of U.S. households in which each network is available. The Nielsen estimates are not based on information provided by us and are included solely to enable comparisons between our networks and those operated by our peers.</w:t>
      </w:r>
    </w:p>
    <w:p>
      <w:pPr>
        <w:spacing w:after="0" w:line="2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Generate Revenue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distribution of our television networks to traditional MVPDs, who offer video services over cable, fiber and satellite transmission, and virtual MVPDs, who offer video services through digital streaming. Our revenue from distribution agreements is generally based on the number of subscribers receiving our television networks through the provider and a per subscriber fee.</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120" w:right="560" w:firstLine="440"/>
        <w:spacing w:after="0" w:line="281" w:lineRule="auto"/>
        <w:rPr>
          <w:sz w:val="20"/>
          <w:szCs w:val="20"/>
          <w:color w:val="auto"/>
        </w:rPr>
      </w:pPr>
      <w:r>
        <w:rPr>
          <w:rFonts w:ascii="Times New Roman" w:cs="Times New Roman" w:eastAsia="Times New Roman" w:hAnsi="Times New Roman"/>
          <w:sz w:val="17"/>
          <w:szCs w:val="17"/>
          <w:color w:val="auto"/>
        </w:rPr>
        <w:t>We generate revenue through sales of advertising on our networks and digital platforms. The price charged for each advertising unit on our networks is generally based on audience ratings, the value of our audiences to advertisers, the quality of our programming and brand building capabilities, any viewer targeting and addressability capabilities and the number of advertising units we can place in our networks’ programming schedules. Advertising revenue is also generated from advertisements displayed during visits to website pages or application visits.</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The GolfNow, Fandango and SportsEngine platforms facilitate consumer transactions with golf courses, movie theaters and studios, and youth sports leagues, respectively. Our GolfNow and SportsEngine offerings also include cloud-based technology solutions and related services to golf courses and youth sports organizations, respectively. We also offer subscription services, including CNBC branded offerings providing live and on-demand personal finance programming and GolfPass, offering instructional videos and other golf-related content. Our revenue related to these platforms is generally transaction-based, and depending on the service, generally consists of an agreed share based on the value of underlying transactions, transaction-based fees paid by the consumer or fixed amounts for individual transactions or services provided.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through licensing our owned content to third parties, including television networks, streaming services and other platforms, and licensing audio feeds of our programming and audio content to digital platforms.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How We Acquire Content</w:t>
      </w:r>
    </w:p>
    <w:p>
      <w:pPr>
        <w:spacing w:after="0" w:line="121"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We produce, license and acquire the news, sports and entertainment programming and related content that we distribute across our platforms through a mix of internal production, third-party licensing and rights agreements and “work-for-hire” contracts.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News Programming</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We generally produce our own news programming through our in-house news bureaus and editorial teams, supported by our ongoing relationships with global reporting agencies. We directly hire on-air talent as well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120"/>
          </w:cols>
          <w:pgMar w:left="320" w:top="455" w:right="459" w:bottom="1440" w:gutter="0" w:footer="0" w:header="0"/>
        </w:sectPr>
      </w:pPr>
    </w:p>
    <w:bookmarkStart w:id="866" w:name="page867"/>
    <w:bookmarkEnd w:id="8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research, technical and production staff to provide quality news programming. This model is designed to enable in-depth reporting and political analysis while streamlining production costs.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Sports Programming</w:t>
      </w:r>
    </w:p>
    <w:p>
      <w:pPr>
        <w:spacing w:after="0" w:line="121" w:lineRule="exact"/>
        <w:rPr>
          <w:sz w:val="20"/>
          <w:szCs w:val="20"/>
          <w:color w:val="auto"/>
        </w:rPr>
      </w:pPr>
    </w:p>
    <w:p>
      <w:pPr>
        <w:ind w:left="120" w:right="180" w:firstLine="440"/>
        <w:spacing w:after="0" w:line="274" w:lineRule="auto"/>
        <w:rPr>
          <w:sz w:val="20"/>
          <w:szCs w:val="20"/>
          <w:color w:val="auto"/>
        </w:rPr>
      </w:pPr>
      <w:r>
        <w:rPr>
          <w:rFonts w:ascii="Times New Roman" w:cs="Times New Roman" w:eastAsia="Times New Roman" w:hAnsi="Times New Roman"/>
          <w:sz w:val="17"/>
          <w:szCs w:val="17"/>
          <w:color w:val="auto"/>
        </w:rPr>
        <w:t>Our sports programming and related content is typically licensed under multiyear contractual agreements with the relevant sports leagues. At the time of the Separation, we and NBCUniversal (including its subsidiaries) expect to have separate agreements directly with the sports leagues to obtain certain key sports programming. For sports programming displayed on our networks and platforms that remains covered by an agreement between NBCUniversal and the relevant sports league, NBCUniversal will enter into time purchase agreements with us on standard market terms pursuant to which NBCUniversal is permitted to exhibit such content on our networks and platforms. We and NBCUniversal will also be parties to certain other commercial arrangements in relation to sports matters. See “The Separation—Agreements with Comcast—Certain Commercial Arrangements.”</w:t>
      </w:r>
    </w:p>
    <w:p>
      <w:pPr>
        <w:spacing w:after="0" w:line="173"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table below presents a summary of certain significant sports programming and related content that will be available on our networks and platforms following the Separation. Additionally, we anticipate that certain content from the Winter Olympic Games will be distributed on our networks in 2026, and we anticipate that certain content from the Summer Olympic Games will be distributed on our networks in 2028. Our sports programming is produced by a combination of in-house and third-party teams, and in August 2025, we announced that Versant’s sports programming will come together under the new brand, USA Sports.</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Television Rights</w:t>
            </w:r>
            <w:r>
              <w:rPr>
                <w:rFonts w:ascii="Times New Roman" w:cs="Times New Roman" w:eastAsia="Times New Roman" w:hAnsi="Times New Roman"/>
                <w:sz w:val="10"/>
                <w:szCs w:val="10"/>
                <w:b w:val="1"/>
                <w:bCs w:val="1"/>
                <w:color w:val="auto"/>
              </w:rPr>
              <w:t>(a)</w:t>
            </w:r>
          </w:p>
        </w:tc>
        <w:tc>
          <w:tcPr>
            <w:tcW w:w="7500" w:type="dxa"/>
            <w:vAlign w:val="bottom"/>
          </w:tcPr>
          <w:p>
            <w:pPr>
              <w:spacing w:after="0"/>
              <w:rPr>
                <w:sz w:val="16"/>
                <w:szCs w:val="16"/>
                <w:color w:val="auto"/>
              </w:rPr>
            </w:pPr>
          </w:p>
        </w:tc>
        <w:tc>
          <w:tcPr>
            <w:tcW w:w="2340" w:type="dxa"/>
            <w:vAlign w:val="bottom"/>
          </w:tcPr>
          <w:p>
            <w:pPr>
              <w:ind w:left="620"/>
              <w:spacing w:after="0"/>
              <w:rPr>
                <w:sz w:val="20"/>
                <w:szCs w:val="20"/>
                <w:color w:val="auto"/>
              </w:rPr>
            </w:pPr>
            <w:r>
              <w:rPr>
                <w:rFonts w:ascii="Times New Roman" w:cs="Times New Roman" w:eastAsia="Times New Roman" w:hAnsi="Times New Roman"/>
                <w:sz w:val="14"/>
                <w:szCs w:val="14"/>
                <w:b w:val="1"/>
                <w:bCs w:val="1"/>
                <w:color w:val="auto"/>
              </w:rPr>
              <w:t>Rights Expiration</w:t>
            </w:r>
          </w:p>
        </w:tc>
      </w:tr>
      <w:tr>
        <w:trPr>
          <w:trHeight w:val="203"/>
        </w:trPr>
        <w:tc>
          <w:tcPr>
            <w:tcW w:w="86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Premier League</w:t>
            </w:r>
          </w:p>
        </w:tc>
        <w:tc>
          <w:tcPr>
            <w:tcW w:w="2340" w:type="dxa"/>
            <w:vAlign w:val="bottom"/>
            <w:tcBorders>
              <w:top w:val="single" w:sz="8" w:color="auto"/>
            </w:tcBorders>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color w:val="auto"/>
              </w:rPr>
              <w:t>2027-28 season</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PGA Tour, The Open Championship, Ryder Cup</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Between 2028 and 2032</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USGA / US Open</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Atlantic Ten Conference Basketball</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2028-29 season</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World Wrestling Entertainment (“WWE”)</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r>
      <w:tr>
        <w:trPr>
          <w:trHeight w:val="216"/>
        </w:trPr>
        <w:tc>
          <w:tcPr>
            <w:tcW w:w="868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NASCAR</w:t>
            </w:r>
            <w:r>
              <w:rPr>
                <w:rFonts w:ascii="Times New Roman" w:cs="Times New Roman" w:eastAsia="Times New Roman" w:hAnsi="Times New Roman"/>
                <w:sz w:val="25"/>
                <w:szCs w:val="25"/>
                <w:color w:val="auto"/>
                <w:vertAlign w:val="superscript"/>
              </w:rPr>
              <w:t>(b)</w:t>
            </w:r>
          </w:p>
        </w:tc>
        <w:tc>
          <w:tcPr>
            <w:tcW w:w="2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r>
      <w:tr>
        <w:trPr>
          <w:trHeight w:val="216"/>
        </w:trPr>
        <w:tc>
          <w:tcPr>
            <w:tcW w:w="868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WNBA</w:t>
            </w:r>
            <w:r>
              <w:rPr>
                <w:rFonts w:ascii="Times New Roman" w:cs="Times New Roman" w:eastAsia="Times New Roman" w:hAnsi="Times New Roman"/>
                <w:sz w:val="25"/>
                <w:szCs w:val="25"/>
                <w:color w:val="auto"/>
                <w:vertAlign w:val="superscript"/>
              </w:rPr>
              <w:t>(c)</w:t>
            </w:r>
          </w:p>
        </w:tc>
        <w:tc>
          <w:tcPr>
            <w:tcW w:w="2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2036 season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1" w:lineRule="exact"/>
        <w:rPr>
          <w:sz w:val="20"/>
          <w:szCs w:val="20"/>
          <w:color w:val="auto"/>
        </w:rPr>
      </w:pPr>
    </w:p>
    <w:p>
      <w:pPr>
        <w:ind w:left="540" w:right="560" w:hanging="424"/>
        <w:spacing w:after="0" w:line="261" w:lineRule="auto"/>
        <w:tabs>
          <w:tab w:leader="none" w:pos="54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Separation, rights agreements generally provided rights across both NBCUniversal and the Company and the audited combined statements of income included allocations of costs related to these contracts.</w:t>
      </w:r>
    </w:p>
    <w:p>
      <w:pPr>
        <w:ind w:left="540" w:right="740" w:hanging="424"/>
        <w:spacing w:after="0" w:line="250" w:lineRule="auto"/>
        <w:tabs>
          <w:tab w:leader="none" w:pos="54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unilateral right by the other party (i.e., the licensor) to the agreement, under certain circumstances, to shorten the term of the agreement by one year.</w:t>
      </w:r>
    </w:p>
    <w:p>
      <w:pPr>
        <w:ind w:left="540" w:right="300" w:hanging="424"/>
        <w:spacing w:after="0" w:line="260" w:lineRule="auto"/>
        <w:tabs>
          <w:tab w:leader="none" w:pos="54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 WNBA season, includes the rights to produce and distribute a specified number of WNBA regular season and playoff games, including certain games from three WNBA Finals series over the term of the agreement.</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Entertainment Programming</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source the majority of our entertainment programming and related content pursuant to agreements with film and television studios, production companies and other rights holders. These agreements are of varying duration and generally permit us to air, stream and/or distribute series, films and other programming during certain periods and such agreements are subject to a competitive bidding process. Our licensed content includes episodic series such as Law &amp; Order: Special Victims Unit (USA) and Forensic Files (Oxygen), and an extensive selection of films, including franchises such as Harry Potter (USA and SYFY), The Hunger Games (USA) and Fast &amp; the Furious (E!).</w:t>
      </w:r>
    </w:p>
    <w:p>
      <w:pPr>
        <w:spacing w:after="0" w:line="183"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With respect to unscripted content, we generally engage third-party producers and studios to create programming on a “work-for-hire” basis, the rights to which we own upon delivery. We air such content on our networks and also license it to third parties for further distribution.</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140"/>
          </w:cols>
          <w:pgMar w:left="320" w:top="455" w:right="439" w:bottom="1440" w:gutter="0" w:footer="0" w:header="0"/>
        </w:sectPr>
      </w:pPr>
    </w:p>
    <w:bookmarkStart w:id="867" w:name="page868"/>
    <w:bookmarkEnd w:id="8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Expansive Audience Scale Generated Through Highly Recognized Brands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brands have significant audience reach and scale across our core markets, with more than 60 million viewers having watched content on a Versant network each week in 2024. To put this audience reach and scale into perspective, our viewers watched over 10 billion hours of programming on our networks during 2024, which surpassed aggregate viewership for several prominent streaming services. Most of these hours are spent on live sports and news genres, which have demonstrated resilience of ratings. Versant has attracted these audiences through an array of iconic brands, anchoring the content we produce and distribute. We have a long-standing history of providing timely, relevant and high-quality content to our valued audiences, and they have reciprocated with strong loyalty and engagement.</w:t>
      </w:r>
    </w:p>
    <w:p>
      <w:pPr>
        <w:spacing w:after="0" w:line="187" w:lineRule="exact"/>
        <w:rPr>
          <w:sz w:val="20"/>
          <w:szCs w:val="20"/>
          <w:color w:val="auto"/>
        </w:rPr>
      </w:pPr>
    </w:p>
    <w:p>
      <w:pPr>
        <w:jc w:val="both"/>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Our news, sports and entertainment brands, together with their associated programming, resonate deeply with audiences and consumers and are commercially important for distributors and advertisers. As a result, Versant generates significant value across a variety of revenue streams, including linear distribution, advertising, platforms and content licensing.</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 Relationships with Our Customers</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We have long-standing and well-established consumer relationships in our core markets. Each of our networks is among the most watched within its competitive set. For example, MSNBC enjoyed the second highest audience engagement, measured by the average weekly watch time per viewer, among cable networks in 2024. Golf Channel aired more live golf for golf fans than all other U.S. television networks combined in 2024.</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Backed by deep knowledge of our audiences and the strength of our brands, we have successfully evolved content offerings to reflect changing consumer preferences and technological innovations. We have developed leading presence on digital platforms, complementing the success of our networks. MSNBC was the number one news brand on YouTube in 2024, while CNBC has had the number one business website, based on total minutes of consumption, for four consecutive years as of 2024. Also in 2024, E! News Digital was the most followed pop culture news brand on social platforms.</w:t>
      </w:r>
    </w:p>
    <w:p>
      <w:pPr>
        <w:spacing w:after="0" w:line="183"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Furthermore, we have built upon the depth and breadth of our audience engagement through commerce, transactional and other related services, both for end-users and businesses. For example, we expanded our relationship with golf fans, originally established through the Golf Channel network, through GolfNow’s leading tee time reservation and golf course management technology platform.</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Differentiated News, Sports and Entertainment Programming</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MSNBC and CNBC provide some of the most recognizable journalism in the industry, spanning national and international news, business, politics and culture. Our news brands serve as a vital source of information for millions of viewers daily, which in turn strengthens advertiser relationships and increases appeal to distributors. We expect to build upon our existing news audience leadership with continued exceptional journalism and development of innovative consumer experiences reflecting the preeminence of our brands.</w:t>
      </w:r>
    </w:p>
    <w:p>
      <w:pPr>
        <w:spacing w:after="0" w:line="180"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Our premium sports content, spearheaded by USA Network and Golf Channel, is a key competitive strength. This sports programming includes the Premier League, golf events such as PGA Tour tournaments, The Open Championship and the Ryder Cup, college basketball, the WNBA (starting with the 2026 season) and the Olympics. Our sports coverage creates meaningful connections with fans, drives strong viewer engagement and provides valuable opportunities for advertisers. With exclusive, long-term partnerships with top sports leagues, we offer unique viewership experiences unavailable elsewhere. We have rights to currently airing major sports content and properties that extend through 2029 or into the 2030s, providing long-term business visibility and assurance. Additionally, we will evaluate opportunities to supplement our sports rights portfolio, with a commitment to compelling economics and shareholder value.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120"/>
          </w:cols>
          <w:pgMar w:left="320" w:top="455" w:right="459" w:bottom="1440" w:gutter="0" w:footer="0" w:header="0"/>
        </w:sectPr>
      </w:pPr>
    </w:p>
    <w:bookmarkStart w:id="868" w:name="page869"/>
    <w:bookmarkEnd w:id="8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With high-quality entertainment offerings, including USA Network, SYFY, E! and Oxygen True Crime, we attract large, engaged multiplatform audiences passionate about specific content such as crime, true crime, science-fiction and pop culture. USA Network has been a top-five entertainment cable network each year for the past 30 years. In 2024, E! News Digital generated 11 billion video views across all digital platforms, with substantial millennial and Gen Z audiences.</w:t>
      </w:r>
    </w:p>
    <w:p>
      <w:pPr>
        <w:spacing w:after="0" w:line="18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strength of and demand for our content lead to monetization across a variety of distribution channels, including through agreements we have in place with major traditional and virtual MVPDs. We believe we are well-positioned to renew these agreements upon relevant expirations given the popularity of our programming and will seek to continue to expand the ways in which our content is distributed. Our leading content across news, sports and entertainment serves as a significant source of differentiation in a crowded media landscape.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Growing, Market Leading Digital Platforms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Our digital platforms are led by GolfNow, Fandango, Rotten Tomatoes and SportsEngine, which are market leaders in their respective categories with significant name recognition and prominence among consumers and businesses alike. Each is an innovative technology platform to facilitate consumer transactions and service critical stakeholders in our core markets. We also continue to expand digital product offerings and audiences with our other brands, including CNBC, MSNBC and E!. We believe our digital platform business represents a significant growth opportunity, both from underlying market growth and continued share gains.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Strong Balance Sheet and Operating Performance Provides Us Financial and Strategic Flexibility</w:t>
      </w:r>
    </w:p>
    <w:p>
      <w:pPr>
        <w:spacing w:after="0" w:line="121"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We are a well-capitalized business bolstered by multiple revenue streams, significant operating cash flows and a robust balance sheet. Our cash flow profile and ample liquidity will afford us significant optionality in investing across our business, whether through organic or inorganic growth strategies. Following the Separation, we expect to have the capacity to return capital to shareholders.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Experienced Management Team</w:t>
      </w:r>
    </w:p>
    <w:p>
      <w:pPr>
        <w:spacing w:after="0" w:line="121"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Our company is led by an experienced management team with a proven track record, deep industry expertise and a forward-thinking approach to the business. The depth of experience within our management team serves as a significant source of differentiation. Our management’s strategic direction is focused on innovation, enhancing operational efficiency and maximizing long-term shareholder value.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Our Strategies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intend to leverage our brands to maintain our leadership position and expand our business through the following strategies.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Develop Premier Content for Target Audiences</w:t>
      </w:r>
    </w:p>
    <w:p>
      <w:pPr>
        <w:spacing w:after="0" w:line="121"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Our programming will focus on core audiences in political news and opinion, business news and personal finance, golf and athletics participation and sports and genre entertainment.</w:t>
      </w:r>
    </w:p>
    <w:p>
      <w:pPr>
        <w:spacing w:after="0" w:line="162"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2024, news and sports content accounted for approximately 60% of our audience engagement. We believe these markets will remain core to our success, benefitting from Versant’s platforms’ strength and leadership across news and sports. MSNBC has ranked as a top two cable network by hours watched for each of the past seven years, CNBC is a recognized world leader in business news, and both USA Network and Golf Channel are top destinations for marquee sports programming.</w:t>
      </w:r>
    </w:p>
    <w:p>
      <w:pPr>
        <w:spacing w:after="0" w:line="180"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We expect to continue to invest in the high-quality news programming that has allowed us to build an engaged, loyal audience, and we will evaluate opportunities to secure additional sports rights that benefit from</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80"/>
          </w:cols>
          <w:pgMar w:left="320" w:top="455" w:right="499" w:bottom="1440" w:gutter="0" w:footer="0" w:header="0"/>
        </w:sectPr>
      </w:pPr>
    </w:p>
    <w:bookmarkStart w:id="869" w:name="page870"/>
    <w:bookmarkEnd w:id="8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our broad reach and promotional platforms. We believe that by continuing to provide engaging news and sports programming, we will enhance our relationships with critical stakeholders, including consumers, distributors, advertisers, subscribers and licensees.</w:t>
      </w:r>
    </w:p>
    <w:p>
      <w:pPr>
        <w:spacing w:after="0" w:line="162"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Through our entertainment cable networks and associated digital services, we attract some of the largest audiences industry-wide for prominent genres, notably crime, true crime, science fiction and pop culture programming. In 2024, Oxygen was the second most-viewed true crime network on TV and SYFY attracted double the audience of other science-fiction focused networks. We expect to continue investing in programming within these genres for distribution on our networks and digital platforms as well as through third parties.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Leverage our Brands and Content for Complementary and Incremental Distribution, Expanding Our Audience and Revenues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While we continue to believe that MVPD bundles provide high value to our consumers, we understand that audiences increasingly consume content across a variety of digital platforms. Through Versant’s premier programming and brands, we plan to expand our audience reach through digital platforms such as AVOD, SVOD and FAST, as well as other distribution methods, including OTA and live events. Building our presence on these platforms will further strengthen our business model.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Deepen Customer Relationships and Monetization through Complementary Transactional, Commerce and Experiential Services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Our digital platforms, led by GolfNow, Fandango, Rotten Tomatoes and SportsEngine, have successfully delivered new value-added, monetizable services for core audiences. We expect to strategically grow and expand our digital platform business, helping to fuel long-term success. These digital brands are leaders in their industries and complement our television networks. For example, GolfNow acquires customers efficiently through promotion and content integration on the Golf Channel, with its highly engaged audience of golf fans. GolfNow adds new monetization vehicles, largely transaction and technology fees, to Golf Channel’s distribution and advertising revenue. In addition, GolfNow usage enables additional consumer golf activity, which typically leads to increased viewership of the Golf Channel network. Fandango’s leading ticketing service and the Fandango at Home media platforms complement our networks, engaging fans of entertainment content. We also see opportunities to continue to expand our product offerings leveraging other brands, as we have with CNBC’s branded streaming services, investing club, podcasts, conferences and live events.</w:t>
      </w:r>
    </w:p>
    <w:p>
      <w:pPr>
        <w:spacing w:after="0" w:line="2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Pursue Disciplined Acquisitions and Investments</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As a leader in our industry, we are well-positioned to pursue opportunistic and disciplined acquisitions and other investments that align with our core strategy, improve our competitive positioning in the market, enhance our portfolio with complementary brands, and most importantly, deliver attractive returns for our shareholders through synergistic improvements to our top line trajectory and cash flow profile.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operate in highly competitive markets. Our networks compete with other networks to obtain distribution on MVPDs, and ultimately for viewing by each distributor’s subscribers. Our networks also compete with other licensors of programming and related content to secure desired programming, as well as other sellers of advertising time and space, including other television networks, radio, newspapers, outdoor media and, increasingly, websites and social media platforms. The success of our businesses depends on our ability to license and produce content for our networks that is adequate in quantity and quality and will generate satisfactory viewer ratings.</w:t>
      </w:r>
    </w:p>
    <w:p>
      <w:pPr>
        <w:spacing w:after="0" w:line="11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60"/>
          </w:cols>
          <w:pgMar w:left="320" w:top="455" w:right="519" w:bottom="1440" w:gutter="0" w:footer="0" w:header="0"/>
        </w:sectPr>
      </w:pPr>
    </w:p>
    <w:bookmarkStart w:id="870" w:name="page871"/>
    <w:bookmarkEnd w:id="8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Distribution</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business of distributing our networks to MVPDs is highly competitive. Our networks compete with other broadcast and cable networks to secure distribution agreements with MVPDs. Our ability to secure distribution agreements on terms favorable to our networks, depends primarily on the audience ratings and popularity of our networks, distribution fees charged and how our networks are positioned within MVPD bundles. Our contractual agreements with distributors are renewed or renegotiated from time to time in the ordinary course of business.</w:t>
      </w:r>
    </w:p>
    <w:p>
      <w:pPr>
        <w:spacing w:after="0" w:line="180"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Our ability to secure distribution agreements favorable to our networks is necessary to continue to generate distribution revenue and ensure the retention of our audiences. Shifting video consumption patterns, changes in distribution models, increased popularity of competing platforms and movements towards MVPD video channel tiering and a-la-carte options, may adversely affect our ability to obtain or maintain the distribution of our networks or to maintain contractual terms that are as favorable as those currently in place.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Advertising</w:t>
      </w:r>
    </w:p>
    <w:p>
      <w:pPr>
        <w:spacing w:after="0" w:line="121" w:lineRule="exact"/>
        <w:rPr>
          <w:sz w:val="20"/>
          <w:szCs w:val="20"/>
          <w:color w:val="auto"/>
        </w:rPr>
      </w:pPr>
    </w:p>
    <w:p>
      <w:pPr>
        <w:ind w:left="120" w:right="40" w:firstLine="440"/>
        <w:spacing w:after="0" w:line="274" w:lineRule="auto"/>
        <w:rPr>
          <w:sz w:val="20"/>
          <w:szCs w:val="20"/>
          <w:color w:val="auto"/>
        </w:rPr>
      </w:pPr>
      <w:r>
        <w:rPr>
          <w:rFonts w:ascii="Times New Roman" w:cs="Times New Roman" w:eastAsia="Times New Roman" w:hAnsi="Times New Roman"/>
          <w:sz w:val="17"/>
          <w:szCs w:val="17"/>
          <w:color w:val="auto"/>
        </w:rPr>
        <w:t>Our brands compete with other sellers of advertising time and space, including other networks distributed by MVPDs, streaming services, social media platforms, other online and mobile offerings, radio and newspapers. Competition for selling advertising is based primarily on the anticipated and actually delivered size and demographic characteristics of audiences as determined by various measurement services, price, the time of day when the advertising is to be aired or shown on a digital platform, competition from other cable networks, broadcast networks, cable television systems, direct broadcast satellite television, social and digital media and general economic conditions. Competition for audiences is based primarily on the selection of programming and content, the popularity and success of which depend on the reaction of our audience and consumers, which is often difficult to predict.</w:t>
      </w:r>
    </w:p>
    <w:p>
      <w:pPr>
        <w:spacing w:after="0" w:line="173"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willingness of advertisers to purchase advertising from us may be adversely affected by lower audience ratings at our networks or engagement with our digital platforms. Declines in audience ratings can be caused by increased competition for the leisure time of viewers and by audience fragmentation resulting from the increasing number of entertainment choices available, including content from streaming services, social media platforms and other digital sources. In addition, advertising revenue is adversely affected by the continuing use of technologies, such as DVR and video on demand services, which give consumers greater flexibility to watch programming on a time-delayed or on-demand basis or to fast-forward or skip advertisements within programming.</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Licensing and Acquiring Programming and Related Content</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We also compete with other licensors of programming and related content, including other television networks and media platforms to secure desired programming. The market for programming is very competitive, particularly for sports programming, where the cost for such programming is significant. To be competitive, we have to offer competitive rates, time periods, or exclusivity in our licensing agreements.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Competition in Consumer Transactions</w:t>
      </w:r>
    </w:p>
    <w:p>
      <w:pPr>
        <w:spacing w:after="0" w:line="12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Our digital platforms also include online businesses that compete with other businesses in the media and entertainment industry that offer similar services and resources. For example, Fandango Media’s online business faces direct competition from other ticketing services and theater-specific digital applications that rely on sales of movie tickets to consumers, and through Rotten Tomatoes, faces direct competition from other film and television review aggregators and movie information sites that are resources for consumers seeking information on films.</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140"/>
          </w:cols>
          <w:pgMar w:left="320" w:top="455" w:right="439" w:bottom="1440" w:gutter="0" w:footer="0" w:header="0"/>
        </w:sectPr>
      </w:pPr>
    </w:p>
    <w:bookmarkStart w:id="871" w:name="page872"/>
    <w:bookmarkEnd w:id="8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Properties</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will be headquartered in New York City, New York and will lease our headquarters. Additionally, we will own a key operational hub located in Englewood Cliffs, New Jersey following the Separation. We also lease additional offices, studios, production facilities, among others, in numerous locations in the United States and around the world.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Our business is subject to cyclical variations. While our business is generally not affected by seasonal variation in the calendar year, our revenue is subject to cyclical advertising patterns and changes in viewership levels based on when we air certain sporting events or other content, including, for example, increases in viewership levels for certain of our networks due to increased audience interest in political coverage during election years.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Our businesses are subject to various federal and state laws and regulations, and in certain cases, international laws and regulations. In particular, the Communications Act, the Federal Trade Commission Act and regulations and policies of the FCC and the Federal Trade Commission (“FTC”) affect certain aspects of our networks in the United States. Beyond the more relevant regulations summarized below, legislators and regulators frequently consider changing, and sometimes do change, existing statutes, rules or regulations, or interpretations of existing statutes, rules or regulations, or prescribe new ones, any of which may significantly affect our businesses and ability to effectively compete. Legislators and regulators, along with some state attorneys general and foreign governmental authorities, also occasionally conduct inquiries and reviews regarding our services. State legislative and regulatory initiatives can create a patchwork of different and/or conflicting state requirements, such as with respect to privacy and consumer protection regulations, that can affect our businesses and ability to effectively compete.</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Regulation</w:t>
      </w:r>
    </w:p>
    <w:p>
      <w:pPr>
        <w:spacing w:after="0" w:line="121"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Our networks must provide closed captioning of programming for the hearing impaired and comply with other regulations designed to make our content more accessible. We must also provide closed captioning on certain video content that we offer through digital distribution methods. Additionally, some of our cable networks may be required to provide audio description for certain non-exempt programming for the visually impaired. Congress and the FCC periodically consider proposals to enhance these accessibility requirements. Some of those proposals, if adopted, could increase our obligations substantially.</w:t>
      </w:r>
    </w:p>
    <w:p>
      <w:pPr>
        <w:spacing w:after="0" w:line="183"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In addition, FCC regulations require MVPDs to ensure that all commercials in the programming they distribute, including our cable networks, comply with specified volume standards, limit the amount of commercial matter that may be shown on cable networks during programming originally produced and aired primarily for an audience of children 12 years of age or under, and prohibit us from including false or simulated emergency alert codes or attention signals in our content in non-emergency conditions under any circumstances.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 Access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FCC regulations restrict cable operator-affiliated cable networks from certain discriminatory practices with respect to distribution by MVPDs.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Privacy and Data Protection Regulation</w:t>
      </w:r>
    </w:p>
    <w:p>
      <w:pPr>
        <w:spacing w:after="0" w:line="121" w:lineRule="exact"/>
        <w:rPr>
          <w:sz w:val="20"/>
          <w:szCs w:val="20"/>
          <w:color w:val="auto"/>
        </w:rPr>
      </w:pPr>
    </w:p>
    <w:p>
      <w:pPr>
        <w:ind w:left="120" w:right="640" w:firstLine="440"/>
        <w:spacing w:after="0" w:line="282" w:lineRule="auto"/>
        <w:rPr>
          <w:sz w:val="20"/>
          <w:szCs w:val="20"/>
          <w:color w:val="auto"/>
        </w:rPr>
      </w:pPr>
      <w:r>
        <w:rPr>
          <w:rFonts w:ascii="Times New Roman" w:cs="Times New Roman" w:eastAsia="Times New Roman" w:hAnsi="Times New Roman"/>
          <w:sz w:val="18"/>
          <w:szCs w:val="18"/>
          <w:color w:val="auto"/>
        </w:rPr>
        <w:t>Our businesses are subject to laws and regulations that impose various restrictions and obligations related to privacy and the processing of individuals’ personal information. In the United States, federal privacy laws and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140"/>
          </w:cols>
          <w:pgMar w:left="320" w:top="455" w:right="439" w:bottom="1440" w:gutter="0" w:footer="0" w:header="0"/>
        </w:sectPr>
      </w:pPr>
    </w:p>
    <w:bookmarkStart w:id="872" w:name="page873"/>
    <w:bookmarkEnd w:id="8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regulations, such as those found within the Communications Act or the Video Privacy Protection Act, restrict companies’ collection, use, disclosure and retention of personal information. The proliferation of laws at the state level has expanded consumers’ rights to include individual rights of access, deletion, portability, correction, the right to appeal and the individual’s right to “opt in” to collection and use of certain types of “sensitive” personal information. Internationally, we are subject to the European Union’s General Data Protection Regulation and the United Kingdom’s Data Protection Act of 2018, as well as many other similar laws that apply to our businesses, which broadly regulate the processing of personal data collected from individuals in the European Union and United Kingdom, respectively.</w:t>
      </w:r>
    </w:p>
    <w:p>
      <w:pPr>
        <w:spacing w:after="0" w:line="187"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Some of our businesses are also subject to the FTC’s general oversight of consumer privacy protections through its enforcement authority over unfair and deceptive acts or practices, as well as through its enforcement authority over the Children’s Online Privacy Protection Act. The FTC has sought to expand its authority in this area through various rulemakings related to general privacy, targeted advertising and children’s privacy. There has been an increased focus on children’s privacy at both the state and federal levels within the United States, as well as internationally. These new laws may require changes to our products and services and could adversely affect our advertising businesses.</w:t>
      </w:r>
    </w:p>
    <w:p>
      <w:pPr>
        <w:spacing w:after="0" w:line="183" w:lineRule="exact"/>
        <w:rPr>
          <w:sz w:val="20"/>
          <w:szCs w:val="20"/>
          <w:color w:val="auto"/>
        </w:rPr>
      </w:pPr>
    </w:p>
    <w:p>
      <w:pPr>
        <w:jc w:val="both"/>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many international data protection laws, some federal laws, and all 50 U.S. states have security breach notification requirements that obligate businesses to provide notice to consumers and government agencies if certain information has been accessed or exfiltrated by an unauthorized party; some of these laws also require documented information security programs.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business of marketing and selling goods and services to consumers is subject to a wide range of laws and regulations intended to protect consumers from false and misleading advertising, unfair trade practices and other risks. Our digital businesses, in particular, are subject to a variety of federal and state regulations and laws applicable to negative option agreements (including, auto-renewing subscription programs), disclosure of all mandatory fees (“hidden fee” or “junk fee” laws), notification of in-application purchases and convenience and processing charges on tickets. These and other consumer protection laws and regulations are enforced at the federal level by the FTC, the FCC and other administrative agencies, and at the state and local level by state attorneys general and numerous other law enforcement and administrative departments and agencies. We have in the past and may in the future be subject to a variety of claims under such regulations and laws. Moreover, consumer protection laws are constantly evolving and we cannot predict the impact of any future regulatory changes and enforcement priorities on our marketing activities.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Regulations and Requirements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U.S. states and localities, and various regulatory authorities actively regulate other aspects of our businesses, such as child protection, user-generated content, advertising and competition in the jurisdictions in which we operate. We are occasionally subject to enforcement actions and investigations at the FCC and other federal, state and local agencies, as well as foreign governments and regulatory authorities, which can result in fines or being subject to sanctions.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As of October 21, 2025, we had approximately 4,032 full-time and part-time employees calculated on a full-time equivalent basis. Approximately 10% of our employees were located in over 12 countries outside the United States. We also use freelance and temporary employees in the normal course of our business. A small portion of our full-time U.S. employees are unionized, and many freelance, technical, production and editorial personnel, as well as some on-air employees, are covered by collective bargaining agreements or work councils. Outside the United States, employees in certain countries, particularly in Europe, are represented by an employee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140"/>
          </w:cols>
          <w:pgMar w:left="320" w:top="455" w:right="439" w:bottom="1440" w:gutter="0" w:footer="0" w:header="0"/>
        </w:sectPr>
      </w:pPr>
    </w:p>
    <w:bookmarkStart w:id="873" w:name="page874"/>
    <w:bookmarkEnd w:id="8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representative organization, such as a union, works council or employee association. Our Company has been built on a foundation of respect, integrity and trust, and we are committed to creating and fostering a work environment that promotes those values.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Health and Welfare Benefits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Times New Roman" w:cs="Times New Roman" w:eastAsia="Times New Roman" w:hAnsi="Times New Roman"/>
          <w:sz w:val="17"/>
          <w:szCs w:val="17"/>
          <w:color w:val="auto"/>
        </w:rPr>
        <w:t>We expect to offer a robust portfolio of health and welfare programs and solutions designed to meet the unique needs of our employees and their families, delivered through a consistent and seamless member experience. We anticipate that our offerings will include comprehensive and affordable healthcare coverage options along with a variety of additional tools and resources, including access to dedicated healthcare navigators, expert medical opinion services and virtual primary care services. In addition, we expect to offer comprehensive family planning options, including for adoption and surrogacy, and provide specialized support teams to help employees manage all stages in the family planning journey including parenthood.</w:t>
      </w:r>
    </w:p>
    <w:p>
      <w:pPr>
        <w:spacing w:after="0" w:line="168" w:lineRule="exact"/>
        <w:rPr>
          <w:sz w:val="20"/>
          <w:szCs w:val="20"/>
          <w:color w:val="auto"/>
        </w:rPr>
      </w:pPr>
    </w:p>
    <w:p>
      <w:pPr>
        <w:ind w:left="120" w:right="220" w:firstLine="440"/>
        <w:spacing w:after="0" w:line="261" w:lineRule="auto"/>
        <w:rPr>
          <w:sz w:val="20"/>
          <w:szCs w:val="20"/>
          <w:color w:val="auto"/>
        </w:rPr>
      </w:pPr>
      <w:r>
        <w:rPr>
          <w:rFonts w:ascii="Times New Roman" w:cs="Times New Roman" w:eastAsia="Times New Roman" w:hAnsi="Times New Roman"/>
          <w:sz w:val="18"/>
          <w:szCs w:val="18"/>
          <w:color w:val="auto"/>
        </w:rPr>
        <w:t>We also expect to invest in the emotional wellbeing of our employees and offer a broad array of tools and resources such as our Employee Assistance Program, which provides personal counseling sessions to support employees and their families and provide problem-solving support for a broad range of issues, including stress, anxiety, depression, substance use and more. We anticipate offering various digital emotional well-being tools, including child learning and behavior support, meditation, stress management, sleep issues, depression, chronic pain and substance use.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Our company’s intellectual property portfolio is one of our most valuable assets, encompassing trademarks, copyrights and trade secrets that support our businesses. The protection and enhancement of these intellectual property rights are crucial for maintaining our brand integrity and market position. We own, or hold exclusive licenses to, numerous trademarks covering certain of our network names, logos and program titles. Many of these trademarks are registered across various jurisdictions. These trademarks help distinguish our high-quality content and ensure that viewers can reliably associate our services with our brands. We own the copyrights in a vast library of works, including original programming, digital media, articles and audiovisual content, all of which contribute to our diverse offerings in news, sports and entertainment. These copyrights provide us exclusive rights to distribute and monetize our creative works.</w:t>
      </w:r>
    </w:p>
    <w:p>
      <w:pPr>
        <w:spacing w:after="0" w:line="18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Furthermore, we seek to protect our trade secrets, encompassing confidential business information and processes, through internal policies and agreements which are designed to prevent unauthorized use or disclosure. The investment in and protection of our intellectual property rights are pivotal to sustaining our growth and development in the media industry. We actively monitor and enforce these rights to prevent infringement, misappropriation, dilution and other unauthorized usage and protect the longevity and success of our businesses. For a discussion of associated risks, see “Risk Factors— Business Risk Factors.”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We are involved, from time to time, in litigation, other legal claims, regulatory actions and other proceedings or actions by governmental authorities involving matters associated with or incidental to our business and our property in the ordinary course, both in the United States and in foreign countries. See Note 4 to our unaudited condensed combined financial statements and Note 9 to our audited combined financial statements for more information.</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120"/>
          </w:cols>
          <w:pgMar w:left="320" w:top="455" w:right="459" w:bottom="1440" w:gutter="0" w:footer="0" w:header="0"/>
        </w:sectPr>
      </w:pPr>
    </w:p>
    <w:bookmarkStart w:id="874" w:name="page875"/>
    <w:bookmarkEnd w:id="8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MANAGEMENT</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Executive Officers Following the Separation</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the date of this information statement, regarding certain individuals who are expected to serve as our executive officers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Age</w:t>
            </w:r>
          </w:p>
        </w:tc>
        <w:tc>
          <w:tcPr>
            <w:tcW w:w="67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14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16"/>
                <w:szCs w:val="16"/>
                <w:color w:val="auto"/>
              </w:rPr>
            </w:pPr>
          </w:p>
        </w:tc>
        <w:tc>
          <w:tcPr>
            <w:tcW w:w="67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w:t>
            </w:r>
          </w:p>
        </w:tc>
        <w:tc>
          <w:tcPr>
            <w:tcW w:w="20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c>
          <w:tcPr>
            <w:tcW w:w="200" w:type="dxa"/>
            <w:vAlign w:val="bottom"/>
          </w:tcPr>
          <w:p>
            <w:pPr>
              <w:spacing w:after="0"/>
              <w:rPr>
                <w:sz w:val="20"/>
                <w:szCs w:val="20"/>
                <w:color w:val="auto"/>
              </w:rPr>
            </w:pPr>
          </w:p>
        </w:tc>
        <w:tc>
          <w:tcPr>
            <w:tcW w:w="67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6" w:lineRule="exact"/>
        <w:rPr>
          <w:sz w:val="20"/>
          <w:szCs w:val="20"/>
          <w:color w:val="auto"/>
        </w:rPr>
      </w:pPr>
    </w:p>
    <w:p>
      <w:pPr>
        <w:ind w:left="120" w:right="18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be the Chief Executive Officer of Versant. Mr. Lazarus has served in various roles at NBCUniversal since 2011,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Chairman of NBCUniversal Media Group where he oversaw the company’s TV and Streaming platforms, distribution and monetization. Previously, Mr. Lazarus was Chairman, NBCUniversal Broadcast, Entertainment and Lifestyle Group, Sports and News from 2011 to 2016. Prior to joining NBCUniversal, Mr. Lazarus was President of Media and Marketing at CSE from 2008 to 2010 and served as President of Turner Entertainment Group from 2003 to 2008. Mr. Lazarus is on the Board of Governors of the Boys and Girls Clubs of America and serves on the board of directors for the East Lake Foundation and Hilton Grand Vacations. He is a graduate of Vanderbilt University.</w:t>
      </w:r>
    </w:p>
    <w:p>
      <w:pPr>
        <w:spacing w:after="0" w:line="182"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Anand M. Kini </w:t>
      </w:r>
      <w:r>
        <w:rPr>
          <w:rFonts w:ascii="Times New Roman" w:cs="Times New Roman" w:eastAsia="Times New Roman" w:hAnsi="Times New Roman"/>
          <w:sz w:val="18"/>
          <w:szCs w:val="18"/>
          <w:color w:val="auto"/>
        </w:rPr>
        <w:t>will be the Chief Financial Officer and Chief Operating Officer of Versant. Mr. Kini has served as Executive Vice President,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Strategy, Comcast Corporation since 2023 and Chief Financial Officer, NBCUniversal since 2015. He joined NBCUniversal in 2011 from Comcast Cable, where he served as Senior Vice President of Finance from 2007 to 2011. Prior to that, Mr. Kini worked at Activision Blizzard from 2004 to 2007 and The Walt Disney Company from 2002 to 2004 in a variety of Finance and Strategy management roles. Mr. Kini serves on the board of directors for the Harvard Business School Club of New York City. He holds a B.A. in Economics from Wesleyan University and received his M.B.A. with High Distinction from Harvard Business School.</w:t>
      </w:r>
    </w:p>
    <w:p>
      <w:pPr>
        <w:spacing w:after="0" w:line="182" w:lineRule="exact"/>
        <w:rPr>
          <w:sz w:val="20"/>
          <w:szCs w:val="20"/>
          <w:color w:val="auto"/>
        </w:rPr>
      </w:pPr>
    </w:p>
    <w:p>
      <w:pPr>
        <w:ind w:left="120" w:right="14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Jordan R. Fasbender </w:t>
      </w:r>
      <w:r>
        <w:rPr>
          <w:rFonts w:ascii="Times New Roman" w:cs="Times New Roman" w:eastAsia="Times New Roman" w:hAnsi="Times New Roman"/>
          <w:sz w:val="18"/>
          <w:szCs w:val="18"/>
          <w:color w:val="auto"/>
        </w:rPr>
        <w:t>will be the General Counsel and Corporate Secretary of Versant. Ms. Fasbender served as Executive Vice President,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Legal Officer and Corporate Secretary of iHeartMedia, Inc., an audio media and entertainment company, from 2024 to 2025. Ms. Fasbender previously served as Executive Vice President, General Counsel and Secretary of iHeartMedia, Inc. from 2022 to 2024 and Executive Vice President, Deputy General Counsel and Secretary from 2019 to 2021. From 2013 to 2019, Ms. Fasbender served as Senior Vice President and Associate General Counsel at Twenty-First Century Fox, Inc. From 2008 to 2013, Ms. Fasbender was an Associate at Weil, Gotshal &amp; Manges LLP, an international law firm. Ms. Fasbender holds a B.A. from Emory University and a J.D. from Fordham School of Law.</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Following the Separation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individuals are expected to serve as members of our Board following the Separation.</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2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Age</w:t>
            </w:r>
          </w:p>
        </w:tc>
        <w:tc>
          <w:tcPr>
            <w:tcW w:w="65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24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David Novak</w:t>
            </w:r>
          </w:p>
        </w:tc>
        <w:tc>
          <w:tcPr>
            <w:tcW w:w="24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72</w:t>
            </w:r>
          </w:p>
        </w:tc>
        <w:tc>
          <w:tcPr>
            <w:tcW w:w="220" w:type="dxa"/>
            <w:vAlign w:val="bottom"/>
          </w:tcPr>
          <w:p>
            <w:pPr>
              <w:spacing w:after="0"/>
              <w:rPr>
                <w:sz w:val="16"/>
                <w:szCs w:val="16"/>
                <w:color w:val="auto"/>
              </w:rPr>
            </w:pPr>
          </w:p>
        </w:tc>
        <w:tc>
          <w:tcPr>
            <w:tcW w:w="65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Chairman of the Board</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Eun</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58</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74</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60</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16"/>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73</w:t>
            </w:r>
          </w:p>
        </w:tc>
        <w:tc>
          <w:tcPr>
            <w:tcW w:w="2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34"/>
        </w:trPr>
        <w:tc>
          <w:tcPr>
            <w:tcW w:w="2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63</w:t>
            </w:r>
          </w:p>
        </w:tc>
        <w:tc>
          <w:tcPr>
            <w:tcW w:w="220" w:type="dxa"/>
            <w:vAlign w:val="bottom"/>
          </w:tcPr>
          <w:p>
            <w:pPr>
              <w:spacing w:after="0"/>
              <w:rPr>
                <w:sz w:val="20"/>
                <w:szCs w:val="20"/>
                <w:color w:val="auto"/>
              </w:rPr>
            </w:pPr>
          </w:p>
        </w:tc>
        <w:tc>
          <w:tcPr>
            <w:tcW w:w="650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64"/>
        </w:trPr>
        <w:tc>
          <w:tcPr>
            <w:tcW w:w="2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50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97</w:t>
            </w:r>
          </w:p>
        </w:tc>
      </w:tr>
    </w:tbl>
    <w:p>
      <w:pPr>
        <w:sectPr>
          <w:pgSz w:w="11900" w:h="16838" w:orient="portrait"/>
          <w:cols w:equalWidth="0" w:num="1">
            <w:col w:w="11140"/>
          </w:cols>
          <w:pgMar w:left="320" w:top="455" w:right="439" w:bottom="1440" w:gutter="0" w:footer="0" w:header="0"/>
        </w:sectPr>
      </w:pPr>
    </w:p>
    <w:bookmarkStart w:id="875" w:name="page876"/>
    <w:bookmarkEnd w:id="8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Set forth below is additional information regarding the directors identified above, as well as a description of the specific skills and qualifications such candidates are expected to provide the Board of Directors of Versant.</w:t>
      </w:r>
    </w:p>
    <w:p>
      <w:pPr>
        <w:spacing w:after="0" w:line="160" w:lineRule="exact"/>
        <w:rPr>
          <w:sz w:val="20"/>
          <w:szCs w:val="20"/>
          <w:color w:val="auto"/>
        </w:rPr>
      </w:pPr>
    </w:p>
    <w:p>
      <w:pPr>
        <w:ind w:left="120" w:right="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Mark Lazarus </w:t>
      </w:r>
      <w:r>
        <w:rPr>
          <w:rFonts w:ascii="Times New Roman" w:cs="Times New Roman" w:eastAsia="Times New Roman" w:hAnsi="Times New Roman"/>
          <w:sz w:val="18"/>
          <w:szCs w:val="18"/>
          <w:color w:val="auto"/>
        </w:rPr>
        <w:t>will serve on the Board of Directors. For Mr. Lazarus’ biography, see “—Executive Officers Following the Separation” above.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Lazarus’ qualifications for election include his service as Chief Executive Officer of Versant and his previous service in various leadership roles at NBCUniversal since 2011.</w:t>
      </w:r>
    </w:p>
    <w:p>
      <w:pPr>
        <w:spacing w:after="0" w:line="173"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David Novak </w:t>
      </w:r>
      <w:r>
        <w:rPr>
          <w:rFonts w:ascii="Times New Roman" w:cs="Times New Roman" w:eastAsia="Times New Roman" w:hAnsi="Times New Roman"/>
          <w:sz w:val="18"/>
          <w:szCs w:val="18"/>
          <w:color w:val="auto"/>
        </w:rPr>
        <w:t>will be the Chairman of our Board. Mr. Novak has served as a director of Comcast Corporation since 2016. Prior to that, Mr. Novak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was the Chief Executive Officer of YUM! Brands, Inc. from 2000 to 2014, the Chairman of its board of directors from 2001 to 2014 and the Executive Chairman of its board of directors from 2015 to 2016. Mr. Novak is the founder of David Novak Leadership, Inc., which provides online leadership training to transform managers into confident, capable engaging leaders, and currently serves on the board of directors of Lift-a-Life Novak Family Foundation. We believe that Mr. Novak is qualified to serve as the Chairman of our Board given his previous executive leadership positions, including as Chairman and CEO of YUM! Brands, one of the world’s largest fast-food restaurant operators, and his wealth of knowledge on marketing, consumer brands, global growth strategies and international business. Mr. Novak also has deep experience with corporate spin-offs, having led the separation of PepsiCo’s restaurant division to form Tricon Global Restaurants, which later became YUM! Brands. Throughout his career, Mr. Novak has demonstrated an exceptional ability to lead and manage large teams, uniting employees through increased engagement, recognition and talent development.</w:t>
      </w:r>
    </w:p>
    <w:p>
      <w:pPr>
        <w:spacing w:after="0" w:line="185"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Rebecca Campbell </w:t>
      </w:r>
      <w:r>
        <w:rPr>
          <w:rFonts w:ascii="Times New Roman" w:cs="Times New Roman" w:eastAsia="Times New Roman" w:hAnsi="Times New Roman"/>
          <w:sz w:val="18"/>
          <w:szCs w:val="18"/>
          <w:color w:val="auto"/>
        </w:rPr>
        <w:t>will serve on the Board of Directors. Mrs. Campbell was appointed Interim Chief Executive Officer of Meow Wolf, Inc.,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leading arts and entertainment company, in 2025 and has served on the company’s board of directors since 2024. Mrs. Campbell spent over 25 years at The Walt Disney Company, a multinational entertainment and media company, where she held a range of senior leadership roles across its international and direct-to-consumer businesses. From 2020 to 2023, Mrs. Campbell served as Chairman of International Operations and Direct-to-Consumer at Disney, where she was responsible for global operations and all facets of the company’s Direct-to-Consumer portfolio. From 2019 to 2020, she was President of Disneyland Resort, overseeing two theme parks, three resort hotels, and Downtown Disney, while leading a team of 31,000 cast members. From 2018 to 2019, she was based in London as President of Europe, Middle East &amp; Africa. From 2010 to 2018, she served as President of the ABC Owned Television Stations &amp; ABC Daytime Television. Mrs. Campbell also served on the board of directors of Broadcast Music, Inc. (BMI) from 2015 to 2024. Additionally, she has been involved with Big Brothers Big Sisters of Greater Los Angeles since 2016, serving first as a board member and now as a trustee. Mrs. Campbell brings to the Board a distinguished career in global media and entertainment, including senior leadership positions overseeing international operations and direct-to-consumer platforms, and driving strategy and distribution for one of the world’s most recognized brands. She has successfully managed large-scale organizations across multiple regions and driven growth through innovative audience engagement strategies, with particular expertise in scaling global direct-to-consumer businesses. We believe her deep industry knowledge and global perspective strengthen the Board’s ability to navigate an evolving media landscape.</w:t>
      </w:r>
    </w:p>
    <w:p>
      <w:pPr>
        <w:spacing w:after="0" w:line="185"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Creighton Condon </w:t>
      </w:r>
      <w:r>
        <w:rPr>
          <w:rFonts w:ascii="Times New Roman" w:cs="Times New Roman" w:eastAsia="Times New Roman" w:hAnsi="Times New Roman"/>
          <w:sz w:val="18"/>
          <w:szCs w:val="18"/>
          <w:color w:val="auto"/>
        </w:rPr>
        <w:t>will serve on the Board of Directors. Mr. Condon is Of Counsel at the global law firm of Allen Overy Shearman Sterling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position he has held since 2024. He previously was a Partner of Shearman &amp; Sterling LLP from 1991 to 2023, and served as its Senior Partner from 2012 to 2018, European Managing Partner from 2008 to 2012 and Global Mergers and Acquisitions Practice Group Leader from 2012 until being elected the Senior Partner of the firm. He advises clients on mergers, acquisitions, divestitures and joint ventures, and counsels boards of directors and special committees on corporate governance matters, change of control transactions, shareholder activism and complex structural issues. Mr. Condon has extensive experience in the media, entertainment and sports industries. We believe Mr. Condon is qualified to serve on our Board given his decades of experience advising multinational companies and boards on high-stakes transactions and governance matters. We believe his extensive cross-border mergers and acquisitions experience and deep familiarity with the media, entertainment and sports sectors equip him to provide valuable perspective on legal and regulatory risks in our industry.</w:t>
      </w:r>
    </w:p>
    <w:p>
      <w:pPr>
        <w:spacing w:after="0" w:line="1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60"/>
          </w:cols>
          <w:pgMar w:left="320" w:top="455" w:right="519" w:bottom="1440" w:gutter="0" w:footer="0" w:header="0"/>
        </w:sectPr>
      </w:pPr>
    </w:p>
    <w:bookmarkStart w:id="876" w:name="page877"/>
    <w:bookmarkEnd w:id="8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2" w:lineRule="exact"/>
        <w:rPr>
          <w:sz w:val="20"/>
          <w:szCs w:val="20"/>
          <w:color w:val="auto"/>
        </w:rPr>
      </w:pPr>
    </w:p>
    <w:p>
      <w:pPr>
        <w:ind w:left="120" w:right="20" w:firstLine="440"/>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Michael Conway </w:t>
      </w:r>
      <w:r>
        <w:rPr>
          <w:rFonts w:ascii="Times New Roman" w:cs="Times New Roman" w:eastAsia="Times New Roman" w:hAnsi="Times New Roman"/>
          <w:sz w:val="17"/>
          <w:szCs w:val="17"/>
          <w:color w:val="auto"/>
        </w:rPr>
        <w:t>will serve on the Board of Directors. Mr. Conway is the former Chief Executive Officer of Starbucks North America, a position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he held until his retirement in 2024. Previously, he served in a variety of executive roles at Starbucks Corporation, a publicly traded multinational coffee house and specialty coffee retailer, including Group President, Starbucks International and Global Channel Development from 2021 to 2024, Executive Vice President and President, Starbucks International Licensed Markets from 2020 to 2021, Executive Vice President and President, Starbucks Canada from 2018 to 2020, Executive Vice President and President, Licensed Stores, U.S. and Latin America from 2016 to 2018 and Executive Vice President and President, Global Channel Development from 2013 to 2016, responsible for all commercial and business strategy functions for global grocery and foodservice and expanding into emerging international markets. Prior to joining Starbucks, Mr. Conway worked at Johnson &amp; Johnson from 2004 to 2013 and worked at the Campbell Soup Company from 1994 to 2004. Mr. Conway is a member of the board of directors of McCormick &amp; Company, where he is currently member of the nominating and corporate governance committee and served on the audit committee from 2015-2022. Mr. Conway’s career leading Starbucks’ domestic and international businesses has given him deep experience managing complex operations across multiple geographies and distribution channels. He has a track record of expanding into new markets, strengthening brand loyalty and driving revenue growth. We believe his insight into global supply chains, customer engagement and brand management will be a valuable resource to our Board.</w:t>
      </w:r>
    </w:p>
    <w:p>
      <w:pPr>
        <w:spacing w:after="0" w:line="179"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David Eun </w:t>
      </w:r>
      <w:r>
        <w:rPr>
          <w:rFonts w:ascii="Times New Roman" w:cs="Times New Roman" w:eastAsia="Times New Roman" w:hAnsi="Times New Roman"/>
          <w:sz w:val="18"/>
          <w:szCs w:val="18"/>
          <w:color w:val="auto"/>
        </w:rPr>
        <w:t>will serve on the Board of Directors. Mr. Eun is currently a Founding Advisor of Kanza AI, a generative AI platform focused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health, wellness, and medicine, and the Co-founder of Alakai Group, LLC, an investment firm. Prior to Alakai, Mr. Eun served as Executive Vice Chairman of Archegos Capital Management LP, a family investment office, in 2021 and served as a Venture Partner of Valo Ventures, a venture capital investment firm, from 2021 to 2023. From 2012 to 2020, Mr. Eun was President and Chief Innovation Officer of Samsung Electronics, where he founded Samsung NEXT, the company’s innovation arm focused on startup investments, M&amp;A, and new business creation. Earlier in his career, he held senior leadership roles at Google, AOL, Time Warner and NBC. Since 2023, Mr. Eun has served as a member of the board of directors of Howard Hughes Holdings Inc., a publicly traded real estate development company, where he is Chair of the technology committee and a member of the audit committee. Mr. Eun has spent his career at the intersection of technology, media and investment, building new businesses and fostering innovation inside some of the world’s largest companies. He has launched and scaled technology platforms, forged strategic partnerships across industries and led investment initiatives targeting emerging companies. We believe his ability to identify disruptive trends and translate them into actionable strategies offers the Board a forward-looking perspective on innovation and market development.</w:t>
      </w:r>
    </w:p>
    <w:p>
      <w:pPr>
        <w:spacing w:after="0" w:line="19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Gerald Hassell </w:t>
      </w:r>
      <w:r>
        <w:rPr>
          <w:rFonts w:ascii="Times New Roman" w:cs="Times New Roman" w:eastAsia="Times New Roman" w:hAnsi="Times New Roman"/>
          <w:sz w:val="18"/>
          <w:szCs w:val="18"/>
          <w:color w:val="auto"/>
        </w:rPr>
        <w:t>will serve on the Board of Directors. Mr. Hassell is the Former Chairman and Chief Executive Officer of The Bank of New York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Mellon Corporation (BNY). He had direct responsibility for oversight of the company’s broad range of banking and investment services businesses, as well as operations and technology. He was named to BNY’s executive committee in 1994 and named president and elected to its board of directors in 1998. In 2011, Mr. Hassell was named Chairman and CEO of BNY. Mr. Hassell served as a director on the board of Comcast Corporation from 2008 until 2025 and Metlife, Inc. from 2018 until 2024. Mr. Hassell previously served as a trustee of Duke University and currently serves as a member of the board of directors of the Duke University Health System. Over a career spanning more than decades at BNY, Mr. Hassell developed deep expertise in leading large, highly regulated financial institutions. As Chairman and the CEO, he navigated dynamic market cycles, oversaw operational transformations and managed relationships with regulators, institutional clients and diverse stakeholders. We believe his experience in risk management, corporate governance and strategic planning brings seasoned judgment and long-term perspective to our Board.</w:t>
      </w:r>
    </w:p>
    <w:p>
      <w:pPr>
        <w:spacing w:after="0" w:line="188"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Scott Mahoney </w:t>
      </w:r>
      <w:r>
        <w:rPr>
          <w:rFonts w:ascii="Times New Roman" w:cs="Times New Roman" w:eastAsia="Times New Roman" w:hAnsi="Times New Roman"/>
          <w:sz w:val="18"/>
          <w:szCs w:val="18"/>
          <w:color w:val="auto"/>
        </w:rPr>
        <w:t>will serve on the Board of Directors. Mr. Mahoney is the current Chairman and Chief Executive Officer of Peter Millar LLC,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premium apparel company, which is a division of Richemont S.A., a position he has held since 2005. Prior to his tenure at Peter Millar, Mr. Mahoney served in leadership and executive positions at Polo Ralph Lauren. Mr. Mahoney is on the board of directors of Fleet Feet, a running-inspired company. He has served on the board of The First Tee of the Triangle, a non-profit that focuses on</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100"/>
          </w:cols>
          <w:pgMar w:left="320" w:top="455" w:right="479" w:bottom="1440" w:gutter="0" w:footer="0" w:header="0"/>
        </w:sectPr>
      </w:pPr>
    </w:p>
    <w:bookmarkStart w:id="877" w:name="page878"/>
    <w:bookmarkEnd w:id="8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74" w:lineRule="auto"/>
        <w:rPr>
          <w:sz w:val="20"/>
          <w:szCs w:val="20"/>
          <w:color w:val="auto"/>
        </w:rPr>
      </w:pPr>
      <w:r>
        <w:rPr>
          <w:rFonts w:ascii="Times New Roman" w:cs="Times New Roman" w:eastAsia="Times New Roman" w:hAnsi="Times New Roman"/>
          <w:sz w:val="17"/>
          <w:szCs w:val="17"/>
          <w:color w:val="auto"/>
        </w:rPr>
        <w:t>fostering and developing positive life skills in young men and women through golf. He served on the board of directors of Wake County Boys &amp; Girls Clubs, which helps local youth reach their full potential through after-school and summer programs. He also served as a trustee on the board of St. Mary’s School, an all-girls boarding and day school in Raleigh, North Carolina. Mr. Mahoney has extensive experience building premium consumer brands, most recently as the Chief Executive Officer of Peter Millar. Under his leadership, the company expanded its product portfolio, strengthened its wholesale and direct-to-consumer channels and grew its presence in domestic and international markets. We believe his expertise in brand positioning, retail operations and muti-channel growth strategies provides the Board with practical insight into building a successful consumer business.</w:t>
      </w:r>
    </w:p>
    <w:p>
      <w:pPr>
        <w:spacing w:after="0" w:line="171"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Maritza Montiel </w:t>
      </w:r>
      <w:r>
        <w:rPr>
          <w:rFonts w:ascii="Times New Roman" w:cs="Times New Roman" w:eastAsia="Times New Roman" w:hAnsi="Times New Roman"/>
          <w:sz w:val="18"/>
          <w:szCs w:val="18"/>
          <w:color w:val="auto"/>
        </w:rPr>
        <w:t>will serve on the Board of Directors. Ms. Montiel served for 39 years at Deloitte &amp; Touche LLP, the multinational professional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firm, before retiring in 2014. Her most recent position was as Deputy Chief Executive Officer and Vice Chairman of the firm’s U.S. business. As Deputy Chief Executive Officer, Ms. Montiel led a variety of strategic initiatives including the transformation of the Federal Government Services Practice. She was also a member of the Deloitte US and Global Board of Directors. Ms. Montiel is a member of the board of directors of McCormick &amp; Company, where she formerly chaired the audit committee, and Royal Caribbean Cruises Ltd., where she serves on the audit committee and the compensation committee. She also served as a member of the board of directors of Comcast Corporation from 2018 to 2024 and AptarGroup, Inc. from 2015 until 2023, where she served on the audit committee. Ms. Montiel brings to our Board more than four decades of experience in public accounting, risk and audit, including her tenure at Deloitte. She has overseen complex audits for large, multinational companies, advised on financial reporting and internal controls and guided organizations through compliance and governance requirements. We believe her deep technical expertise in accounting and audit matters enhances the Board’s oversight of financial integrity and risk management.</w:t>
      </w:r>
    </w:p>
    <w:p>
      <w:pPr>
        <w:spacing w:after="0" w:line="185" w:lineRule="exact"/>
        <w:rPr>
          <w:sz w:val="20"/>
          <w:szCs w:val="20"/>
          <w:color w:val="auto"/>
        </w:rPr>
      </w:pPr>
    </w:p>
    <w:p>
      <w:pPr>
        <w:jc w:val="both"/>
        <w:ind w:left="120" w:right="220" w:firstLine="440"/>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Leonard Potter </w:t>
      </w:r>
      <w:r>
        <w:rPr>
          <w:rFonts w:ascii="Times New Roman" w:cs="Times New Roman" w:eastAsia="Times New Roman" w:hAnsi="Times New Roman"/>
          <w:sz w:val="17"/>
          <w:szCs w:val="17"/>
          <w:color w:val="auto"/>
        </w:rPr>
        <w:t>will serve on the Board of Directors. Mr. Potter founded Wildcat Capital Management, LLC, a registered investment advisor,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2011, and continues to serve as its President and Chief Investment Officer. In 2017, Mr. Potter also co-founded Vida Ventures, a biotech venture fund management company, and continues to serve as a senior managing director and senior advisor to its affiliated funds. From 2002 through 2009, Mr.</w:t>
      </w:r>
    </w:p>
    <w:p>
      <w:pPr>
        <w:spacing w:after="0" w:line="1" w:lineRule="exact"/>
        <w:rPr>
          <w:sz w:val="20"/>
          <w:szCs w:val="20"/>
          <w:color w:val="auto"/>
        </w:rPr>
      </w:pPr>
    </w:p>
    <w:p>
      <w:pPr>
        <w:ind w:left="120" w:right="20"/>
        <w:spacing w:after="0" w:line="251" w:lineRule="auto"/>
        <w:rPr>
          <w:sz w:val="20"/>
          <w:szCs w:val="20"/>
          <w:color w:val="auto"/>
        </w:rPr>
      </w:pPr>
      <w:r>
        <w:rPr>
          <w:rFonts w:ascii="Times New Roman" w:cs="Times New Roman" w:eastAsia="Times New Roman" w:hAnsi="Times New Roman"/>
          <w:sz w:val="18"/>
          <w:szCs w:val="18"/>
          <w:color w:val="auto"/>
        </w:rPr>
        <w:t>Potter was a Managing Director—Private Equity at Soros Fund Management LLC where he served as co-head of its private equity group. Earlier in his career, Mr. Potter spent ten years as an attorney specializing in mergers, acquisitions, corporate governance and corporate finance at Morgan, Lewis &amp; Bockius LLP, and at Willkie Farr &amp; Gallagher LLP. Mr. Potter has served and continues to serve as a director on a number of boards of public and private companies, including Hilton Grand Vacations, Inc., where he serves as chairman of its board of directors and its nominating and corporate governance committee, and SLR Investment Corp. and SuRo Capital Corporation. Mr. Potter brings to the Board more than three decades of experience in private equity, venture capital and corporate finance. He has led investments across a wide range of industries, served on numerous public and private company boards and advised companies through complex mergers, acquisitions and strategic transactions. We believe his deep understanding of capital markets, corporate governance and investment strategy adds valuable financial and strategic insight to the Board.</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Structure</w:t>
      </w:r>
    </w:p>
    <w:p>
      <w:pPr>
        <w:spacing w:after="0" w:line="121"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is expected to consist of ten members. Each director will be elected annually by the shareholders at each annual meeting of shareholders for a term expiring at the next annual meeting of shareholders. We have not yet set the date of the first annual meeting of shareholders to be held following the Separation.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Independence</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Upon completion of the Separation, our Board will consist of ten members. Our Board expects to determine that each of David Novak, Rebecca S. Campbell, Creighton Cordon, Michael A. Conway, David Eun, Gerald L. Hassell, W. Scott Mahoney, Maritza Montiel and Leonard A. Potter is independent under the rules of Nasdaq.</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1100"/>
          </w:cols>
          <w:pgMar w:left="320" w:top="455" w:right="479" w:bottom="1440" w:gutter="0" w:footer="0" w:header="0"/>
        </w:sectPr>
      </w:pPr>
    </w:p>
    <w:bookmarkStart w:id="878" w:name="page879"/>
    <w:bookmarkEnd w:id="8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In determining independence, the Board will consider whether a director has any relationship that would interfere with such director’s exercise of independent judgment in carrying out the responsibilities of a director.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we intend to adopt, subject to approval by our Board, a director compensation policy that will govern the annual compensation paid to our non-employee directors following the Separation.</w:t>
      </w:r>
    </w:p>
    <w:p>
      <w:pPr>
        <w:spacing w:after="0" w:line="16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non-employee director compensation policy will be determined by our Compensation Committee and will provide each of our non-employee directors with annual retainers for service on our Board (including the committees thereof), which we expect to be paid as a mix of cash payments and annual equity grants. In addition, each director will be reimbursed for out-of-pocket expenses in connection with his or her services.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Board of Directors Committees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Effective upon the completion of the Separation, our Board will have an Audit Committee, a Compensation Committee and a Governance Committee, each of which will operate under written charters approved by the full Board. We intend to comply with the listing requirements and other rules and regulations of Nasdaq, as amended or modified from time to time, with respect to each of these committees and each of these committees will be comprised exclusively of independent directors. The charters of all the Committees will be posted on our website after the Separation.</w:t>
      </w:r>
    </w:p>
    <w:p>
      <w:pPr>
        <w:spacing w:after="0" w:line="180"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Each committee will operate under a written charter that details the scope of authority, composition and procedures of the committee. Each committee may, when it deems appropriate and in the best interest of the Company, delegate authority to subcommittees or the Chair of such committee. The committees will report to the Board periodically, review and reassess the adequacy of their charters and recommend any proposed changes to the Board for approval.</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20" w:right="300" w:firstLine="440"/>
        <w:spacing w:after="0" w:line="255" w:lineRule="auto"/>
        <w:rPr>
          <w:sz w:val="20"/>
          <w:szCs w:val="20"/>
          <w:color w:val="auto"/>
        </w:rPr>
      </w:pPr>
      <w:r>
        <w:rPr>
          <w:rFonts w:ascii="Times New Roman" w:cs="Times New Roman" w:eastAsia="Times New Roman" w:hAnsi="Times New Roman"/>
          <w:sz w:val="18"/>
          <w:szCs w:val="18"/>
          <w:color w:val="auto"/>
        </w:rPr>
        <w:t>The members of our Audit Committee are expected to be        ,        and        .        is expected to be the Chair of our Audit Committee. We expect that each member of our Audit Committee will meet the requirements for independence under the current Nasdaq listing standards and SEC rules and regulations. We expect that all the members of our Audit Committee will be financially sophisticated. In addition, we expect to determine that        is an “audit committee financial expert” as defined in Item 407(d)(5)(ii) of Regulation S-K promulgated under the Securities Act. This designation does not impose on such director any duties, obligations or liabilities that are greater than are generally imposed on members of our Audit Committee and our Board. The responsibilities of the Audit Committee will be more fully described in our Audit Committee charter and will include, among other duties:</w:t>
      </w:r>
    </w:p>
    <w:p>
      <w:pPr>
        <w:spacing w:after="0" w:line="94" w:lineRule="exact"/>
        <w:rPr>
          <w:sz w:val="20"/>
          <w:szCs w:val="20"/>
          <w:color w:val="auto"/>
        </w:rPr>
      </w:pPr>
    </w:p>
    <w:p>
      <w:pPr>
        <w:ind w:left="1080" w:hanging="424"/>
        <w:spacing w:after="0"/>
        <w:tabs>
          <w:tab w:leader="none" w:pos="108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compensating, retaining and overseeing the independent auditors for us;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audit-related and permissible non-audit services to be provided by the independent auditors;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auditors’ qualifications, performance and independence;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our annual and quarterly statements prior to filing with the SEC;</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with management and our internal and independent auditors the annual management assessment and audit of the effectiveness of our internal control over financial reporting prior to filing our annual statements with the SEC to the extent required under applicable SEC rules; and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to shareholders annually for inclusion in our proxy statement.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120"/>
          </w:cols>
          <w:pgMar w:left="320" w:top="455" w:right="459" w:bottom="1440" w:gutter="0" w:footer="0" w:header="0"/>
        </w:sectPr>
      </w:pPr>
    </w:p>
    <w:bookmarkStart w:id="879" w:name="page880"/>
    <w:bookmarkEnd w:id="8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Compensation Committee are expected to be        ,        and        .        is expected to be the Chair of the Compensation Committee. We expect that each member of the Compensation Committee will meet the requirements for independence under the current Nasdaq listing standards and SEC rules and regulations. The responsibilities of the Compensation Committee will be more fully described in the Compensation Committee Charter and will include, among other duties:</w:t>
      </w:r>
    </w:p>
    <w:p>
      <w:pPr>
        <w:spacing w:after="0" w:line="85" w:lineRule="exact"/>
        <w:rPr>
          <w:sz w:val="20"/>
          <w:szCs w:val="20"/>
          <w:color w:val="auto"/>
        </w:rPr>
      </w:pPr>
    </w:p>
    <w:p>
      <w:pPr>
        <w:ind w:left="1080" w:right="100" w:hanging="424"/>
        <w:spacing w:after="0" w:line="282" w:lineRule="auto"/>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compensation and benefits plans and policies generally, including reviewing and approving any equity-based compensation plans and executive incentive compensation plans;</w:t>
      </w:r>
    </w:p>
    <w:p>
      <w:pPr>
        <w:spacing w:after="0" w:line="67" w:lineRule="exact"/>
        <w:rPr>
          <w:rFonts w:ascii="Times New Roman" w:cs="Times New Roman" w:eastAsia="Times New Roman" w:hAnsi="Times New Roman"/>
          <w:sz w:val="18"/>
          <w:szCs w:val="18"/>
          <w:color w:val="auto"/>
        </w:rPr>
      </w:pPr>
    </w:p>
    <w:p>
      <w:pPr>
        <w:ind w:left="1080" w:right="600" w:hanging="424"/>
        <w:spacing w:after="0" w:line="261" w:lineRule="auto"/>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for all of our Section 16 officers, including the Chief Executive Officer, and such other senior executives designated by the committee, his or her (i) annual base salary level, (ii) annual incentive compensation, (iii) long-term incentive compensation, (iv) employment, severance and change-in-control agreements, if any, (v) retirement benefits and (vi) any other compensation, perquisites or special benefit items;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for approval by our Board compensation for our non-employee directors;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programs and strategies related to human capital management, including with respect to talent recruitment, development and retention, employee engagement and workforce composition.</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a report on executive compensation and reviewing the Compensation Discussion and Analysis disclosure that, in each case, are required to be included in our proxy statement;</w:t>
      </w:r>
    </w:p>
    <w:p>
      <w:pPr>
        <w:spacing w:after="0" w:line="67" w:lineRule="exact"/>
        <w:rPr>
          <w:rFonts w:ascii="Times New Roman" w:cs="Times New Roman" w:eastAsia="Times New Roman" w:hAnsi="Times New Roman"/>
          <w:sz w:val="18"/>
          <w:szCs w:val="18"/>
          <w:color w:val="auto"/>
        </w:rPr>
      </w:pPr>
    </w:p>
    <w:p>
      <w:pPr>
        <w:ind w:left="1080" w:right="120" w:hanging="424"/>
        <w:spacing w:after="0" w:line="282" w:lineRule="auto"/>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and assessing whether any risks in our compensation policies and practices for our employees are reasonably likely to have a material adverse effect on Versant;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which shall include a review of any recommendations or issues that arise with respect to compensation and benefit plans and policies, executive compensation, other matters, as well as any other matters that the Compensation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Governance Committee</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members of our Governance Committee are expected to be         ,         and         .         is expected to be the Chair of our Governance Committee. We expect that each member of the Governance Committee will meet the requirements for independence under the current Nasdaq listing standards. The responsibilities of the Governance Committee will be more fully described in our Governance Committee Charter and will include, among other duties:</w:t>
      </w:r>
    </w:p>
    <w:p>
      <w:pPr>
        <w:spacing w:after="0" w:line="85" w:lineRule="exact"/>
        <w:rPr>
          <w:sz w:val="20"/>
          <w:szCs w:val="20"/>
          <w:color w:val="auto"/>
        </w:rPr>
      </w:pPr>
    </w:p>
    <w:p>
      <w:pPr>
        <w:ind w:left="1080" w:right="280" w:hanging="424"/>
        <w:spacing w:after="0" w:line="282" w:lineRule="auto"/>
        <w:tabs>
          <w:tab w:leader="none" w:pos="1080"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criteria for membership for our Board and identify individuals qualified to become Board members, and recommend to our Board director nominees for election;</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reviewing the size and responsibilities of our Board and its committees and recommend any proposed changes to our Board;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to our Board the Corporate Governance Guidelines and Code of Conduct and periodically reviewing and reassessing the adequacy of such Corporate Governance Guidelines and Code of Conduct;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6" w:lineRule="auto"/>
        <w:tabs>
          <w:tab w:leader="none" w:pos="1080"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to our Board periodically, including a review of any recommendations or issues that arise with respect to our Board or committee nominees or membership, Board performance, corporate governance or any other matters that the committee deems appropriate or is requested to be included by our Board.</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Code of Conduct</w:t>
      </w:r>
    </w:p>
    <w:p>
      <w:pPr>
        <w:spacing w:after="0" w:line="121" w:lineRule="exact"/>
        <w:rPr>
          <w:sz w:val="20"/>
          <w:szCs w:val="20"/>
          <w:color w:val="auto"/>
        </w:rPr>
      </w:pPr>
    </w:p>
    <w:p>
      <w:pPr>
        <w:ind w:left="120" w:right="260" w:firstLine="440"/>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our Board will adopt a Code of Conduct that will apply to all of our employees, officers and directors. Upon completion of the Separation, the full text of our Code of Conduct will</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120"/>
          </w:cols>
          <w:pgMar w:left="320" w:top="455" w:right="459" w:bottom="1440" w:gutter="0" w:footer="0" w:header="0"/>
        </w:sectPr>
      </w:pPr>
    </w:p>
    <w:bookmarkStart w:id="880" w:name="page881"/>
    <w:bookmarkEnd w:id="8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be posted on the investor relations section of our website. We intend to satisfy the disclosure requirement under Item 5.05 of Form 8-K by disclosing future amendments to our Code of Conduct, or any waivers of such code, on our website or in public filings.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do not expect any of our executive officers to serve as a member of a compensation committee (or if no committee performs that function, the Board) of any other entity that has an executive officer serving as a member of our Board.</w:t>
      </w:r>
    </w:p>
    <w:p>
      <w:pPr>
        <w:spacing w:after="0" w:line="9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60"/>
          </w:cols>
          <w:pgMar w:left="320" w:top="455" w:right="519" w:bottom="1440" w:gutter="0" w:footer="0" w:header="0"/>
        </w:sectPr>
      </w:pPr>
    </w:p>
    <w:bookmarkStart w:id="881" w:name="page882"/>
    <w:bookmarkEnd w:id="8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information statement, we have identified the following individuals who we expect will be our “named executive officers” or “NEOs” following the Separation:</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7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191"/>
        </w:trPr>
        <w:tc>
          <w:tcPr>
            <w:tcW w:w="3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Lazarus</w:t>
            </w:r>
          </w:p>
        </w:tc>
        <w:tc>
          <w:tcPr>
            <w:tcW w:w="220" w:type="dxa"/>
            <w:vAlign w:val="bottom"/>
          </w:tcPr>
          <w:p>
            <w:pPr>
              <w:spacing w:after="0"/>
              <w:rPr>
                <w:sz w:val="16"/>
                <w:szCs w:val="16"/>
                <w:color w:val="auto"/>
              </w:rPr>
            </w:pPr>
          </w:p>
        </w:tc>
        <w:tc>
          <w:tcPr>
            <w:tcW w:w="71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Chief Operating Officer</w:t>
            </w:r>
          </w:p>
        </w:tc>
      </w:tr>
      <w:tr>
        <w:trPr>
          <w:trHeight w:val="234"/>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198"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As discussed above, Versant is a newly formed Pennsylvania corporation that will hold, directly or indirectly through its subsidiaries, the assets and liabilities comprising the Spin Business. Historically, this business has not been operated as a distinct business unit or division of Comcast. Rather, in connection with the Transactions, the assets and liabilities comprising the Spin Business will be transferred to Versant or its subsidiaries in order to complete the Separation.</w:t>
      </w:r>
    </w:p>
    <w:p>
      <w:pPr>
        <w:spacing w:after="0" w:line="180" w:lineRule="exact"/>
        <w:rPr>
          <w:sz w:val="20"/>
          <w:szCs w:val="20"/>
          <w:color w:val="auto"/>
        </w:rPr>
      </w:pPr>
    </w:p>
    <w:p>
      <w:pPr>
        <w:jc w:val="both"/>
        <w:ind w:left="120" w:right="72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our Compensation Committee will make all decisions with respect to our executive and director compensation programs, policies and practices, which will reflect Versant’s size, operating dynamics, industry peers, business segment, growth opportunities, compliance requirements and business strategy.</w:t>
      </w:r>
    </w:p>
    <w:p>
      <w:pPr>
        <w:spacing w:after="0" w:line="176"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While we have engaged in preliminary discussions regarding our anticipated executive and director compensation programs and policies, we have generally not yet made any final determinations with respect to our executive compensation program following the Separation or the compensation of the individuals who will serve as our executive officers following the Separation, except as specifically noted below.</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Program Overview</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Approach to Executive Compensation</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Our Compensation Committee has not yet been established and therefore has not established a specific set of objectives or principles for our executive compensation program. In designing our executive compensation program, we anticipate that our Compensation Committee will evaluate both our business objectives and the need to attract and retain uniquely talented and experienced individuals who think strategically for the long term, particularly in light of the challenging and evolving competitive and technological environments in which Versant will operate. We anticipate that we will employ a variety of elements that further our shareholders’ interests by securing our executives’ services in an exceedingly competitive talent market and aligning the long-term interests of the executives with the creation of shareholder value.</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Elements of Executive Compensation</w:t>
      </w:r>
    </w:p>
    <w:p>
      <w:pPr>
        <w:spacing w:after="0" w:line="121"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Immediately after the Separation, we anticipate that the primary elements of our executive compensation program will be base salary, annual performance-based cash bonus opportunities, long-term equity incentive compensation and participation in other executive compensation and retirement programs.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Compensation Governance</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Charter</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In anticipation of the Separation, our Board will adopt a written charter for the Compensation Committee that establishes, among other things, the Compensation Committee’s purpose and its responsibilities with respect</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1140"/>
          </w:cols>
          <w:pgMar w:left="320" w:top="455" w:right="439" w:bottom="1440" w:gutter="0" w:footer="0" w:header="0"/>
        </w:sectPr>
      </w:pPr>
    </w:p>
    <w:bookmarkStart w:id="882" w:name="page883"/>
    <w:bookmarkEnd w:id="8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to executive compensation. The charter will provide that the Compensation Committee, among other things, must review and approve executive officer performance and compensation, management development and succession and executive compensation disclosure. See “Management—Board of Directors Committees.”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Role of Compensation Consultants</w:t>
      </w:r>
    </w:p>
    <w:p>
      <w:pPr>
        <w:spacing w:after="0" w:line="121"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We expect that an outside compensation consultant will advise on the design of compensation programs for Versant in connection with the Separation.</w:t>
      </w:r>
    </w:p>
    <w:p>
      <w:pPr>
        <w:spacing w:after="0" w:line="162" w:lineRule="exact"/>
        <w:rPr>
          <w:sz w:val="20"/>
          <w:szCs w:val="20"/>
          <w:color w:val="auto"/>
        </w:rPr>
      </w:pPr>
    </w:p>
    <w:p>
      <w:pPr>
        <w:ind w:left="120" w:right="960" w:firstLine="440"/>
        <w:spacing w:after="0" w:line="282" w:lineRule="auto"/>
        <w:rPr>
          <w:sz w:val="20"/>
          <w:szCs w:val="20"/>
          <w:color w:val="auto"/>
        </w:rPr>
      </w:pPr>
      <w:r>
        <w:rPr>
          <w:rFonts w:ascii="Times New Roman" w:cs="Times New Roman" w:eastAsia="Times New Roman" w:hAnsi="Times New Roman"/>
          <w:sz w:val="18"/>
          <w:szCs w:val="18"/>
          <w:color w:val="auto"/>
        </w:rPr>
        <w:t>After the Separation, we expect that our Compensation Committee will engage an independent compensation consultant to advise on compensation program design in the future.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Agreements with Our Named Executive Officers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Separation, each of Messrs. Lazarus and Kini and Ms. Fasbender has entered into a new employment agreement with Versant Media, LLC, a newly formed Pennsylvania limited liability company that is currently a wholly-owned subsidiary of Comcast but will become a wholly-owned subsidiary of Versant effective on the Distribution Date. The employment agreements for Messrs. Lazarus and Kini and Ms. Fasbender will become effective on the Distribution Date. Each of these agreements provide for an initial term of employment of four years (or, in the case of Mr. Kini, five years) from the Distribution Date.</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Each of the NEO’s employment agreements provides for the payment of an initial base salary equal to $2,500,000 for Mr. Lazarus, $2,266,000 for</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Mr. Kini and $1,000,000 for Ms. Fasbender. Each of the NEOs will also be eligible to receive an annual performance bonus with an annual target bonus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equal to, for Mr. Lazarus, 300% of his base salary, for Mr. Kini, 200% of his base salary, and for Ms. Fasbender, 120% of her base salary. The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agreements will also provide for annual equity awards under our long-term incentive plan with an annual target grant date fair market value of</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$12,500,000 for Mr. Lazarus, $6,400,000 for Mr. Kini and $2,000,000 for Ms. Fasbender. In addition, the agreements provide for an initial equity award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with respect to Versant common stock under the Omnibus Plan (as defined below) in the form of time-vesting restricted stock units (“RSUs”)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performance-vesting restricted stock units with a grant date fair market value of $12,500,000 for Mr. Lazarus, $7,500,000 for Mr. Kini and $1,000,000</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for Ms. Fasbender (the “Founders Grants”).</w:t>
      </w:r>
    </w:p>
    <w:p>
      <w:pPr>
        <w:spacing w:after="0" w:line="207" w:lineRule="exact"/>
        <w:rPr>
          <w:sz w:val="20"/>
          <w:szCs w:val="20"/>
          <w:color w:val="auto"/>
        </w:rPr>
      </w:pPr>
    </w:p>
    <w:p>
      <w:pPr>
        <w:ind w:left="120" w:right="340" w:firstLine="440"/>
        <w:spacing w:after="0" w:line="277" w:lineRule="auto"/>
        <w:rPr>
          <w:sz w:val="20"/>
          <w:szCs w:val="20"/>
          <w:color w:val="auto"/>
        </w:rPr>
      </w:pPr>
      <w:r>
        <w:rPr>
          <w:rFonts w:ascii="Times New Roman" w:cs="Times New Roman" w:eastAsia="Times New Roman" w:hAnsi="Times New Roman"/>
          <w:sz w:val="17"/>
          <w:szCs w:val="17"/>
          <w:color w:val="auto"/>
        </w:rPr>
        <w:t>Under their employment agreements, our NEOs have agreed not to solicit our employees or exclusive service providers for one year after termination of their employment for any reason. Each NEO has also agreed to maintain the confidentiality of our information and not to use such information, except for our benefit, at all times during and after their employment with us. In the case of Messrs. Lazarus and Kini (but not Ms. Fasbender), in the event an NEO’s employment is terminated for “cause” or if an NEO resigns from employment without “good reason” (each as defined in the NEO’s agreement), Messrs. Lazarus and Kini have agreed not to compete with us for one year after termination of their employment.</w:t>
      </w:r>
    </w:p>
    <w:p>
      <w:pPr>
        <w:spacing w:after="0" w:line="168"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If an NEO’s employment is terminated by us without cause or by the NEO for “good reason,” subject to an NEO’s timely execution and non-revocation of a release of claims, such NEO is entitled to the following benefits:</w:t>
      </w:r>
    </w:p>
    <w:p>
      <w:pPr>
        <w:spacing w:after="0" w:line="67" w:lineRule="exact"/>
        <w:rPr>
          <w:sz w:val="20"/>
          <w:szCs w:val="20"/>
          <w:color w:val="auto"/>
        </w:rPr>
      </w:pPr>
    </w:p>
    <w:p>
      <w:pPr>
        <w:ind w:left="1080" w:hanging="424"/>
        <w:spacing w:after="0"/>
        <w:tabs>
          <w:tab w:leader="none" w:pos="108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base salary payments for two years following the NEO’s termination date;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entitlement to receive the NEO’s annual target bonus payments for the two year period following the NEO’s termination date (with the prorated bonus relating to the portion of the relevant bonus year elapsed prior to the termination date calculated based on actual achievement of the applicable performance criteria);</w:t>
      </w:r>
    </w:p>
    <w:p>
      <w:pPr>
        <w:spacing w:after="0" w:line="81"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vesting of unvested equity outstanding as of the NEO’s termination date for two years following the termination date (other than the Founders Grant) and, to the extent applicable, continued vesting of all Converted Versant RSUs until such Converted Versant RSUs fully vest; and</w:t>
      </w:r>
    </w:p>
    <w:p>
      <w:pPr>
        <w:spacing w:after="0" w:line="81"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in the benefit plans and programs available to similarly-situated employees for two years following the NEO’s termination date.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80"/>
          </w:cols>
          <w:pgMar w:left="320" w:top="455" w:right="499" w:bottom="1440" w:gutter="0" w:footer="0" w:header="0"/>
        </w:sectPr>
      </w:pPr>
    </w:p>
    <w:bookmarkStart w:id="883" w:name="page884"/>
    <w:bookmarkEnd w:id="8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Equity Compensation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121"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intend to adopt the Versant Omnibus Equity Incentive Plan (the “Omnibus Plan”), a long-term equity incentive plan under which we expect to grant equity incentive awards (which may include awards of restricted stock units, performance stock units, stock options and other equity incentive awards) to our senior executives (including our NEOs), non-employee directors and other employees. The Compensation Committee, in consultation with its compensation consultant, will review performance metrics, vesting and other terms and conditions it determines are appropriate for us considering our business goals and objectives as well as practices at our peer group companies and the broader market. For a summary of the terms of the Omnibus Plan, see “—The Omnibus Plan.”</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Treatment of Equity Awards Upon Separation</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Separation, outstanding Comcast Equity Awards, including Comcast Equity Awards held by our NEOs, will be equitably adjusted in accordance with the terms of the Comcast equity incentive plans. Specifically, we intend that, in connection with the Separation, outstanding Comcast Equity Awards will generally be adjusted as follows:</w:t>
      </w:r>
    </w:p>
    <w:p>
      <w:pPr>
        <w:spacing w:after="0" w:line="81" w:lineRule="exact"/>
        <w:rPr>
          <w:sz w:val="20"/>
          <w:szCs w:val="20"/>
          <w:color w:val="auto"/>
        </w:rPr>
      </w:pPr>
    </w:p>
    <w:p>
      <w:pPr>
        <w:ind w:left="1080" w:right="40" w:hanging="424"/>
        <w:spacing w:after="0" w:line="253" w:lineRule="auto"/>
        <w:tabs>
          <w:tab w:leader="none" w:pos="1080" w:val="left"/>
        </w:tabs>
        <w:numPr>
          <w:ilvl w:val="0"/>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Comcast RSUs held by individuals who will continue to be employed by, or provide services to, Comcast or its subsidiaries following the Separation, as well as former employees of Comcast or its subsidiaries (including former employees of Comcast who last primarily provided services to the Spin Business), will be converted into an award of adjusted Comcast RSUs (the “Adjusted Comcast RSUs”), with the number of shares of Comcast Class A common stock subject to such Adjusted Comcast RSU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“Comcast Concentration Ratio”), rounded down to the nearest whole share of Comcast Class A common stock. Such Adjusted Comcast RSUs will otherwise be subject to the same terms and conditions (including vesting and payment schedules and, if applicable, deferral elections) as applied to the corresponding Comcast RSU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hanging="424"/>
        <w:spacing w:after="0" w:line="253" w:lineRule="auto"/>
        <w:tabs>
          <w:tab w:leader="none" w:pos="1080" w:val="left"/>
        </w:tabs>
        <w:numPr>
          <w:ilvl w:val="0"/>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Excluded Comcast RSUs (as described below), outstanding Comcast RSUs held by any individual who is then-currently employed by or otherwise providing services to us or our subsidiaries (after giving effect to the Separation) or whose employment or engagement will otherwise be transferred to us or our subsidiaries prior to the Separation (such individuals, the “Versant Participants”) will be converted into an award of restricted stock units with respect to Versant Class A common stock (the “Converted Versant RSUs”), with the number of shares of Versant Class A common stock subject to such Converted Versant RSUs being determined by multiplying (i) the number of shares of Comcast Class A common stock subject to the corresponding Comcast RSU immediately prior to the Distribution Date by (ii) a conversion ratio that will be determined by the Comcast Board prior to the Distribution in accordance with the terms of the Comcast equity incentive plans (the “Versant Concentration Ratio”), rounded down to the nearest whole share of our Class A common stock. Such Converted Versant RSUs will otherwise be subject to the same terms and conditions (including vesting and payment schedules) as applied to the corresponding Comcast RSUs as of immediately prior to the Distribution Date;</w:t>
      </w:r>
    </w:p>
    <w:p>
      <w:pPr>
        <w:spacing w:after="0" w:line="99" w:lineRule="exact"/>
        <w:rPr>
          <w:rFonts w:ascii="Times New Roman" w:cs="Times New Roman" w:eastAsia="Times New Roman" w:hAnsi="Times New Roman"/>
          <w:sz w:val="18"/>
          <w:szCs w:val="18"/>
          <w:color w:val="auto"/>
        </w:rPr>
      </w:pPr>
    </w:p>
    <w:p>
      <w:pPr>
        <w:ind w:left="1080" w:right="200" w:hanging="424"/>
        <w:spacing w:after="0" w:line="258" w:lineRule="auto"/>
        <w:tabs>
          <w:tab w:leader="none" w:pos="1080" w:val="left"/>
        </w:tabs>
        <w:numPr>
          <w:ilvl w:val="0"/>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Comcast RSUs that are held by Versant Participants that are scheduled to vest during the period between the Distribution Date and March 3, 2026 (collectively, the “Excluded Comcast RSUs”) will be converted into an award of Adjusted Comcast RSUs, with the number of shares of Comcast Class A common stock subject to such Adjusted Comcast RSU being determined multiplying (i) the number of shares of Comcast Class A common stock subject to the corresponding Excluded Comcast RSU immediately prior to the Distribution Date by (ii) the Comcast Concentration Ratio, rounded down to the nearest whole share of Comcast Class A common stock.</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140"/>
          </w:cols>
          <w:pgMar w:left="320" w:top="455" w:right="439" w:bottom="1440" w:gutter="0" w:footer="0" w:header="0"/>
        </w:sectPr>
      </w:pPr>
    </w:p>
    <w:bookmarkStart w:id="884" w:name="page885"/>
    <w:bookmarkEnd w:id="8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line="253" w:lineRule="auto"/>
        <w:tabs>
          <w:tab w:leader="none" w:pos="1080" w:val="left"/>
        </w:tabs>
        <w:numPr>
          <w:ilvl w:val="0"/>
          <w:numId w:val="1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and unexercised Comcast Options (regardless of whom held by) will be converted into an award of adjusted Comcast Options (the “Adjusted Comcast Options”), with (i) the number of shares of Comcast Class A common stock subject to such Adjusted Comcast Options being determined by multiplying (a) the number of shares of Comcast Class A common stock subject to the corresponding Comcast Option of such corresponding Comcast Option, as applicable, immediately prior to the Distribution Date by (b) the Comcast Concentration Ratio, rounded down to the nearest whole share of Comcast Class A common stock and (ii) the exercise price applicable to such Adjusted Comcast Options being determined by dividing (a) the exercise price per share applicable to the corresponding Comcast Option as of immediately prior to the Distribution by (b) the Comcast Concentration Ratio, rounded up to the nearest whole cent. Such Adjusted Comcast Options will remain subject to the same terms and conditions (including vesting, exercise schedules, forfeiture and post-termination vesting and exercise periods) as applicable to the corresponding Comcast Option as of immediately prior to the Distribution Date, except that any service-based vesting conditions applicable to any Adjusted Comcast Options held by individuals who are then-currently employed by or otherwise providing services to us or our subsidiaries (after giving effect to the Separation) or whose employment or engagement will be transferred to us or our subsidiaries prior to the Separation will continue to be satisfied by service to us or any of our subsidiaries following the Distribution Date; and</w:t>
      </w:r>
    </w:p>
    <w:p>
      <w:pPr>
        <w:spacing w:after="0" w:line="92" w:lineRule="exact"/>
        <w:rPr>
          <w:rFonts w:ascii="Times New Roman" w:cs="Times New Roman" w:eastAsia="Times New Roman" w:hAnsi="Times New Roman"/>
          <w:sz w:val="18"/>
          <w:szCs w:val="18"/>
          <w:color w:val="auto"/>
        </w:rPr>
      </w:pPr>
    </w:p>
    <w:p>
      <w:pPr>
        <w:ind w:left="1080" w:right="60" w:hanging="424"/>
        <w:spacing w:after="0" w:line="256" w:lineRule="auto"/>
        <w:tabs>
          <w:tab w:leader="none" w:pos="1080" w:val="left"/>
        </w:tabs>
        <w:numPr>
          <w:ilvl w:val="0"/>
          <w:numId w:val="1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Comcast Equity Awards held by employees who are intended to transfer to us or our subsidiaries following the Distribution Date (including in connection with any transition services) will be treated in the same manner as the Comcast Equity Awards held by other Comcast Equity Award holders on the Distribution Date as described above, and upon the transfer of their employment to Versant or its subsidiaries following the Separation, any Comcast Equity Awards held by such employees will be treated in accordance with the terms of the applicable award agreements evidencing such employee’s Comcast Equity Awards or any employment, separation or retirement agreements or arrangements by and between such employee and Comcast or its subsidiaries.</w:t>
      </w:r>
    </w:p>
    <w:p>
      <w:pPr>
        <w:spacing w:after="0" w:line="187"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As of           , 2025, Versant Participants held Comcast RSUs with respect to approximately shares of Comcast Class A common stock that, to the extent outstanding as of the Separation, would be subject to conversion into Converted Versant RSUs in accordance with the adjustment methodology described above. However, the actual number of shares of Versant Class A common stock that may ultimately become issuable upon the vesting of Converted Versant RSUs will depend on a number of factors that are not presently determinable, including, without limitation, the number of outstanding Comcast RSUs (other than Excluded Comcast RSUs) held by Versant Participants as of the Separation, the Comcast Conversion Ratio and the Versant Conversion Ratio.</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 Compensation Policies and Considerations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Clawbacks and Other Remedies for Potential Misconduct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connection with the Separation, Versant will adopt a clawback policy as required under stock exchange listing rules.</w:t>
      </w:r>
    </w:p>
    <w:p>
      <w:pPr>
        <w:spacing w:after="0" w:line="3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 and Prohibitions on Hedging and Pledging</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To help ensure that our executive officers and directors will not trade in our securities at a time when they may be aware of material, nonpublic information, we intend to adopt a policy requiring that trading by executive officers and directors may occur only outside of specified blackout periods and consistent with specified procedures. We also intend to adopt policies that would prohibit our executive officers and directors from using any strategies or products to hedge against potential changes in the value of our stock and holding our stock in margin accounts or pledging our stock as collateral for a loan.</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120"/>
          </w:cols>
          <w:pgMar w:left="320" w:top="455" w:right="459" w:bottom="1440" w:gutter="0" w:footer="0" w:header="0"/>
        </w:sectPr>
      </w:pPr>
    </w:p>
    <w:bookmarkStart w:id="885" w:name="page886"/>
    <w:bookmarkEnd w:id="8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Benefit Plans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Following the Separation, we anticipate that the Compensation Committee and our management team will determine the appropriate employee benefit plans and arrangements, including qualified retirement plans and health and welfare benefit plans for us to adopt as a newly established, standalone public company.</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and Accounting Considerations</w:t>
      </w:r>
    </w:p>
    <w:p>
      <w:pPr>
        <w:spacing w:after="0" w:line="229"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When reviewing compensation matters, the Compensation Committee will consider the anticipated tax and accounting consequences to us of payments under our executive compensation program. Section 162(m) of the Code generally limits the tax deductibility of annual compensation paid by public companies for certain executive officers to $1 million. In the exercise of its business judgment and in accordance with its compensation philosophy, the Compensation Committee will have the flexibility to award compensation that is not tax deductible if it determines that such award is in our shareholders’ best interests.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Omnibus Plan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Prior to the Separation, we intend to adopt the Omnibus Plan, subject to approval of our Board and Comcast, as our sole stockholder.</w:t>
      </w:r>
    </w:p>
    <w:p>
      <w:pPr>
        <w:spacing w:after="0" w:line="225"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A summary of the Omnibus Plan is set forth below. This summary does not purport to be complete and is intended only to provide a general description of certain material terms of the Omnibus Plan. Capitalized terms used in this summary that are not otherwise defined have the respective meanings given such terms in the Omnibus Plan.</w:t>
      </w:r>
    </w:p>
    <w:p>
      <w:pPr>
        <w:spacing w:after="0" w:line="172" w:lineRule="exact"/>
        <w:rPr>
          <w:sz w:val="20"/>
          <w:szCs w:val="20"/>
          <w:color w:val="auto"/>
        </w:rPr>
      </w:pPr>
    </w:p>
    <w:p>
      <w:pPr>
        <w:ind w:left="120" w:right="6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color w:val="auto"/>
        </w:rPr>
        <w:t>. The purpose of the Omnibus Plan is to promote our ability to recruit and retain employees and other eligible service providers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enhance the growth and profitability of the Company by providing the incentive of long-term awards for continued employment or other service and the attainment of performance objectives.</w:t>
      </w:r>
    </w:p>
    <w:p>
      <w:pPr>
        <w:spacing w:after="0" w:line="171"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Administration</w:t>
      </w:r>
      <w:r>
        <w:rPr>
          <w:rFonts w:ascii="Times New Roman" w:cs="Times New Roman" w:eastAsia="Times New Roman" w:hAnsi="Times New Roman"/>
          <w:sz w:val="18"/>
          <w:szCs w:val="18"/>
          <w:color w:val="auto"/>
        </w:rPr>
        <w:t>. The Omnibus Plan will be administered by the Compensation Committee or any other committee or subcommittee that may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designated by our Board (the “Administrator”). The Administrator will have full power, authority and discretion to administer the Omnibus Plan, subject to the provisions of the Omnibus Plan, including the authority to designate participants, grant awards and determine the terms thereof, amend the terms and conditions of outstanding awards, interpret and administer the Omnibus Plan and establish, amend, suspend or waive rules and regulations for the proper administration of the Omnibus Plan. All determinations made by the Administrator will be final and binding. The Administrator may delegate its authority under the Omnibus Plan to one or more persons or committees, subject to the terms of the Omnibus Plan and applicable law.</w:t>
      </w:r>
    </w:p>
    <w:p>
      <w:pPr>
        <w:spacing w:after="0" w:line="182" w:lineRule="exact"/>
        <w:rPr>
          <w:sz w:val="20"/>
          <w:szCs w:val="20"/>
          <w:color w:val="auto"/>
        </w:rPr>
      </w:pPr>
    </w:p>
    <w:p>
      <w:pPr>
        <w:ind w:left="12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color w:val="auto"/>
        </w:rPr>
        <w:t>. Employees (including prospective employees who have accepted offers of employment), nonemployee directors and other advisors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 providers of the Company and its subsidiaries will be eligible to receive awards under the Omnibus Plan. From time to time, the Administrator will determine who will be granted awards, the number of shares subject to such grants and all other terms of awards. The basis for participation in the Omnibus Plan is the Administrator’s (or its authorized delegate’s) decision, in its sole discretion, that an award to an eligible participant will further the Omnibus Plan’s purposes as described above. In exercising its discretion, the Administrator (or its delegate) will consider the recommendations of management and the purposes of the Omnibus Plan.</w:t>
      </w:r>
    </w:p>
    <w:p>
      <w:pPr>
        <w:spacing w:after="0" w:line="182" w:lineRule="exact"/>
        <w:rPr>
          <w:sz w:val="20"/>
          <w:szCs w:val="20"/>
          <w:color w:val="auto"/>
        </w:rPr>
      </w:pPr>
    </w:p>
    <w:p>
      <w:pPr>
        <w:ind w:left="120" w:right="20" w:firstLine="4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Shares Available for Issuance</w:t>
      </w:r>
      <w:r>
        <w:rPr>
          <w:rFonts w:ascii="Times New Roman" w:cs="Times New Roman" w:eastAsia="Times New Roman" w:hAnsi="Times New Roman"/>
          <w:sz w:val="18"/>
          <w:szCs w:val="18"/>
          <w:color w:val="auto"/>
        </w:rPr>
        <w:t>. Subject to adjustment as described below and except for “substitute awards” (i.e., awards granted in assumption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substitution of awards previously granted by an acquired company), the maximum number of shares of Versant Class A common stock available for issuance under the Omnibus Plan</w:t>
      </w:r>
    </w:p>
    <w:p>
      <w:pPr>
        <w:spacing w:after="0" w:line="10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120"/>
          </w:cols>
          <w:pgMar w:left="320" w:top="455" w:right="459" w:bottom="1440" w:gutter="0" w:footer="0" w:header="0"/>
        </w:sectPr>
      </w:pPr>
    </w:p>
    <w:bookmarkStart w:id="886" w:name="page887"/>
    <w:bookmarkEnd w:id="8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will be equal to        % of the total outstanding shares of Versant Class A common stock on a fully-diluted basis as of the Distribution Date (the “Share Pool”) plus shares of Versant Class A common stock issuable upon the settlement of “converted awards” (i.e., Comcast RSUs that are converted into Converted Versant RSUs under the Omnibus Plan in connection with the Distribution in accordance with the terms of the Employee Matters Agreement). The maximum number of shares of Versant Class A common stock available for issuance with respect to incentive stock options (“ISOs”) will be equal to the Share Pool.</w:t>
      </w:r>
    </w:p>
    <w:p>
      <w:pPr>
        <w:spacing w:after="0" w:line="183" w:lineRule="exact"/>
        <w:rPr>
          <w:sz w:val="20"/>
          <w:szCs w:val="20"/>
          <w:color w:val="auto"/>
        </w:rPr>
      </w:pPr>
    </w:p>
    <w:p>
      <w:pPr>
        <w:ind w:left="120" w:right="280" w:firstLine="440"/>
        <w:spacing w:after="0" w:line="312" w:lineRule="auto"/>
        <w:rPr>
          <w:sz w:val="20"/>
          <w:szCs w:val="20"/>
          <w:color w:val="auto"/>
        </w:rPr>
      </w:pPr>
      <w:r>
        <w:rPr>
          <w:rFonts w:ascii="Times New Roman" w:cs="Times New Roman" w:eastAsia="Times New Roman" w:hAnsi="Times New Roman"/>
          <w:sz w:val="17"/>
          <w:szCs w:val="17"/>
          <w:color w:val="auto"/>
        </w:rPr>
        <w:t>Shares covered by awards which are forfeited, expired, terminated or lapsed and shares withheld to satisfy tax withholding obligations or stock option exercise prices will again be available for grant under the Omnibus Plan, in each case, except for converted awards and substitute awards.</w:t>
      </w:r>
    </w:p>
    <w:p>
      <w:pPr>
        <w:spacing w:after="0" w:line="136"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Adjustments</w:t>
      </w:r>
      <w:r>
        <w:rPr>
          <w:rFonts w:ascii="Times New Roman" w:cs="Times New Roman" w:eastAsia="Times New Roman" w:hAnsi="Times New Roman"/>
          <w:sz w:val="18"/>
          <w:szCs w:val="18"/>
          <w:color w:val="auto"/>
        </w:rPr>
        <w:t>. In the event of certain corporate transactions or events affecting the shares, or of changes in applicable laws, regulations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accounting principles where the Administrator determines, as a result of such circumstance, an adjustment is necessary in order to prevent dilution or enlargement of the benefits or potential benefits intended to be made available under the Omnibus Plan, then the Administrator will, subject to applicable law and so as to ensure no undue enrichment or harm (including by payment of cash), adjust equitably any or all of: (i) the number and type of shares (or other securities) which thereafter may be made the subject of awards, including the aggregate limits on shares and ISOs available for issuance under the Omnibus Plan; (ii) the number and type of shares (or other securities) subject to outstanding awards; (iii) the exercise price with respect to any stock option award; and (iv) the terms and conditions of any outstanding awards, including the performance criteria of any performance awards.</w:t>
      </w:r>
    </w:p>
    <w:p>
      <w:pPr>
        <w:spacing w:after="0" w:line="185" w:lineRule="exact"/>
        <w:rPr>
          <w:sz w:val="20"/>
          <w:szCs w:val="20"/>
          <w:color w:val="auto"/>
        </w:rPr>
      </w:pPr>
    </w:p>
    <w:p>
      <w:pPr>
        <w:ind w:left="120" w:right="160" w:firstLine="440"/>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Summary of Award Types</w:t>
      </w:r>
      <w:r>
        <w:rPr>
          <w:rFonts w:ascii="Times New Roman" w:cs="Times New Roman" w:eastAsia="Times New Roman" w:hAnsi="Times New Roman"/>
          <w:sz w:val="18"/>
          <w:szCs w:val="18"/>
          <w:color w:val="auto"/>
        </w:rPr>
        <w:t>. The Omnibus Plan permits the grant of nonqualified stock options and ISOs (“stock options”), stock appreciation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rights (“SARs”), restricted stock, RSUs, performance awards and other stock-based awards. In addition, the Omnibus Plan provides for the grant of converted awards as a result of the adjustment and conversion of Comcast RSUs into Converted Versant RSUs at the Distribution pursuant to the Employee Matters Agreement. The terms and conditions of the Omnibus Plan will apply to Converted Versant RSUs only to the extent that such terms and conditions are not inconsistent with the terms of the Employee Matters Agreement and the terms of the applicable Converted Versant RSUs, as contemplated by the Employee Matters Agreement.</w:t>
      </w:r>
    </w:p>
    <w:p>
      <w:pPr>
        <w:spacing w:after="0" w:line="186" w:lineRule="exact"/>
        <w:rPr>
          <w:sz w:val="20"/>
          <w:szCs w:val="20"/>
          <w:color w:val="auto"/>
        </w:rPr>
      </w:pPr>
    </w:p>
    <w:p>
      <w:pPr>
        <w:jc w:val="both"/>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The exercise price of stock options and SARs (other than with respect to substitute awards) may not be less than the fair market value of a share on the grant date. Any outstanding and vested stock options and SARs with an exercise or strike price that exceeds the fair market value of a share will be automatically deemed exercised on the last day of the term of such stock option or SAR in accordance with the terms and conditions of the Omnibus Plan.</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The Administrator may grant other share-based awards, subject to the provisions of the Omnibus Plan and limitations imposed under applicable law. Other share-based awards may include rights convertible into shares, purchase rights, dividend rights or dividend equivalents or awards with value and payment contingent upon performance.</w:t>
      </w:r>
    </w:p>
    <w:p>
      <w:pPr>
        <w:spacing w:after="0" w:line="172"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Dividends and Dividend Equivalents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for the payment of dividends, dividend equivalents or other distributions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of restricted stock or RSUs, including performance-based RSUs, provided that no such distributions will be paid with respect to any award that has not vested. No stock option or SAR may be accompanied by an award of dividend equivalents or provide for the payment of dividends or dividend equivalents on such award.</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Under the Omnibus Plan, in the event of a “change in control” (as such term will be defined under the Omnibus Plan) the</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Administrator may take any one or more of the following actions, as described in more detail in the Omnibus Plan:</w:t>
      </w:r>
    </w:p>
    <w:p>
      <w:pPr>
        <w:spacing w:after="0" w:line="112" w:lineRule="exact"/>
        <w:rPr>
          <w:sz w:val="20"/>
          <w:szCs w:val="20"/>
          <w:color w:val="auto"/>
        </w:rPr>
      </w:pPr>
    </w:p>
    <w:p>
      <w:pPr>
        <w:ind w:left="5480" w:right="4120" w:hanging="4824"/>
        <w:spacing w:after="0" w:line="454" w:lineRule="auto"/>
        <w:tabs>
          <w:tab w:leader="none" w:pos="1079" w:val="left"/>
        </w:tabs>
        <w:numPr>
          <w:ilvl w:val="0"/>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the continuation, assumption, substitution or replacement of an award; 109</w:t>
      </w:r>
    </w:p>
    <w:p>
      <w:pPr>
        <w:sectPr>
          <w:pgSz w:w="11900" w:h="16838" w:orient="portrait"/>
          <w:cols w:equalWidth="0" w:num="1">
            <w:col w:w="11120"/>
          </w:cols>
          <w:pgMar w:left="320" w:top="455" w:right="459" w:bottom="1440" w:gutter="0" w:footer="0" w:header="0"/>
        </w:sectPr>
      </w:pPr>
    </w:p>
    <w:bookmarkStart w:id="887" w:name="page888"/>
    <w:bookmarkEnd w:id="8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424"/>
        <w:spacing w:after="0" w:line="266" w:lineRule="auto"/>
        <w:tabs>
          <w:tab w:leader="none" w:pos="1080" w:val="left"/>
        </w:tabs>
        <w:numPr>
          <w:ilvl w:val="0"/>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of an award either (i) immediately prior to the date of the change in control, (ii) upon the participant’s involuntary termination of service within a specified period following the change in control or (iii) upon the failure of the surviving entity to continue or assume such award;</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awards subject to performance-related vesting conditions, determine the level of attainment of the applicable performance conditions; and</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such award in consideration for a payment (subject to the terms and conditions of the Omnibus Plan), including cancelling any underwater stock options or SARs for no consideration.</w:t>
      </w:r>
    </w:p>
    <w:p>
      <w:pPr>
        <w:spacing w:after="0" w:line="158" w:lineRule="exact"/>
        <w:rPr>
          <w:sz w:val="20"/>
          <w:szCs w:val="20"/>
          <w:color w:val="auto"/>
        </w:rPr>
      </w:pPr>
    </w:p>
    <w:p>
      <w:pPr>
        <w:jc w:val="both"/>
        <w:ind w:left="120" w:right="260" w:firstLine="44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Transferability of Awards</w:t>
      </w:r>
      <w:r>
        <w:rPr>
          <w:rFonts w:ascii="Times New Roman" w:cs="Times New Roman" w:eastAsia="Times New Roman" w:hAnsi="Times New Roman"/>
          <w:sz w:val="17"/>
          <w:szCs w:val="17"/>
          <w:color w:val="auto"/>
        </w:rPr>
        <w:t>. No award will be transferable by a participant other than by will or to the participant’s designated beneficiaries,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during a participant’s lifetime each award will be exercisable only by such participant or, subject to applicable law, by such participant’s guardian or legal representative, provided that the Administrator may permit transfers of awards without consideration to a participant’s family members.</w:t>
      </w:r>
    </w:p>
    <w:p>
      <w:pPr>
        <w:spacing w:after="0" w:line="153" w:lineRule="exact"/>
        <w:rPr>
          <w:sz w:val="20"/>
          <w:szCs w:val="20"/>
          <w:color w:val="auto"/>
        </w:rPr>
      </w:pPr>
    </w:p>
    <w:p>
      <w:pPr>
        <w:ind w:left="120" w:right="500" w:firstLine="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color w:val="auto"/>
        </w:rPr>
        <w:t>. Awards granted under the Omnibus Plan will be subject to any clawback or recoupment arrangement or policy we have in place,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any clawback policy adopted to comply with the SEC’s recent clawback rules implementing Section 10D of the Exchange Act.</w:t>
      </w:r>
    </w:p>
    <w:p>
      <w:pPr>
        <w:spacing w:after="0" w:line="155" w:lineRule="exact"/>
        <w:rPr>
          <w:sz w:val="20"/>
          <w:szCs w:val="20"/>
          <w:color w:val="auto"/>
        </w:rPr>
      </w:pPr>
    </w:p>
    <w:p>
      <w:pPr>
        <w:ind w:left="120" w:right="180" w:firstLine="44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No Repricing</w:t>
      </w:r>
      <w:r>
        <w:rPr>
          <w:rFonts w:ascii="Times New Roman" w:cs="Times New Roman" w:eastAsia="Times New Roman" w:hAnsi="Times New Roman"/>
          <w:sz w:val="17"/>
          <w:szCs w:val="17"/>
          <w:color w:val="auto"/>
        </w:rPr>
        <w:t>. Except in the event of certain corporate transactions (as described above), the Administrator may not, without shareholder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approval, reprice any previously granted “underwater” stock option, SAR or similar award, including by cancellation and regrant or any other method.</w:t>
      </w:r>
    </w:p>
    <w:p>
      <w:pPr>
        <w:spacing w:after="0" w:line="132"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the Omnibus Plan</w:t>
      </w:r>
      <w:r>
        <w:rPr>
          <w:rFonts w:ascii="Times New Roman" w:cs="Times New Roman" w:eastAsia="Times New Roman" w:hAnsi="Times New Roman"/>
          <w:sz w:val="18"/>
          <w:szCs w:val="18"/>
          <w:color w:val="auto"/>
        </w:rPr>
        <w:t>. Except to the extent prohibited by applicable law and unless otherwise expressly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 award agreement or in the Omnibus Plan, our Board or the Compensation Committee may amend or terminate the Omnibus Plan or any portion thereof at any time. However, no such amendment or termination will be made without (i) shareholder approval if such approval is required by applicable law or the rules of an applicable stock market or exchange or (ii) subject to certain provisions of the Omnibus Plan, the consent of the affected participant if such action would materially adversely affect the rights of such participant under any outstanding award. The Administrator may waive any conditions or rights under, amend any terms of, or terminate any award without the consent of any relevant participant; provided, however, that, subject to certain provisions of the Omnibus Plan, no such action will materially adversely affect the rights of any affected participant under such award.</w:t>
      </w:r>
    </w:p>
    <w:p>
      <w:pPr>
        <w:spacing w:after="0" w:line="185" w:lineRule="exact"/>
        <w:rPr>
          <w:sz w:val="20"/>
          <w:szCs w:val="20"/>
          <w:color w:val="auto"/>
        </w:rPr>
      </w:pPr>
    </w:p>
    <w:p>
      <w:pPr>
        <w:jc w:val="center"/>
        <w:ind w:left="880"/>
        <w:spacing w:after="0" w:line="458" w:lineRule="auto"/>
        <w:rPr>
          <w:sz w:val="20"/>
          <w:szCs w:val="20"/>
          <w:color w:val="auto"/>
        </w:rPr>
      </w:pPr>
      <w:r>
        <w:rPr>
          <w:rFonts w:ascii="Times New Roman" w:cs="Times New Roman" w:eastAsia="Times New Roman" w:hAnsi="Times New Roman"/>
          <w:sz w:val="18"/>
          <w:szCs w:val="18"/>
          <w:b w:val="1"/>
          <w:bCs w:val="1"/>
          <w:i w:val="1"/>
          <w:iCs w:val="1"/>
          <w:color w:val="auto"/>
        </w:rPr>
        <w:t>Term of the Omnibus Plan</w:t>
      </w:r>
      <w:r>
        <w:rPr>
          <w:rFonts w:ascii="Times New Roman" w:cs="Times New Roman" w:eastAsia="Times New Roman" w:hAnsi="Times New Roman"/>
          <w:sz w:val="18"/>
          <w:szCs w:val="18"/>
          <w:color w:val="auto"/>
        </w:rPr>
        <w:t>. The Omnibus Plan will terminate on the tenth anniversary of its effective date, unless earlier terminated by our Board.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110</w:t>
      </w:r>
    </w:p>
    <w:p>
      <w:pPr>
        <w:sectPr>
          <w:pgSz w:w="11900" w:h="16838" w:orient="portrait"/>
          <w:cols w:equalWidth="0" w:num="1">
            <w:col w:w="11120"/>
          </w:cols>
          <w:pgMar w:left="320" w:top="455" w:right="459" w:bottom="1440" w:gutter="0" w:footer="0" w:header="0"/>
        </w:sectPr>
      </w:pPr>
    </w:p>
    <w:bookmarkStart w:id="888" w:name="page889"/>
    <w:bookmarkEnd w:id="8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We describe below transactions and series of similar transactions, during our last three fiscal years or currently proposed, to which we were a party or will be a party, in which:</w:t>
      </w:r>
    </w:p>
    <w:p>
      <w:pPr>
        <w:spacing w:after="0" w:line="67" w:lineRule="exact"/>
        <w:rPr>
          <w:sz w:val="20"/>
          <w:szCs w:val="20"/>
          <w:color w:val="auto"/>
        </w:rPr>
      </w:pPr>
    </w:p>
    <w:p>
      <w:pPr>
        <w:ind w:left="1080" w:hanging="424"/>
        <w:spacing w:after="0"/>
        <w:tabs>
          <w:tab w:leader="none" w:pos="1080" w:val="left"/>
        </w:tabs>
        <w:numPr>
          <w:ilvl w:val="0"/>
          <w:numId w:val="1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involved exceeded or will exceed $120,000; and</w:t>
      </w:r>
    </w:p>
    <w:p>
      <w:pPr>
        <w:spacing w:after="0" w:line="130"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our directors, executive officers or beneficial holders of more than 5% of any class of our capital stock had or will have a direct or indirect material interest.</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Other than as described below, there have not been, nor are there any currently proposed, transactions or series of similar transactions meeting this criteria to which we have been or will be a party other than compensation arrangements, which are described where required under “Management— Board of Directors Structure,” “Management—Compensation of Directors” and “Compensation Discussion and Analysis.”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Separation from Comcast</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The Separation will be accomplished by Comcast distributing all of its shares of Versant common stock to holders of Comcast common stock entitled to such distribution, as described in “The Separation” included elsewhere in this information statement. Completion of the Separation will be subject to satisfaction or waiver by Comcast of the conditions to the Distribution described under “The Separation—Conditions to the Distribution.”</w:t>
      </w:r>
    </w:p>
    <w:p>
      <w:pPr>
        <w:spacing w:after="0" w:line="158"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As part of the Separation, we will enter into a Separation and Distribution Agreement and several other agreements with Comcast and certain of its subsidiaries to effect the Separation and provide a framework for our relationship with Comcast after the Separation. See “The Separation— Agreements with Comcast” for information regarding these agreements.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As a current business of Comcast, we engage in related party transactions with Comcast. Those transactions are described in more detail in Note 10 to the accompanying audited combined financial statements and Note 5 to the accompanying unaudited combined financial statements.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Review, Approval or Ratification of Transactions with Related Persons</w:t>
      </w:r>
    </w:p>
    <w:p>
      <w:pPr>
        <w:spacing w:after="0" w:line="121" w:lineRule="exact"/>
        <w:rPr>
          <w:sz w:val="20"/>
          <w:szCs w:val="20"/>
          <w:color w:val="auto"/>
        </w:rPr>
      </w:pPr>
    </w:p>
    <w:p>
      <w:pPr>
        <w:ind w:left="120" w:right="140" w:firstLine="440"/>
        <w:spacing w:after="0" w:line="255" w:lineRule="auto"/>
        <w:rPr>
          <w:sz w:val="20"/>
          <w:szCs w:val="20"/>
          <w:color w:val="auto"/>
        </w:rPr>
      </w:pPr>
      <w:r>
        <w:rPr>
          <w:rFonts w:ascii="Times New Roman" w:cs="Times New Roman" w:eastAsia="Times New Roman" w:hAnsi="Times New Roman"/>
          <w:sz w:val="18"/>
          <w:szCs w:val="18"/>
          <w:color w:val="auto"/>
        </w:rPr>
        <w:t>We expect that our Board will adopt procedures for the review of any transactions in which we and any of our directors, nominees for director or executive officers, or any of their immediate family members, are participants, to determine whether any of these individuals have a direct or indirect material interest in any such transaction. We intend to develop and implement processes and controls to obtain information from the directors and executive officers about related person transactions, and for determining, based on the facts and circumstances, whether a related person has a direct or indirect material interest in any such transaction. Transactions that are determined to be directly or indirectly material to a related person will be disclosed by us as required. Pursuant to these processes, we expect that all directors and executive officers will annually complete, sign and submit a Director and Executive Officer Questionnaire designed to identify related person transactions and both actual and potential conflicts of interest.</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120"/>
          </w:cols>
          <w:pgMar w:left="320" w:top="455" w:right="459" w:bottom="1440" w:gutter="0" w:footer="0" w:header="0"/>
        </w:sectPr>
      </w:pPr>
    </w:p>
    <w:bookmarkStart w:id="889" w:name="page890"/>
    <w:bookmarkEnd w:id="8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OWNERSHIP OF COMMON STOCK BY CERTAIN BENEFICIAL OWNERS AND MANAGEMENT</w:t>
      </w:r>
    </w:p>
    <w:p>
      <w:pPr>
        <w:spacing w:after="0" w:line="22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After the Separation, Comcast will not directly or indirectly own any of our common stock.</w:t>
      </w:r>
    </w:p>
    <w:p>
      <w:pPr>
        <w:spacing w:after="0" w:line="162"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The tables below show the number of shares of our Class A common stock and Class B common stock, and the percentage of shares of our Class A common stock and our Class B common stock, that would be owned of record and beneficially at the time of the Distribution, calculated based on information available as of        , 2025 (the “Reference Date”) by (i) persons beneficially owning more than five percent (5%) of any class at the time of Distribution and (ii) each director and executive officer of the Company.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To the extent our directors and executive officers own Comcast common stock at the record date for the Distribution, they will participate in the Distribution on the same terms as other holders of Comcast common stock.</w:t>
      </w:r>
    </w:p>
    <w:p>
      <w:pPr>
        <w:spacing w:after="0" w:line="162" w:lineRule="exact"/>
        <w:rPr>
          <w:sz w:val="20"/>
          <w:szCs w:val="20"/>
          <w:color w:val="auto"/>
        </w:rPr>
      </w:pPr>
    </w:p>
    <w:p>
      <w:pPr>
        <w:ind w:left="120" w:right="740" w:firstLine="440"/>
        <w:spacing w:after="0" w:line="282" w:lineRule="auto"/>
        <w:rPr>
          <w:sz w:val="20"/>
          <w:szCs w:val="20"/>
          <w:color w:val="auto"/>
        </w:rPr>
      </w:pPr>
      <w:r>
        <w:rPr>
          <w:rFonts w:ascii="Times New Roman" w:cs="Times New Roman" w:eastAsia="Times New Roman" w:hAnsi="Times New Roman"/>
          <w:sz w:val="18"/>
          <w:szCs w:val="18"/>
          <w:color w:val="auto"/>
        </w:rPr>
        <w:t>The number of shares beneficially owned by each shareholder, director or officer is determined according to the rules of the SEC and the information is not necessarily indicative of beneficial ownership for any other purpose.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Security Ownership of Directors and Executive Officers</w:t>
      </w:r>
    </w:p>
    <w:p>
      <w:pPr>
        <w:spacing w:after="0" w:line="121"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As of the date of this information statement, all of the outstanding shares of Versant common stock are owned by Comcast. The following table sets forth the number of shares of our common stock beneficially owned, based on the presentation previously described, by each of the identified directors of Versant, the individuals we expect will become our named executive officers following the Separation and all Versant executive officers and directors identified to date as a group as of        , 2025. The table is based upon an assumption that, for every        share(s) of Comcast Class A common stock or Comcast Class B common stock held by such persons, they will receive        share(s) of Versant Class A common stock or Versant Class B common stock, respectively.</w:t>
      </w:r>
    </w:p>
    <w:p>
      <w:pPr>
        <w:spacing w:after="0" w:line="187"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For purposes of this table, shares are considered to be “beneficially” owned if the person, directly or indirectly, has sole or shared voting or investment power with respect to such shares. In addition, a person is deemed to beneficially own shares if that person has the right to acquire such shares within 60 days of the date of the Distribution. No executive officer or director holds any class of equity securities other than Comcast common stock or Comcast Equity Awards that may give them the right to acquire beneficial ownership of Comcast common stock, and it is not expected that any of them will own any class of equity securities of Versant other than common stock following the Distribution.</w:t>
      </w:r>
    </w:p>
    <w:p>
      <w:pPr>
        <w:spacing w:after="0" w:line="204"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p>
        </w:tc>
        <w:tc>
          <w:tcPr>
            <w:tcW w:w="2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tcBorders>
              <w:bottom w:val="single" w:sz="8" w:color="auto"/>
            </w:tcBorders>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Amount Beneficially 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Percent of Class</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vMerge w:val="continue"/>
          </w:tcPr>
          <w:p>
            <w:pPr>
              <w:spacing w:after="0"/>
              <w:rPr>
                <w:sz w:val="12"/>
                <w:szCs w:val="12"/>
                <w:color w:val="auto"/>
              </w:rPr>
            </w:pPr>
          </w:p>
        </w:tc>
        <w:tc>
          <w:tcPr>
            <w:tcW w:w="2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0" w:type="dxa"/>
            <w:vAlign w:val="bottom"/>
            <w:gridSpan w:val="4"/>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60" w:type="dxa"/>
            <w:vAlign w:val="bottom"/>
            <w:gridSpan w:val="3"/>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p>
        </w:tc>
        <w:tc>
          <w:tcPr>
            <w:tcW w:w="36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CLASS A</w:t>
            </w:r>
          </w:p>
        </w:tc>
        <w:tc>
          <w:tcPr>
            <w:tcW w:w="520" w:type="dxa"/>
            <w:vAlign w:val="bottom"/>
          </w:tcPr>
          <w:p>
            <w:pPr>
              <w:spacing w:after="0"/>
              <w:rPr>
                <w:sz w:val="12"/>
                <w:szCs w:val="12"/>
                <w:color w:val="auto"/>
              </w:rPr>
            </w:pPr>
          </w:p>
        </w:tc>
        <w:tc>
          <w:tcPr>
            <w:tcW w:w="60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9"/>
              </w:rPr>
              <w:t>CLASS B</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Rebecca S. Campbell</w:t>
            </w:r>
          </w:p>
        </w:tc>
        <w:tc>
          <w:tcPr>
            <w:tcW w:w="20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3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3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Borders>
              <w:top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Creighton Condon</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Michael A. Conway</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David Eun</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Jordan R. Fasbender</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Gerald L. Hassell</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Anand M. Kini</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 Lazarus</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 Scott Mahoney</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Maritza Montiel</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David Novak</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Leonard A. Potter</w:t>
            </w:r>
          </w:p>
        </w:tc>
        <w:tc>
          <w:tcPr>
            <w:tcW w:w="2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2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w w:val="76"/>
              </w:rPr>
              <w:t> </w:t>
            </w:r>
          </w:p>
        </w:tc>
        <w:tc>
          <w:tcPr>
            <w:tcW w:w="1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6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 </w:t>
            </w:r>
          </w:p>
        </w:tc>
        <w:tc>
          <w:tcPr>
            <w:tcW w:w="4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70"/>
              </w:rPr>
              <w:t>  </w:t>
            </w:r>
          </w:p>
        </w:tc>
        <w:tc>
          <w:tcPr>
            <w:tcW w:w="1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52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3"/>
              </w:rPr>
              <w: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  </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365"/>
        </w:trPr>
        <w:tc>
          <w:tcPr>
            <w:tcW w:w="4340" w:type="dxa"/>
            <w:vAlign w:val="bottom"/>
          </w:tcPr>
          <w:p>
            <w:pPr>
              <w:spacing w:after="0"/>
              <w:rPr>
                <w:sz w:val="24"/>
                <w:szCs w:val="24"/>
                <w:color w:val="auto"/>
              </w:rPr>
            </w:pPr>
          </w:p>
        </w:tc>
        <w:tc>
          <w:tcPr>
            <w:tcW w:w="20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5" w:right="439" w:bottom="1440" w:gutter="0" w:footer="0" w:header="0"/>
        </w:sectPr>
      </w:pPr>
    </w:p>
    <w:bookmarkStart w:id="890" w:name="page891"/>
    <w:bookmarkEnd w:id="8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302895</wp:posOffset>
            </wp:positionV>
            <wp:extent cx="771525" cy="825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ind w:left="540" w:right="100" w:hanging="424"/>
        <w:spacing w:after="0" w:line="282" w:lineRule="auto"/>
        <w:tabs>
          <w:tab w:leader="none" w:pos="540" w:val="left"/>
        </w:tabs>
        <w:numPr>
          <w:ilvl w:val="0"/>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Shareholders</w:t>
      </w:r>
    </w:p>
    <w:p>
      <w:pPr>
        <w:spacing w:after="0" w:line="121" w:lineRule="exact"/>
        <w:rPr>
          <w:sz w:val="20"/>
          <w:szCs w:val="20"/>
          <w:color w:val="auto"/>
        </w:rPr>
      </w:pPr>
    </w:p>
    <w:p>
      <w:pPr>
        <w:ind w:left="120" w:right="240" w:firstLine="440"/>
        <w:spacing w:after="0" w:line="272" w:lineRule="auto"/>
        <w:rPr>
          <w:sz w:val="20"/>
          <w:szCs w:val="20"/>
          <w:color w:val="auto"/>
        </w:rPr>
      </w:pPr>
      <w:r>
        <w:rPr>
          <w:rFonts w:ascii="Times New Roman" w:cs="Times New Roman" w:eastAsia="Times New Roman" w:hAnsi="Times New Roman"/>
          <w:sz w:val="17"/>
          <w:szCs w:val="17"/>
          <w:color w:val="auto"/>
        </w:rPr>
        <w:t>As of the date of this information statement, all of the outstanding shares of Versant common stock are owned by Comcast. The following table sets forth information regarding each shareholder (other than any director or executive officer) who is expected to beneficially own more than five percent (5%) of our common stock immediately following the Distribution. The table is based upon an assumption that, for every        share(s) of</w:t>
      </w:r>
    </w:p>
    <w:tbl>
      <w:tblPr>
        <w:tblLayout w:type="fixed"/>
        <w:tblInd w:w="120" w:type="dxa"/>
        <w:tblCellMar>
          <w:top w:w="0" w:type="dxa"/>
          <w:left w:w="0" w:type="dxa"/>
          <w:bottom w:w="0" w:type="dxa"/>
          <w:right w:w="0" w:type="dxa"/>
        </w:tblCellMar>
      </w:tblPr>
      <w:tr>
        <w:trPr>
          <w:trHeight w:val="199"/>
        </w:trPr>
        <w:tc>
          <w:tcPr>
            <w:tcW w:w="8020" w:type="dxa"/>
            <w:vAlign w:val="bottom"/>
            <w:gridSpan w:val="5"/>
          </w:tcPr>
          <w:p>
            <w:pPr>
              <w:spacing w:after="0" w:line="200" w:lineRule="exact"/>
              <w:rPr>
                <w:sz w:val="20"/>
                <w:szCs w:val="20"/>
                <w:color w:val="auto"/>
              </w:rPr>
            </w:pPr>
            <w:r>
              <w:rPr>
                <w:rFonts w:ascii="Times New Roman" w:cs="Times New Roman" w:eastAsia="Times New Roman" w:hAnsi="Times New Roman"/>
                <w:sz w:val="18"/>
                <w:szCs w:val="18"/>
                <w:color w:val="auto"/>
              </w:rPr>
              <w:t xml:space="preserve">Comcast Class A common stock or Comcast Class B common stock held by such persons, they will receive    </w:t>
            </w:r>
          </w:p>
        </w:tc>
        <w:tc>
          <w:tcPr>
            <w:tcW w:w="3000" w:type="dxa"/>
            <w:vAlign w:val="bottom"/>
            <w:gridSpan w:val="3"/>
          </w:tcPr>
          <w:p>
            <w:pPr>
              <w:ind w:left="80"/>
              <w:spacing w:after="0" w:line="200" w:lineRule="exact"/>
              <w:rPr>
                <w:sz w:val="20"/>
                <w:szCs w:val="20"/>
                <w:color w:val="auto"/>
              </w:rPr>
            </w:pPr>
            <w:r>
              <w:rPr>
                <w:rFonts w:ascii="Times New Roman" w:cs="Times New Roman" w:eastAsia="Times New Roman" w:hAnsi="Times New Roman"/>
                <w:sz w:val="18"/>
                <w:szCs w:val="18"/>
                <w:color w:val="auto"/>
              </w:rPr>
              <w:t>      share(s) of Versant Class A</w:t>
            </w:r>
          </w:p>
        </w:tc>
        <w:tc>
          <w:tcPr>
            <w:tcW w:w="0" w:type="dxa"/>
            <w:vAlign w:val="bottom"/>
          </w:tcPr>
          <w:p>
            <w:pPr>
              <w:spacing w:after="0"/>
              <w:rPr>
                <w:sz w:val="1"/>
                <w:szCs w:val="1"/>
                <w:color w:val="auto"/>
              </w:rPr>
            </w:pPr>
          </w:p>
        </w:tc>
      </w:tr>
      <w:tr>
        <w:trPr>
          <w:trHeight w:val="234"/>
        </w:trPr>
        <w:tc>
          <w:tcPr>
            <w:tcW w:w="58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common stock or Versant Class B common stock, respectively.</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7"/>
        </w:trPr>
        <w:tc>
          <w:tcPr>
            <w:tcW w:w="2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160" w:type="dxa"/>
            <w:vAlign w:val="bottom"/>
          </w:tcPr>
          <w:p>
            <w:pPr>
              <w:jc w:val="center"/>
              <w:ind w:left="2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1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TITLE OF VOTING CLASS</w:t>
            </w:r>
          </w:p>
        </w:tc>
        <w:tc>
          <w:tcPr>
            <w:tcW w:w="2760" w:type="dxa"/>
            <w:vAlign w:val="bottom"/>
            <w:gridSpan w:val="2"/>
            <w:vMerge w:val="continue"/>
          </w:tcPr>
          <w:p>
            <w:pPr>
              <w:spacing w:after="0"/>
              <w:rPr>
                <w:sz w:val="12"/>
                <w:szCs w:val="12"/>
                <w:color w:val="auto"/>
              </w:rPr>
            </w:pPr>
          </w:p>
        </w:tc>
        <w:tc>
          <w:tcPr>
            <w:tcW w:w="2160" w:type="dxa"/>
            <w:vAlign w:val="bottom"/>
          </w:tcPr>
          <w:p>
            <w:pPr>
              <w:jc w:val="center"/>
              <w:ind w:left="288"/>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 OF CLASS</w:t>
            </w:r>
          </w:p>
        </w:tc>
        <w:tc>
          <w:tcPr>
            <w:tcW w:w="0" w:type="dxa"/>
            <w:vAlign w:val="bottom"/>
          </w:tcPr>
          <w:p>
            <w:pPr>
              <w:spacing w:after="0"/>
              <w:rPr>
                <w:sz w:val="1"/>
                <w:szCs w:val="1"/>
                <w:color w:val="auto"/>
              </w:rPr>
            </w:pPr>
          </w:p>
        </w:tc>
      </w:tr>
      <w:tr>
        <w:trPr>
          <w:trHeight w:val="187"/>
        </w:trPr>
        <w:tc>
          <w:tcPr>
            <w:tcW w:w="3100" w:type="dxa"/>
            <w:vAlign w:val="bottom"/>
            <w:gridSpan w:val="2"/>
            <w:vMerge w:val="continue"/>
          </w:tcPr>
          <w:p>
            <w:pPr>
              <w:spacing w:after="0"/>
              <w:rPr>
                <w:sz w:val="16"/>
                <w:szCs w:val="16"/>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16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OWNED</w:t>
            </w:r>
            <w:r>
              <w:rPr>
                <w:rFonts w:ascii="Times New Roman" w:cs="Times New Roman" w:eastAsia="Times New Roman" w:hAnsi="Times New Roman"/>
                <w:sz w:val="10"/>
                <w:szCs w:val="10"/>
                <w:b w:val="1"/>
                <w:bCs w:val="1"/>
                <w:color w:val="auto"/>
              </w:rPr>
              <w:t>(1)</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8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Class A common stock</w:t>
            </w:r>
          </w:p>
        </w:tc>
        <w:tc>
          <w:tcPr>
            <w:tcW w:w="220" w:type="dxa"/>
            <w:vAlign w:val="bottom"/>
          </w:tcPr>
          <w:p>
            <w:pPr>
              <w:spacing w:after="0"/>
              <w:rPr>
                <w:sz w:val="16"/>
                <w:szCs w:val="16"/>
                <w:color w:val="auto"/>
              </w:rPr>
            </w:pPr>
          </w:p>
        </w:tc>
        <w:tc>
          <w:tcPr>
            <w:tcW w:w="2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tcBorders>
              <w:top w:val="single" w:sz="8" w:color="auto"/>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Class B common stock</w:t>
            </w: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Brian L. Roberts</w:t>
            </w:r>
          </w:p>
        </w:tc>
        <w:tc>
          <w:tcPr>
            <w:tcW w:w="2160" w:type="dxa"/>
            <w:vAlign w:val="bottom"/>
          </w:tcPr>
          <w:p>
            <w:pPr>
              <w:spacing w:after="0"/>
              <w:rPr>
                <w:sz w:val="18"/>
                <w:szCs w:val="18"/>
                <w:color w:val="auto"/>
              </w:rPr>
            </w:pPr>
          </w:p>
        </w:tc>
        <w:tc>
          <w:tcPr>
            <w:tcW w:w="3000" w:type="dxa"/>
            <w:vAlign w:val="bottom"/>
            <w:gridSpan w:val="3"/>
          </w:tcPr>
          <w:p>
            <w:pPr>
              <w:jc w:val="right"/>
              <w:ind w:right="928"/>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One Comcast Center,</w:t>
            </w:r>
          </w:p>
        </w:tc>
        <w:tc>
          <w:tcPr>
            <w:tcW w:w="2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Philadelphia, PA 19103</w:t>
            </w:r>
          </w:p>
        </w:tc>
        <w:tc>
          <w:tcPr>
            <w:tcW w:w="2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right="100" w:hanging="424"/>
        <w:spacing w:after="0" w:line="258" w:lineRule="auto"/>
        <w:tabs>
          <w:tab w:leader="none" w:pos="540" w:val="left"/>
        </w:tabs>
        <w:numPr>
          <w:ilvl w:val="0"/>
          <w:numId w:val="1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of a security consists of sole or shared voting power (including the power to vote or direct the vote) and/or sole or shared investment power (including the power to dispose or direct the disposition) with respect to the security through any contract, arrangement, understanding and relationship or otherwise. Unless indicated, beneficial ownership disclosed consists of sole voting and investment power. Beneficial ownership of Class A common stock is exclusive of the shares of Class A common stock that are issuable upon conversion of shares of Class B common stock. Share ownership reflects rounding for share-based compensation in the aggregate, not by specific tranche or award.</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140"/>
          </w:cols>
          <w:pgMar w:left="320" w:top="455" w:right="439" w:bottom="1440" w:gutter="0" w:footer="0" w:header="0"/>
        </w:sectPr>
      </w:pPr>
    </w:p>
    <w:bookmarkStart w:id="891" w:name="page892"/>
    <w:bookmarkEnd w:id="8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MATERIAL INDEBTEDNESS</w:t>
      </w:r>
    </w:p>
    <w:p>
      <w:pPr>
        <w:spacing w:after="0" w:line="227" w:lineRule="exact"/>
        <w:rPr>
          <w:sz w:val="20"/>
          <w:szCs w:val="20"/>
          <w:color w:val="auto"/>
        </w:rPr>
      </w:pPr>
    </w:p>
    <w:p>
      <w:pPr>
        <w:ind w:left="120" w:right="2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and should be read in conjunction with, and are qualified in their entirety by, the relevant documentation evidencing the indebtedness, which in each case is filed as an exhibit to the registration statement of which this information statement forms a part or will be filed as an exhibit to our filings with the SEC.</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The following description is a summary and should be read in conjunction with, and is qualified in its entirety by, the Credit Agreements (as defined below) and the other agreements governing the Senior Credit Facilities (as defined below). On October 3, 2025, Versant entered into a credit agreement (the “TLA/Revolver Credit Agreement”) providing for a term loan of $1.0 billion due January 2031 (the “Term A Loan Facility”) and a revolving credit facility of $750 million due January 2031 (the “Revolving Credit Facility”). The Company intends to enter into a credit agreement (the “TLB Credit Agreement”; the TLB Credit Agreement, together with the TLA/Revolver Credit Agreement, the “Credit Agreements”) providing for a term loan of $1.0 billion with a five-year term to maturity (the “Term B Loan Facility”; the Term B Loan Facility, together with the Term A Loan Facility, the “Term Loan Facilities”; the Term Loan Facilities, together with the Revolving Credit Facility, the “Senior Credit Facilities”).</w:t>
      </w:r>
    </w:p>
    <w:p>
      <w:pPr>
        <w:spacing w:after="0" w:line="189" w:lineRule="exact"/>
        <w:rPr>
          <w:sz w:val="20"/>
          <w:szCs w:val="20"/>
          <w:color w:val="auto"/>
        </w:rPr>
      </w:pPr>
    </w:p>
    <w:p>
      <w:pPr>
        <w:jc w:val="both"/>
        <w:ind w:left="120" w:right="60" w:firstLine="440"/>
        <w:spacing w:after="0" w:line="289" w:lineRule="auto"/>
        <w:rPr>
          <w:sz w:val="20"/>
          <w:szCs w:val="20"/>
          <w:color w:val="auto"/>
        </w:rPr>
      </w:pPr>
      <w:r>
        <w:rPr>
          <w:rFonts w:ascii="Times New Roman" w:cs="Times New Roman" w:eastAsia="Times New Roman" w:hAnsi="Times New Roman"/>
          <w:sz w:val="17"/>
          <w:szCs w:val="17"/>
          <w:color w:val="auto"/>
        </w:rPr>
        <w:t>On and after the Escrow Release Date (as defined below), the Senior Credit Facilities are expected to be secured by substantially all the assets of the Company and its material, wholly-owned U.S. subsidiaries, subject to certain exceptions. The Term Loan Facilities are expected to be denominated in U.S. dollars, and borrowings under the Revolving Credit Facility may be made available in U.S. dollars, euros, pounds sterling and Canadian dollars.</w:t>
      </w:r>
    </w:p>
    <w:p>
      <w:pPr>
        <w:spacing w:after="0" w:line="158"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Borrowings under the Revolving Credit Facility in: (i) U.S. dollars bear interest at a rate per annum equal to, at our option, either (a) a term SOFR based rate or (b) a U.S. dollar base rate, (ii) Canadian dollars bear interest at a rate per annum equal to, at our option, either (a) Canadian Overnight Repo Rate Average (“CORRA”) based rate or (b) a Canadian dollar prime rate, (iii) euros bear interest at a rate per annum equal to EURIBOR and (iv) pounds sterling bear interest at a rate per annum equal to Sterling Overnight Index Average (“SONIA”) (provided, however, that the term SOFR-based rate, CORRA-based rate, EURIBOR, SONIA and Canadian dollar prime rate shall be no less than 0.00% per annum at any time and the U.S. dollar base rate shall be no less than 1.00% per annum at any time), in each case, plus an applicable margin.</w:t>
      </w:r>
    </w:p>
    <w:p>
      <w:pPr>
        <w:spacing w:after="0" w:line="187"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applicable interest rate margins for borrowings under the Term A Loan Facility and the Revolving Credit Facility will be initially (a) 0.75% per annum in the case of U.S. dollar base rate or Canadian dollar prime rate borrowings and (b) 1.75% per annum in the case of SOFR, CORRA, EURIBOR or SONIA borrowings; provided that the applicable interest rate margins for both the Term A Loan Facility and the Revolving Credit Facility shall be subject to two stepdowns of 0.25% each based on, and subject to, the achievement of a consolidated first lien net leverage ratio of equal to or less than (x) 1.00:1.00 and (y) 0.75:1.00, respectively, as of the last day of the most recently ended period of four consecutive fiscal quarters for which financial statements have been delivered. In addition, the Company is required to pay commitment fees of 0.25% per annum on the unutilized commitments under the Revolving Credit Facility, payable quarterly in arrears, subject to one stepdown to 0.125% per annum based on, and subject to, the achievement of a consolidated first lien net leverage ratio of equal to or less than 1.00:1.00 as of the last day of the most recently ended period of four consecutive fiscal quarters for which financial statements have been delivered. The Company is also required to pay letter of credit fees on the maximum amount available to be drawn under all outstanding letters of credit in an amount equal to the applicable margin on SOFR borrowings under the Revolving Credit Facility on a per annum basis, payable quarterly in arrears, as well as customary fronting fees for the issuance of letters of credit and agency fees.</w:t>
      </w:r>
    </w:p>
    <w:p>
      <w:pPr>
        <w:spacing w:after="0" w:line="1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100"/>
          </w:cols>
          <w:pgMar w:left="320" w:top="455" w:right="479" w:bottom="1440" w:gutter="0" w:footer="0" w:header="0"/>
        </w:sectPr>
      </w:pPr>
    </w:p>
    <w:bookmarkStart w:id="892" w:name="page893"/>
    <w:bookmarkEnd w:id="8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Borrowings under the Term B Loan Facility are expected to bear interest at a rate per annum equal to, at the Company’s option, either a term SOFR-based rate or a U.S. dollar base rate, in each case, plus an applicable margin of (a) 2.50% per annum in the case of U.S. dollar base rate borrowings and (b) 3.50% per annum in the case of SOFR borrowings, subject to SOFR-based rate floor of 0.00% per annum and U.S. dollar base rate floor of 1.00% per annum.</w:t>
      </w:r>
    </w:p>
    <w:p>
      <w:pPr>
        <w:spacing w:after="0" w:line="180"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Subject to certain exceptions and customary baskets set forth, or to be set forth, in the Credit Agreements, the Company is required to make mandatory prepayments of the loans under the Term A Loan Facility, and expects to be required to make mandatory prepayments of the loans under the Term B Loan Facility, under certain circumstances, including from: (i) 100% of the net cash proceeds of insurance and condemnation proceeds for property or asset losses and certain property or asset dispositions (subject to reinvestment rights, decrease based on leverage ratios and net proceeds thresholds), (ii) 100% of the net cash proceeds from the incurrence of debt (other than permitted debt as described in the Credit Agreements) and (iii) solely in the case of the Term B Loan Facility, 50% of Excess Cash Flow (to be defined in the TLB Credit Agreement) (subject to decrease based on a leverage ratio).</w:t>
      </w:r>
    </w:p>
    <w:p>
      <w:pPr>
        <w:spacing w:after="0" w:line="189"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amortization rate for the Term A Loan Facility is 5.00% per annum, payable in quarterly installments, with the balance being payable on the maturity date of the Term A Loan Facility. The amortization rate for the Term B Loan Facility is expected to be 7.00% per annum, payable in quarterly installments, until the balance is payable on the maturity date of the Term B Loan Facility.</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Company is permitted to voluntarily reduce unutilized portion of the revolving commitment amount and repay outstanding loans under the Term A Loan Facility and the Revolving Credit Facility at any time without prepayment premium or penalty. The Company expects to be permitted to voluntarily repay outstanding loans under the Term B Loan Facility at any time, (a) subject to the payment of a customary T+50 make-whole premium if such prepayment occurs prior to the first anniversary of the closing date, (b) subject to a prepayment premium of 1% if such prepayment occurs on or after the first anniversary of the closing date and before the second anniversary of the closing date and (c) at par if such prepayment occurs on or after the second anniversary of the closing date.</w:t>
      </w:r>
    </w:p>
    <w:p>
      <w:pPr>
        <w:spacing w:after="0" w:line="187"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The obligations of the Company and the Guarantors under the Senior Credit Facilities and certain hedging arrangements and cash management arrangements will be (or, in the case of the Term B Loan Facility, are expected to be) secured by first-priority security interests in the collateral securing such facilities subject to certain exclusions set forth in the credit documentation governing the Senior Credit Facilities.</w:t>
      </w:r>
    </w:p>
    <w:p>
      <w:pPr>
        <w:spacing w:after="0" w:line="176"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TLA/Revolver Credit Agreement contains (and it is expected that the TLB Credit Agreement will contain) a number of covenants that, among other things and subject to certain exceptions, restrict the Company’s and its subsidiaries’ ability to:</w:t>
      </w:r>
    </w:p>
    <w:p>
      <w:pPr>
        <w:spacing w:after="0" w:line="67" w:lineRule="exact"/>
        <w:rPr>
          <w:sz w:val="20"/>
          <w:szCs w:val="20"/>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liens;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agreements and other arrangements that include negative pledge clauses;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on capital stock or redeem, repurchase or retire capital stock or subordinated indebtedness;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investments, loans, advances and acquisitions;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amalgamate or sell assets, including equity interests of subsidiaries;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sale and leaseback transactions;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transactions with affiliates;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amendments of or waivers under subordinated indebtedness.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120"/>
          </w:cols>
          <w:pgMar w:left="320" w:top="455" w:right="459" w:bottom="1440" w:gutter="0" w:footer="0" w:header="0"/>
        </w:sectPr>
      </w:pPr>
    </w:p>
    <w:bookmarkStart w:id="893" w:name="page894"/>
    <w:bookmarkEnd w:id="8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Term A Loan Facility and the Revolving Credit Facility also contain a financial covenant that requires the Company to maintain a maximum first lien net leverage ratio of not greater than 3.50:1.00.</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TLA/Revolver Credit Agreement also contains (and it is expected that the TLB Credit Agreement will contain) certain customary affirmative covenants and events of default. If an event of default, as specified in the Credit Agreements, shall occur and be continuing, the borrowers thereunder may be required to repay all amounts outstanding under the Senior Credit Facilities. The Company periodically reviews its debt profile with a view towards extending maturities and/or improving the terms of such debt. The Company may, from time to time, seek amendments to such debt in order to effect such changes.</w:t>
      </w:r>
    </w:p>
    <w:p>
      <w:pPr>
        <w:spacing w:after="0" w:line="183"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The terms described above with respect to the Term B Loan Facility are subject to change. Borrowings under the Senior Credit Facilities are subject to a number of conditions. To the extent that any of the conditions with respect to such indebtedness are not satisfied, such indebtedness may not be available.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Senior Secured Notes</w:t>
      </w:r>
    </w:p>
    <w:p>
      <w:pPr>
        <w:spacing w:after="0" w:line="121"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On October 29, 2025, the Company issued $1.0 billion aggregate principal amount of 7.250% senior secured notes due 2031 (the “Notes”) pursuant to Rule 144A and Regulation S under the Securities Act. The Notes mature on January 30, 2031. Interest on the Notes accrues at 7.250% per annum and will be paid semi-annually, in arrears, on January 30 and July 30 of each year, commencing on July 30, 2026.</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proceeds from the offering of the Notes were placed into an escrow account (the “Escrow Account”) and will be released substantially concurrently with (i) satisfaction or waiver in all material respects of the conditions precedent to borrowing under the Term Loan Facilities and (ii) the consummation of the Transactions (the date of such release, the “Escrow Release Date”).</w:t>
      </w:r>
    </w:p>
    <w:p>
      <w:pPr>
        <w:spacing w:after="0" w:line="176" w:lineRule="exact"/>
        <w:rPr>
          <w:sz w:val="20"/>
          <w:szCs w:val="20"/>
          <w:color w:val="auto"/>
        </w:rPr>
      </w:pPr>
    </w:p>
    <w:p>
      <w:pPr>
        <w:jc w:val="both"/>
        <w:ind w:left="120" w:right="440" w:firstLine="440"/>
        <w:spacing w:after="0" w:line="289" w:lineRule="auto"/>
        <w:rPr>
          <w:sz w:val="20"/>
          <w:szCs w:val="20"/>
          <w:color w:val="auto"/>
        </w:rPr>
      </w:pPr>
      <w:r>
        <w:rPr>
          <w:rFonts w:ascii="Times New Roman" w:cs="Times New Roman" w:eastAsia="Times New Roman" w:hAnsi="Times New Roman"/>
          <w:sz w:val="17"/>
          <w:szCs w:val="17"/>
          <w:color w:val="auto"/>
        </w:rPr>
        <w:t>Prior to the Escrow Release Date, the Notes are not guaranteed and are secured only by a first-priority security interest in favor of the trustee under the Indenture in the Escrow Account and the escrowed funds therein. From and after the Escrow Release Date, the Notes will be jointly and unconditionally guaranteed on a senior secured basis by each of the Company’s subsidiaries that is a guarantor under the Senior Credit Facilities.</w:t>
      </w:r>
    </w:p>
    <w:p>
      <w:pPr>
        <w:spacing w:after="0" w:line="158"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Escrow Release Date, the Notes and the related guarantees will be the Company’s senior obligations and the senior obligations of the guarantors and will be secured, subject to permitted liens and certain other exceptions, by perfected first-priority security interests in substantially all of the Company’s and each guarantor’s tangible and intangible assets and property, now owned or hereafter acquired, that secure borrowings under the Senior Credit Facilities, subject to certain customary exceptions (the “Collateral”).</w:t>
      </w:r>
    </w:p>
    <w:p>
      <w:pPr>
        <w:spacing w:after="0" w:line="180"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From and after the Escrow Release Date, the Notes and the related guarantees will be: (i) general secured obligations, secured by a first-priority lien (subject to permitted liens and certain other exceptions) on the Collateral; (ii)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all of the Company’s and each guarantor’s respective future unsubordinated indebtedness; (iii) senior in right of payment to future indebtedness that expressly provides for its subordination to the Notes or applicable guarantees; (iv) effectively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all of the Company’s and each guarantor’s respective existing and future indebtedness secured by a first-priority lien on the Collateral including the Senior Credit Facilities); (v) effectively senior to all of the Company’s and each guarantor’s respective future indebtedness that is unsecured or that is secured by junior liens on the Collateral, in each case to the extent of the value of the Collateral; (vi) structurally subordinated to all existing and future indebtedness and other liabilities of any of the Company’s or any guarantor’s non-guarantor subsidiaries, to the extent of the value of such subsidiaries’ assets; and (vii) effectively subordinated to any of the Company’s or any guarantor’s respective existing or future debt that is secured by assets that are not Collateral, to the extent of the value of such assets.</w:t>
      </w:r>
    </w:p>
    <w:p>
      <w:pPr>
        <w:spacing w:after="0" w:line="188"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At any time and from time to time after the Escrow Release Date and prior to January 30, 2028, the Company may, at its option, redeem the Notes, in whole or in part, at a price equal to 100% of the principal</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120"/>
          </w:cols>
          <w:pgMar w:left="320" w:top="455" w:right="459" w:bottom="1440" w:gutter="0" w:footer="0" w:header="0"/>
        </w:sectPr>
      </w:pPr>
    </w:p>
    <w:bookmarkStart w:id="894" w:name="page895"/>
    <w:bookmarkEnd w:id="8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amount thereof, plus accrued and unpaid interest, if any, plus the applicable “make-whole” premium set forth in the Indenture. The Company may redeem the Notes, in whole or in part, at any time and from time to time on or after January 30, 2028 at the redemption prices set forth in the Indenture. At any time and from time to time after the Escrow Release Date and prior to January 30, 2028, the Company may redeem up to 10% during any twelve-month period at a redemption price equal to 103% of the principal amount thereof, plus accrued and unpaid interest, if any. The Company may, at its option, also redeem up to 40% of the aggregate principal amount of the Notes at any time and from time to time after the Escrow Release Date and prior to January 30, 2028 in an amount equal to the net proceeds from certain equity offerings at the redemption price equal to 107.250% of the principal amount thereof plus accrued and unpaid interest, if any.</w:t>
      </w:r>
    </w:p>
    <w:p>
      <w:pPr>
        <w:spacing w:after="0" w:line="189"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Indenture limits the Company’s and its restricted subsidiaries’ ability to, among other things, incur or guarantee debt; make certain investments and other restricted payments; create liens; enter into transactions with affiliates; merge or consolidate with another company; and transfer and sell assets. These covenants are subject to a number of important limitations and exceptions.</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Additionally, upon certain events constituting a change of control under the Indenture, the holders of the Notes have the right to require us to offer to repurchase the Notes at a purchase price equal to 101% of the principal amount thereof, plus accrued and unpaid interest, to, but excluding the date of purchase.</w:t>
      </w:r>
    </w:p>
    <w:p>
      <w:pPr>
        <w:spacing w:after="0" w:line="176"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Further, if the Company or its restricted subsidiaries engage in certain asset sales, the Company must prepay certain debt, invest the net cash proceeds from such sales in the Company’s business within a specified period of time or make an offer to purchase a principal amount of Notes equal to the excess net cash proceeds of such asset sale, subject to certain exceptions. The purchase price of the Notes purchased will be 100% of their principal amount, plus accrued and unpaid interest to, but excluding, the repurchase date.</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 Indenture also provides for customary events of default, which, if any of them occurs, may cause the principal of and accrued interest on the Notes to become, or to be declared, due and payable. Events of default (subject in certain cases to customary grace and cure periods), include, among others, nonpayment of principal or interest, breach of other covenants or agreements in the Indenture, failure to pay certain other indebtedness, failure to pay certain final judgments, failure of certain guarantees to be enforceable, certain events of bankruptcy or insolvency and failure of certain security interests to be valid or enforceable.</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20"/>
          </w:cols>
          <w:pgMar w:left="320" w:top="455" w:right="459" w:bottom="1440" w:gutter="0" w:footer="0" w:header="0"/>
        </w:sectPr>
      </w:pPr>
    </w:p>
    <w:bookmarkStart w:id="895" w:name="page896"/>
    <w:bookmarkEnd w:id="8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descriptions are summaries of the material terms of our capital stock based on the applicable provisions of Pennsylvania law and our amended and restated articles of incorporation (“articles of incorporation”) and our amended and restated bylaws (“bylaws”) that will be in effect at the time of the Separation. The summaries and descriptions below do not purport to be complete statements of the relevant provisions of the applicable provisions of Pennsylvania law or of our articles of incorporation or our bylaws to be in effect at the time of the Separation. The summary is qualified in its entirety by reference to those articles of incorporation and our bylaws, which we recommend that you read (along with the applicable provisions of Pennsylvania law) for additional information on our capital stock as of the time of the Separation. Copies of our articles of incorporation and bylaws that will be in effect at the time of the Separation will be filed as exhibits to the registration statement of which this information statement forms a part.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9"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i w:val="1"/>
          <w:iCs w:val="1"/>
          <w:color w:val="auto"/>
        </w:rPr>
        <w:t>Common stock</w:t>
      </w:r>
      <w:r>
        <w:rPr>
          <w:rFonts w:ascii="Times New Roman" w:cs="Times New Roman" w:eastAsia="Times New Roman" w:hAnsi="Times New Roman"/>
          <w:sz w:val="18"/>
          <w:szCs w:val="18"/>
          <w:color w:val="auto"/>
        </w:rPr>
        <w:t>. Upon completion of the Separation, we will have two classes of common stock outstanding: Class A common stock, par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$0.01 per share, and Class B common stock, par value $0.01 per share. Under our articles of incorporation, there are authorized       shares of Class A common stock,      shares of Class B common stock and      shares of preferred stock. Upon completion of the Separation, we estimate that we will have outstanding an aggregate of approximately      shares of our Class A common stock and      shares of our Class B common stock (based on      shares of Comcast Class A common stock and      shares of Comcast Class B common stock outstanding on      , 2025). The actual number of shares to be distributed will be determined on the record date. All outstanding shares of Class A common stock and Class B common stock are fully paid and non-assessable, and the shares of Class A common stock and Class B common stock to be issued upon completion of the Distribution will be fully paid and non-assessable.</w:t>
      </w:r>
    </w:p>
    <w:p>
      <w:pPr>
        <w:spacing w:after="0" w:line="185" w:lineRule="exact"/>
        <w:rPr>
          <w:sz w:val="20"/>
          <w:szCs w:val="20"/>
          <w:color w:val="auto"/>
        </w:rPr>
      </w:pPr>
    </w:p>
    <w:p>
      <w:pPr>
        <w:ind w:left="120" w:right="20" w:firstLine="440"/>
        <w:spacing w:after="0" w:line="257" w:lineRule="auto"/>
        <w:rPr>
          <w:sz w:val="20"/>
          <w:szCs w:val="20"/>
          <w:color w:val="auto"/>
        </w:rPr>
      </w:pPr>
      <w:r>
        <w:rPr>
          <w:rFonts w:ascii="Times New Roman" w:cs="Times New Roman" w:eastAsia="Times New Roman" w:hAnsi="Times New Roman"/>
          <w:sz w:val="18"/>
          <w:szCs w:val="18"/>
          <w:i w:val="1"/>
          <w:iCs w:val="1"/>
          <w:color w:val="auto"/>
        </w:rPr>
        <w:t>Voting rights</w:t>
      </w:r>
      <w:r>
        <w:rPr>
          <w:rFonts w:ascii="Times New Roman" w:cs="Times New Roman" w:eastAsia="Times New Roman" w:hAnsi="Times New Roman"/>
          <w:sz w:val="18"/>
          <w:szCs w:val="18"/>
          <w:color w:val="auto"/>
        </w:rPr>
        <w:t>. As a general matter, on all matters submitted for a vote to holders of all classes of our voting stock, holders of our Class A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in the aggregate hold 66 2/3% of the aggregate voting power of our capital stock and holders of our Class B common stock in the aggregate hold a non-dilutable 33 1/3% of the combined voting power of our capital stock. This non-dilutable voting power is subject to proportional decrease to the extent the number of shares of Class B common stock is reduced below, subject to adjustment in specified situations. The issuance of additional shares of Class A common stock and stock dividends payable on the Class B common stock in the form of Class B common stock do not decrease the non-dilutable voting power of the Class B common stock.</w:t>
      </w:r>
    </w:p>
    <w:p>
      <w:pPr>
        <w:spacing w:after="0" w:line="18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Dividends</w:t>
      </w:r>
      <w:r>
        <w:rPr>
          <w:rFonts w:ascii="Times New Roman" w:cs="Times New Roman" w:eastAsia="Times New Roman" w:hAnsi="Times New Roman"/>
          <w:sz w:val="18"/>
          <w:szCs w:val="18"/>
          <w:color w:val="auto"/>
        </w:rPr>
        <w:t>. Subject to the preferential rights of any preferred stock then outstanding, holders of our Class A common stock and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entitled to receive, from time to time, when, as and if declared, in the discretion of our Board of Directors, such cash dividends as our Board of Directors may from time to time determine, out of such funds as are legally available therefor, in proportion to the number of shares held by them, respectively, without regard to class. Holders of our Class A common stock and Class B common stock will also be entitled to receive, from time to time, when, as and if declared by our Board of Directors, such dividends of our stock or other property as our Board of Directors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provided, however, that stock dividends on, or stock splits of, our Class B common stock may also be paid or issued in shares of our Class A common stock. See “Dividend Policy” above.</w:t>
      </w:r>
    </w:p>
    <w:p>
      <w:pPr>
        <w:spacing w:after="0" w:line="188" w:lineRule="exact"/>
        <w:rPr>
          <w:sz w:val="20"/>
          <w:szCs w:val="20"/>
          <w:color w:val="auto"/>
        </w:rPr>
      </w:pPr>
    </w:p>
    <w:p>
      <w:pPr>
        <w:ind w:left="120" w:right="3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Conversion of Class B common stock</w:t>
      </w:r>
      <w:r>
        <w:rPr>
          <w:rFonts w:ascii="Times New Roman" w:cs="Times New Roman" w:eastAsia="Times New Roman" w:hAnsi="Times New Roman"/>
          <w:sz w:val="18"/>
          <w:szCs w:val="18"/>
          <w:color w:val="auto"/>
        </w:rPr>
        <w:t>. The Class B common stock is convertible share for share into Class A common stock, subject to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w:t>
      </w:r>
    </w:p>
    <w:p>
      <w:pPr>
        <w:spacing w:after="0" w:line="158" w:lineRule="exact"/>
        <w:rPr>
          <w:sz w:val="20"/>
          <w:szCs w:val="20"/>
          <w:color w:val="auto"/>
        </w:rPr>
      </w:pPr>
    </w:p>
    <w:p>
      <w:pPr>
        <w:ind w:left="12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Approval rights</w:t>
      </w:r>
      <w:r>
        <w:rPr>
          <w:rFonts w:ascii="Times New Roman" w:cs="Times New Roman" w:eastAsia="Times New Roman" w:hAnsi="Times New Roman"/>
          <w:sz w:val="18"/>
          <w:szCs w:val="18"/>
          <w:color w:val="auto"/>
        </w:rPr>
        <w:t>. Except as required by law, holders of Class A common stock have no specific approval rights over any corporate actions. Holders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Class B common stock have an approval right over (1) any</w:t>
      </w:r>
    </w:p>
    <w:p>
      <w:pPr>
        <w:spacing w:after="0" w:line="9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1100"/>
          </w:cols>
          <w:pgMar w:left="320" w:top="455" w:right="479" w:bottom="1440" w:gutter="0" w:footer="0" w:header="0"/>
        </w:sectPr>
      </w:pPr>
    </w:p>
    <w:bookmarkStart w:id="896" w:name="page897"/>
    <w:bookmarkEnd w:id="8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articles of incorporation or bylaw amendments (such as an amendment to the articles of incorporation to opt in to any of the Pennsylvania antitakeover statutes) and other actions (such as the adoption, amendment or redemption of a shareholder rights plan) that would limit the rights of holders of our Class B common stock or any subsequent transferee of our Class B common stock to transfer, vote or otherwise exercise rights with respect to our capital stock.</w:t>
      </w:r>
    </w:p>
    <w:p>
      <w:pPr>
        <w:spacing w:after="0" w:line="190" w:lineRule="exact"/>
        <w:rPr>
          <w:sz w:val="20"/>
          <w:szCs w:val="20"/>
          <w:color w:val="auto"/>
        </w:rPr>
      </w:pPr>
    </w:p>
    <w:p>
      <w:pPr>
        <w:jc w:val="both"/>
        <w:ind w:left="120" w:right="44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Preferences on liquidation</w:t>
      </w:r>
      <w:r>
        <w:rPr>
          <w:rFonts w:ascii="Times New Roman" w:cs="Times New Roman" w:eastAsia="Times New Roman" w:hAnsi="Times New Roman"/>
          <w:sz w:val="18"/>
          <w:szCs w:val="18"/>
          <w:color w:val="auto"/>
        </w:rPr>
        <w:t>. In the event of our liquidation, dissolution or winding-up, either voluntary or involuntary, the holders of Class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173"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Mergers, consolidations, etc. </w:t>
      </w:r>
      <w:r>
        <w:rPr>
          <w:rFonts w:ascii="Times New Roman" w:cs="Times New Roman" w:eastAsia="Times New Roman" w:hAnsi="Times New Roman"/>
          <w:sz w:val="18"/>
          <w:szCs w:val="18"/>
          <w:color w:val="auto"/>
        </w:rPr>
        <w:t>Our articles of incorporation provide that if in a transaction such as a merger, consolidation, share exchange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recapitalization, pursuant to which the holders of each class of our common stock outstanding would be entitled to receive equity interests of one or more corporations or other entities, or rights to acquire such equity interests, the Board may decide that in lieu of holders of each class of our common stock outstanding receiving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183" w:lineRule="exact"/>
        <w:rPr>
          <w:sz w:val="20"/>
          <w:szCs w:val="20"/>
          <w:color w:val="auto"/>
        </w:rPr>
      </w:pPr>
    </w:p>
    <w:p>
      <w:pPr>
        <w:ind w:left="120" w:right="28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Miscellaneous. </w:t>
      </w:r>
      <w:r>
        <w:rPr>
          <w:rFonts w:ascii="Times New Roman" w:cs="Times New Roman" w:eastAsia="Times New Roman" w:hAnsi="Times New Roman"/>
          <w:sz w:val="18"/>
          <w:szCs w:val="18"/>
          <w:color w:val="auto"/>
        </w:rPr>
        <w:t>The holders of Class A common stock and Class B common stock do not have any preemptive rights to acquire a proportionate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percentage of any securities we may issue. We have been advised that the Class A common stock is exempt from existing Pennsylvania personal property tax.</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Principal Shareholder</w:t>
      </w:r>
    </w:p>
    <w:p>
      <w:pPr>
        <w:spacing w:after="0" w:line="121" w:lineRule="exact"/>
        <w:rPr>
          <w:sz w:val="20"/>
          <w:szCs w:val="20"/>
          <w:color w:val="auto"/>
        </w:rPr>
      </w:pPr>
    </w:p>
    <w:p>
      <w:pPr>
        <w:ind w:left="120" w:right="120" w:firstLine="440"/>
        <w:spacing w:after="0" w:line="258" w:lineRule="auto"/>
        <w:rPr>
          <w:sz w:val="20"/>
          <w:szCs w:val="20"/>
          <w:color w:val="auto"/>
        </w:rPr>
      </w:pPr>
      <w:r>
        <w:rPr>
          <w:rFonts w:ascii="Times New Roman" w:cs="Times New Roman" w:eastAsia="Times New Roman" w:hAnsi="Times New Roman"/>
          <w:sz w:val="18"/>
          <w:szCs w:val="18"/>
          <w:color w:val="auto"/>
        </w:rPr>
        <w:t>Upon completion of the Distribution, Brian L. Roberts will beneficially own all outstanding shares of our Class B common stock, which has a non-dilutable 33 1/3% of the combined voting power of our stock and which also has separate approval rights over certain material transactions, as described under “Common Stock—Approval Rights.” The Class B common stock is convertible on a share-for-share basis into Class A common stock. After the consummation of the Separation, if Mr. Roberts were to convert the Class B common stock he beneficially owns into Class A common stock, he would beneficially own approximately        % of the Class A common stock that would be outstanding after the conversion.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right="80" w:firstLine="440"/>
        <w:spacing w:after="0" w:line="255" w:lineRule="auto"/>
        <w:rPr>
          <w:sz w:val="20"/>
          <w:szCs w:val="20"/>
          <w:color w:val="auto"/>
        </w:rPr>
      </w:pPr>
      <w:r>
        <w:rPr>
          <w:rFonts w:ascii="Times New Roman" w:cs="Times New Roman" w:eastAsia="Times New Roman" w:hAnsi="Times New Roman"/>
          <w:sz w:val="18"/>
          <w:szCs w:val="18"/>
          <w:color w:val="auto"/>
        </w:rPr>
        <w:t>Our Board of Directors will have the authority to issue up to   shares of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 subject to the limitations prescribed by Pennsylvania law and our articles of incorporation The issuance of preferred stock could adversely affect the voting power of the holders of the Class A common stock and the likelihood that such holders will receive dividend payments and payments upon liquidation. In addition, the issuance of preferred stock may have the effect of delaying, deferring or preventing a change in control of Versant without further action by our shareholders and may adversely affect the voting and other rights of the holders of Class A common stock.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120"/>
          </w:cols>
          <w:pgMar w:left="320" w:top="455" w:right="459" w:bottom="1440" w:gutter="0" w:footer="0" w:header="0"/>
        </w:sectPr>
      </w:pPr>
    </w:p>
    <w:bookmarkStart w:id="897" w:name="page898"/>
    <w:bookmarkEnd w:id="8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Election and Removal of Directors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We expect that our Board of Directors will initially consist of ten directors. Except as set forth in our articles of incorporation, the number of directors will be fixed exclusively by our Board of Directors from time to time. Each director shall be elected by a plurality of the votes cast by holders of all shares entitled to vote in the election at the meeting.</w:t>
      </w:r>
    </w:p>
    <w:p>
      <w:pPr>
        <w:spacing w:after="0" w:line="176"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Under the terms of our bylaws, our directors will be removable, only for cause, by a majority of the votes cast at the meeting by the holders of shares entitled to vote in the election of directors, voting together as a single class. Except as set forth in our articles of incorporation, any vacancy occurring on the Board of Directors and any newly created directorship may be filled by a majority of the remaining directors in office (although less than a quorum) or by a sole remaining director, or if there are no remaining directors, then by the shareholders.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Annual Election of Directors</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Directors will be elected annually by the shareholders at each annual meeting of shareholders for a term expiring at the next annual meeting of shareholders. See “Management—Board of Directors Following the Separation.”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Limits on Shareholder Action by Written Consent</w:t>
      </w:r>
    </w:p>
    <w:p>
      <w:pPr>
        <w:spacing w:after="0" w:line="121"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our shareholders are not permitted to act by written consent in lieu of a meeting, provided that holders of a majority of our Class B common stock may act by written consent in lieu of a meeting in the exercise of certain approval rights over specified material transactions under our articles of incorporation.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Special Meetings</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Our articles of incorporation and bylaws will provide that special meetings of shareholders may be called by our Board of Directors and not by our shareholders.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the Articles of Incorporation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Our articles of incorporation may be amended by resolution of our Board of Directors and the affirmative vote of a majority of the votes cast by all shareholders entitled to vote thereon, provided that any amendment to our articles of incorporation that would, in any such case, limit the rights of the holders of our Class B common stock or any subsequent transferee of Class B common stock to transfer, vote or otherwise exercise rights with respect to capital stock of Versant will require the approval of the holders of Class B common stock, voting separately as a class. In addition, the approval of the holder of any class or series of shares of Versant will be necessary to approve any amendment to our articles of incorporation which would make any change in the preferences, limitations or rights of the shares of such class or series adverse to such class or series.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Amendment of Bylaws</w:t>
      </w:r>
    </w:p>
    <w:p>
      <w:pPr>
        <w:spacing w:after="0" w:line="121"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Our articles of incorporation and bylaws grant our Board of Directors the power to alter, amend and repeal our bylaws regardless of a prior shareholder vote except on any subject that is expressly committed to the shareholders by the express terms in our bylaws, subject to applicable law. Any amendment to the bylaws approved by our shareholders will not be deemed to have been adopted unless it has been previously approved by the Board of Directors.</w:t>
      </w:r>
    </w:p>
    <w:p>
      <w:pPr>
        <w:spacing w:after="0" w:line="180" w:lineRule="exact"/>
        <w:rPr>
          <w:sz w:val="20"/>
          <w:szCs w:val="20"/>
          <w:color w:val="auto"/>
        </w:rPr>
      </w:pPr>
    </w:p>
    <w:p>
      <w:pPr>
        <w:ind w:left="120" w:right="420" w:firstLine="440"/>
        <w:spacing w:after="0" w:line="282" w:lineRule="auto"/>
        <w:rPr>
          <w:sz w:val="20"/>
          <w:szCs w:val="20"/>
          <w:color w:val="auto"/>
        </w:rPr>
      </w:pPr>
      <w:r>
        <w:rPr>
          <w:rFonts w:ascii="Times New Roman" w:cs="Times New Roman" w:eastAsia="Times New Roman" w:hAnsi="Times New Roman"/>
          <w:sz w:val="18"/>
          <w:szCs w:val="18"/>
          <w:color w:val="auto"/>
        </w:rPr>
        <w:t>Subject to the provisions of our articles of incorporation, including the approval by the Board of Directors noted above, our bylaws grant our shareholders the power to alter, amend or repeal our bylaws with the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120"/>
          </w:cols>
          <w:pgMar w:left="320" w:top="455" w:right="459" w:bottom="1440" w:gutter="0" w:footer="0" w:header="0"/>
        </w:sectPr>
      </w:pPr>
    </w:p>
    <w:bookmarkStart w:id="898" w:name="page899"/>
    <w:bookmarkEnd w:id="8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affirmative vote of a majority of votes cast by all shareholders entitled to vote thereon, except that any repeal or amendment affecting the provision of our bylaws governing the indemnification of directors, officers and other persons in a manner so as either to reduce or limit indemnification or the advancement of expenses in any manner also requires either a unanimous vote of the directors then-serving, or the affirmative vote of at least 80% of the votes cast by all shareholders entitled to vote in an election of directors, provided that no such amendment may have a retroactive effect to reduce or limit the rights of an indemnitee to indemnification or the advancement of expenses with respect to any action or failure to act occurring prior to the time of such repeal or amendment.</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Requirements for Advance Notification of Shareholder Nomination and Proposals</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Under our bylaws, shareholders of record will be able to nominate persons for election to our Board of Directors or bring other business constituting a proper matter for shareholder action only by providing proper notice. Proper notice must generally be received, (i) in the case of an annual meeting that is called for a date that is within 30 days before or after the anniversary date of the immediately preceding annual meeting of shareholders, not less than 90 days, and not more than 120 days, prior to such anniversary date; and (ii) in the case of an annual meeting that is called for a date that is not within 30 days before or after the anniversary date of the immediately preceding annual meeting (or if no annual meeting was held in the preceding year), not later than the date of the meeting is first announced by Versant. For the purposes of these advance notice provisions of our bylaws, the first anniversary date of our 2025 annual meeting will be deemed to be   , 2026.</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Proxy Access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Under our bylaws, up to 20 shareholders owning 3% or more of the aggregate number of shares outstanding of either class of our common stock continuously for at least three years may nominate the greater of two directors or up to 20% of our Board of Directors and include those nominees in our proxy materials. Notice of shareholder nominations for persons for election as a director that are to be included in our proxy statement must be delivered or mailed and received at our principal executive offices, not less than 120 days nor more than 150 days prior to the first anniversary of the date that we first distributed our proxy statement to shareholders for the immediately preceding annual meeting of shareholders.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of Liability and Indemnification of Directors and Officers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Sections 1741 through 1750 of Subchapter D, Chapter 17, of the Pennsylvania Business Corporation Law of 1988, as amended (“PBCL”), contain provisions for mandatory and discretionary indemnification of a corporation’s directors, officers and other personnel and related matters.</w:t>
      </w:r>
    </w:p>
    <w:p>
      <w:pPr>
        <w:spacing w:after="0" w:line="162"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or her conduct was unlawful.</w:t>
      </w:r>
    </w:p>
    <w:p>
      <w:pPr>
        <w:spacing w:after="0" w:line="19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1742 of the PBCL permits indemnification in derivative and corporate actions if the director or officer acted in good faith and in a manner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140"/>
          </w:cols>
          <w:pgMar w:left="320" w:top="455" w:right="439" w:bottom="1440" w:gutter="0" w:footer="0" w:header="0"/>
        </w:sectPr>
      </w:pPr>
    </w:p>
    <w:bookmarkStart w:id="899" w:name="page900"/>
    <w:bookmarkEnd w:id="8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00" w:firstLine="440"/>
        <w:spacing w:after="0" w:line="282" w:lineRule="auto"/>
        <w:rPr>
          <w:sz w:val="20"/>
          <w:szCs w:val="20"/>
          <w:color w:val="auto"/>
        </w:rPr>
      </w:pPr>
      <w:r>
        <w:rPr>
          <w:rFonts w:ascii="Times New Roman" w:cs="Times New Roman" w:eastAsia="Times New Roman" w:hAnsi="Times New Roman"/>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62"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Section 1744 of the PBCL provides that, unless ordered by a court, any indemnification under Section 1741 or 1742 of the PBCL will be made by the corporation only as authorized in the specific case upon a determination that the officer or director met the applicable standard of conduct, and such determination must be made (i) by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will ultimately be determined that he or she is not entitled to be indemnified by the corporation. Except as otherwise provided in the corporation’s bylaws, advancement of expenses must be authorized by the board of directors.</w:t>
      </w:r>
    </w:p>
    <w:p>
      <w:pPr>
        <w:spacing w:after="0" w:line="183" w:lineRule="exact"/>
        <w:rPr>
          <w:sz w:val="20"/>
          <w:szCs w:val="20"/>
          <w:color w:val="auto"/>
        </w:rPr>
      </w:pPr>
    </w:p>
    <w:p>
      <w:pPr>
        <w:jc w:val="both"/>
        <w:ind w:left="120" w:firstLine="440"/>
        <w:spacing w:after="0" w:line="258" w:lineRule="auto"/>
        <w:rPr>
          <w:sz w:val="20"/>
          <w:szCs w:val="20"/>
          <w:color w:val="auto"/>
        </w:rPr>
      </w:pPr>
      <w:r>
        <w:rPr>
          <w:rFonts w:ascii="Times New Roman" w:cs="Times New Roman" w:eastAsia="Times New Roman" w:hAnsi="Times New Roman"/>
          <w:sz w:val="18"/>
          <w:szCs w:val="18"/>
          <w:color w:val="auto"/>
        </w:rPr>
        <w:t>Section 1746 of the PBCL provides generally that the indemnification and advancement of expenses provided by Subchapter D of Chapter 17 of the PBCL is not exclusive of any other rights to which an officer or director seeking indemnification or advancement of expenses may be entitled under any bylaw, agreement, vote of shareholders or disinterested directors or otherwise, both as to action in the officer or director’s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83" w:lineRule="exact"/>
        <w:rPr>
          <w:sz w:val="20"/>
          <w:szCs w:val="20"/>
          <w:color w:val="auto"/>
        </w:rPr>
      </w:pPr>
    </w:p>
    <w:p>
      <w:pPr>
        <w:ind w:left="120" w:right="440" w:firstLine="440"/>
        <w:spacing w:after="0" w:line="266" w:lineRule="auto"/>
        <w:rPr>
          <w:sz w:val="20"/>
          <w:szCs w:val="20"/>
          <w:color w:val="auto"/>
        </w:rPr>
      </w:pPr>
      <w:r>
        <w:rPr>
          <w:rFonts w:ascii="Times New Roman" w:cs="Times New Roman" w:eastAsia="Times New Roman" w:hAnsi="Times New Roman"/>
          <w:sz w:val="18"/>
          <w:szCs w:val="18"/>
          <w:color w:val="auto"/>
        </w:rPr>
        <w:t>Section 1747 of the PBCL grants a corporation the power to purchase and maintain insurance on behalf of any director or officer against any liability asserted against the officer or director or incurred by the officer or director in his or her capacity as officer or director, whether or not the corporation would have the power to indemnify the officer or director against that liability under Subchapter D of Chapter 17 of the PBCL.</w:t>
      </w:r>
    </w:p>
    <w:p>
      <w:pPr>
        <w:spacing w:after="0" w:line="176" w:lineRule="exact"/>
        <w:rPr>
          <w:sz w:val="20"/>
          <w:szCs w:val="20"/>
          <w:color w:val="auto"/>
        </w:rPr>
      </w:pPr>
    </w:p>
    <w:p>
      <w:pPr>
        <w:ind w:left="120" w:right="160" w:firstLine="440"/>
        <w:spacing w:after="0" w:line="312" w:lineRule="auto"/>
        <w:rPr>
          <w:sz w:val="20"/>
          <w:szCs w:val="20"/>
          <w:color w:val="auto"/>
        </w:rPr>
      </w:pPr>
      <w:r>
        <w:rPr>
          <w:rFonts w:ascii="Times New Roman" w:cs="Times New Roman" w:eastAsia="Times New Roman" w:hAnsi="Times New Roman"/>
          <w:sz w:val="17"/>
          <w:szCs w:val="17"/>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140"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Section 1750 of the PBCL provides that the indemnification and advancement of expenses provided by, or granted pursuant to, Subchapter D of Chapter 17 of the PBCL will, unless otherwise provided when authorized or ratified, continue as to a person who has ceased to be a director or officer and will inure to the benefit of the heirs and personal representatives of such person.</w:t>
      </w:r>
    </w:p>
    <w:p>
      <w:pPr>
        <w:spacing w:after="0" w:line="176"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Article Eleventh of our articles of incorporation provides that no person who is or was a director of Versant will be personally liable, as such, for monetary damages (other than under criminal statutes and under laws imposing such liability on directors for the payment of taxes) unless such person’s conduct constitutes self-dealing, willful misconduct or recklessness. Article Twelfth of Versant’s articles of incorporation extends such protection to any person who is or was an officer of Versant.</w:t>
      </w:r>
    </w:p>
    <w:p>
      <w:pPr>
        <w:spacing w:after="0" w:line="180"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Article 7 of Versant’s bylaws provides that each current and, if applicable, former, officer and director of Versant will be indemnified and held harmless by Versant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Versant), whether civil, criminal, administrative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120"/>
          </w:cols>
          <w:pgMar w:left="320" w:top="455" w:right="459" w:bottom="1440" w:gutter="0" w:footer="0" w:header="0"/>
        </w:sectPr>
      </w:pPr>
    </w:p>
    <w:bookmarkStart w:id="900" w:name="page901"/>
    <w:bookmarkEnd w:id="9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investigative, including any appeal therefrom (a “Proceeding”) arising out of or related to such director’s or officer’s (x) service at any time in his or her capacity as a director or officer of Versant or (y) service at any time in his or her capacity at the request or for the benefit of Versant as a director, officer, employee, agent, partner, or fiduciary of, or in any other capacity for, another entity (such services described in clauses (x) and (y), the “Covered Services”). No indemnification will be made pursuant to Versant’s bylaws,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under Article 7 of Versant’s bylaws), unless the Proceeding (or part of the Proceeding) was authorized by the Board of Directors. The right to indemnification under Versant’s bylaws includes the right to have the expenses incurred by such director or officer in participating in any Proceeding paid by Versant in advance of the final disposition of the Proceeding arising out of or related to such director’s or officer’s Covered Services automatically and without any action or approval required by the Board of Directors, provided that, if Pennsylvania law requires, the payment of such expenses incurred by such director or officer in advance of the final disposition of a Proceeding shall be made only upon delivery to Versant of an undertaking, by or on behalf of such director or officer, to repay all advanced amounts without interest if it is ultimately determined that such director or officer is not entitled to be so indemnified.</w:t>
      </w:r>
    </w:p>
    <w:p>
      <w:pPr>
        <w:spacing w:after="0" w:line="187"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Article 7 of Versant’s bylaws also provides that Versant may purchase and maintain insurance, at its expense, for the benefit of any person on behalf of whom insurance is permitted to be purchased by Pennsylvania law against any expense, liability or loss, whether or not Versant would have the power to indemnify such person under Pennsylvania or any other law. Versant may also purchase and maintain insurance to insure its indemnification obligations.</w:t>
      </w:r>
    </w:p>
    <w:p>
      <w:pPr>
        <w:spacing w:after="0" w:line="18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In addition, Versant will enter into indemnification agreements with all of its directors, to indemnify the directors to the fullest extent permitted by applicable law. Versant will maintain directors and officers insurance to insure such persons against certain liabilities.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The foregoing statements are subject to the detailed provisions of the PBCL and to the applicable provisions of Versant’s articles of incorporation, bylaws and indemnification agreements.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Effects of Our Articles of Incorporation</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Some of the provisions of our articles of incorporation and bylaws (as described above), including the rights of holders of our Class B common stock, could make the following more difficult:</w:t>
      </w:r>
    </w:p>
    <w:p>
      <w:pPr>
        <w:spacing w:after="0" w:line="67" w:lineRule="exact"/>
        <w:rPr>
          <w:sz w:val="20"/>
          <w:szCs w:val="20"/>
          <w:color w:val="auto"/>
        </w:rPr>
      </w:pPr>
    </w:p>
    <w:p>
      <w:pPr>
        <w:ind w:left="1080" w:hanging="424"/>
        <w:spacing w:after="0"/>
        <w:tabs>
          <w:tab w:leader="none" w:pos="1080" w:val="left"/>
        </w:tabs>
        <w:numPr>
          <w:ilvl w:val="0"/>
          <w:numId w:val="1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of control of us by means of a proxy contest or otherwise;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removal of our incumbent officers and directors.</w:t>
      </w:r>
    </w:p>
    <w:p>
      <w:pPr>
        <w:spacing w:after="0" w:line="22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These provisions, including our ability to issue preferred stock, may discourage coercive takeover practices and inadequate takeover bids. These provisions may also encourage persons seeking to acquire control of us to first negotiate with our Board of Directors. We believe that the benefits of increased protection will give us the potential ability to negotiate with the proponent of an unfriendly or unsolicited proposal to acquire or restructure us, and that the benefits of this increased protection will outweigh the disadvantages of discouraging those proposals, because negotiation of those proposals could result in an improvement of their terms.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Pennsylvania Anti-Takeover Statutes</w:t>
      </w:r>
    </w:p>
    <w:p>
      <w:pPr>
        <w:spacing w:after="0" w:line="121" w:lineRule="exact"/>
        <w:rPr>
          <w:sz w:val="20"/>
          <w:szCs w:val="20"/>
          <w:color w:val="auto"/>
        </w:rPr>
      </w:pPr>
    </w:p>
    <w:p>
      <w:pPr>
        <w:ind w:left="120" w:right="280" w:firstLine="440"/>
        <w:spacing w:after="0" w:line="289" w:lineRule="auto"/>
        <w:rPr>
          <w:sz w:val="20"/>
          <w:szCs w:val="20"/>
          <w:color w:val="auto"/>
        </w:rPr>
      </w:pPr>
      <w:r>
        <w:rPr>
          <w:rFonts w:ascii="Times New Roman" w:cs="Times New Roman" w:eastAsia="Times New Roman" w:hAnsi="Times New Roman"/>
          <w:sz w:val="17"/>
          <w:szCs w:val="17"/>
          <w:color w:val="auto"/>
        </w:rPr>
        <w:t>Under Section 1712 of the PBCL, which is applicable to Versant, directors stand in a fiduciary relation to their corporation and, as such, are required to perform their duties in good faith, in a manner they reasonably believe to be in the best interests of the corporation and with such care, including reasonable inquiry, skill and diligence, as a person of ordinary prudence would use under similar circumstances. Under Section 1715 of the</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120"/>
          </w:cols>
          <w:pgMar w:left="320" w:top="455" w:right="459" w:bottom="1440" w:gutter="0" w:footer="0" w:header="0"/>
        </w:sectPr>
      </w:pPr>
    </w:p>
    <w:bookmarkStart w:id="901" w:name="page902"/>
    <w:bookmarkEnd w:id="9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PBCL, in discharging their duties, directors may, in considering the best interests of their corporation, consider, among other things, to the extent they deem appropriate: (i) the effects of any action upon any or all groups affected by the action, including shareholders, employees, suppliers, customers and creditors of the corporation, and upon communities in which offices or other establishments of the corporation are located, (ii) the short-term and long-term interests of the corporation, (iii) the resources, intent and conduct (past, stated and potential) of any person seeking to acquire control of the corporation and (iv) all other pertinent factors. In considering the best interests of the corporation or the effects of any action, directors are not required to regard any corporate interest or the interests of any particular group, including shareholders, affected by the action, as a dominant or controlling factor. Absent a breach of fiduciary duty, a lack of good faith or self-dealing, any act of the board of directors, a committee thereof or an individual director is presumed to be in the best interests of the corporation. The PBCL expressly provides that the fiduciary duty of directors does not require them to (i) redeem, modify or otherwise render inapplicable outstanding rights issued under any shareholder rights plan, (ii) render inapplicable specified statutory anti-takeover provisions or (iii) take any action solely because of the effect it may have on a proposed acquisition or the consideration to be received by shareholders in such a transaction.</w:t>
      </w:r>
    </w:p>
    <w:p>
      <w:pPr>
        <w:spacing w:after="0" w:line="192"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Versant has opted out of Subchapters E, F, G, H, I and J and Section 2538 of Subchapter D of the PBCL. Subchapter E of Chapter 25 of the PBCL requires a person who acquires 20% or more of the shares of a publicly traded corporation to offer to purchase the shares of any other shareholder at “fair value” (determined as provided in Section 2547 of the PBCL). Subchapter F of Chapter 25 of the PBCL prohibits a publicly traded corporation from engaging in a business combination with an interested shareholder absent approval in advance by the corporation’s board of directors or a certain majority of shareholders other than interested shareholders. Subchapter G of Chapter 25 of the PBCL blocks the voting rights of an acquiring person who makes or proposes to make a control-share acquisition, which is defined as increasing ownership in the corporation above a certain threshold. Subchapter H of Chapter 25 of the PBCL enables a company to recover certain profits from the sale of shares by shareholders who hold or will hold 20% of the voting power of the company or who have evidenced an intent to acquire control of the company. Subchapter I of Chapter 25 of the PBCL provides for a minimum severance payment to certain employees terminated within two years of the approval of a control-share acquisition. Subchapter J of Chapter 25 of the PBCL prohibits, in connection with certain “control-share acquisitions,” the abrogation of certain labor contracts, if any, prior to their stated date of expiration.</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Distributions of Securities</w:t>
      </w:r>
    </w:p>
    <w:p>
      <w:pPr>
        <w:spacing w:after="0" w:line="121" w:lineRule="exact"/>
        <w:rPr>
          <w:sz w:val="20"/>
          <w:szCs w:val="20"/>
          <w:color w:val="auto"/>
        </w:rPr>
      </w:pPr>
    </w:p>
    <w:p>
      <w:pPr>
        <w:jc w:val="both"/>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Versant was formed on May 1, 2025, and since its formation, it has not sold any securities, including sales of reacquired securities, new issues (other than to Comcast pursuant to Section 4(a)(2) of the Securities Act in connection with its formation), securities issued in exchange for property, services or other securities and new securities resulting from the modification of outstanding securities.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Authorized But Unissued Shares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Our authorized but unissued shares of common stock and preferred stock will be available for future issuance without your approval. We may use additional shares for a variety of purposes, including future public offerings to raise additional capital, to fund acquisitions and as employee compensation. The existence of authorized but unissued shares of common stock and preferred stock could render more difficult or discourage an attempt to obtain control of Versant by means of a proxy contest, tender offer, merger or otherwise.</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Equiniti Trust Company, LLC. Its telephone number is 651-450-4064.</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Versant has applied to have its shares of Class A common stock listed on Nasdaq under the ticker symbol “VSNT.”</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120"/>
          </w:cols>
          <w:pgMar w:left="320" w:top="455" w:right="459" w:bottom="1440" w:gutter="0" w:footer="0" w:header="0"/>
        </w:sectPr>
      </w:pPr>
    </w:p>
    <w:bookmarkStart w:id="902" w:name="page903"/>
    <w:bookmarkEnd w:id="9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10 with the SEC with respect to the shares of our Class A common stock being distributed in the Separation as contemplated by this information statement. This information statement is a part of, and does not contain all of the information set forth in, the registration statement and the exhibits to the registration statement. For further information with respect to Versant, please refer to the registration statement, including its exhibits. Statements made in this information statement relating to any contract or other document are not necessarily complete, and you should refer to the exhibits attached to the registration statement for the full text of the actual contract or document. You may review a copy of the registration statement, including its exhibits, at the Internet website maintained by the SEC at www.sec.gov. Information contained on any website referenced in this information statement is not incorporated by reference into this information statement or the registration statement of which this information statement forms a part.</w:t>
      </w:r>
    </w:p>
    <w:p>
      <w:pPr>
        <w:spacing w:after="0" w:line="192"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After the Separation, we will become subject to the information and reporting requirements of the Exchange Act, and, in accordance with the Exchange Act, we will file periodic reports, proxy statements and other information with the SEC. Our future filings will be available from the SEC as described above.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120"/>
          </w:cols>
          <w:pgMar w:left="320" w:top="455" w:right="459" w:bottom="1440" w:gutter="0" w:footer="0" w:header="0"/>
        </w:sectPr>
      </w:pPr>
    </w:p>
    <w:bookmarkStart w:id="903" w:name="page904"/>
    <w:bookmarkEnd w:id="9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INDEX TO COMBINED FINANCIAL STATEMENTS</w:t>
      </w:r>
    </w:p>
    <w:p>
      <w:pPr>
        <w:spacing w:after="0" w:line="11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Years Ended December 31, 2024, 2023 and 2022</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2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0000EE"/>
                <w:w w:val="99"/>
              </w:rPr>
              <w:t>Report of Independent Registered Public Accounting Firm</w:t>
            </w:r>
          </w:p>
        </w:tc>
        <w:tc>
          <w:tcPr>
            <w:tcW w:w="6340" w:type="dxa"/>
            <w:vAlign w:val="bottom"/>
            <w:gridSpan w:val="11"/>
            <w:vMerge w:val="restart"/>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4220" w:type="dxa"/>
            <w:vAlign w:val="bottom"/>
            <w:tcBorders>
              <w:bottom w:val="single" w:sz="8" w:color="0000EE"/>
            </w:tcBorders>
            <w:gridSpan w:val="3"/>
            <w:vMerge w:val="continue"/>
          </w:tcPr>
          <w:p>
            <w:pPr>
              <w:spacing w:after="0"/>
              <w:rPr>
                <w:sz w:val="14"/>
                <w:szCs w:val="14"/>
                <w:color w:val="auto"/>
              </w:rPr>
            </w:pPr>
          </w:p>
        </w:tc>
        <w:tc>
          <w:tcPr>
            <w:tcW w:w="6340" w:type="dxa"/>
            <w:vAlign w:val="bottom"/>
            <w:gridSpan w:val="11"/>
            <w:vMerge w:val="continue"/>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F-2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Income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F-4</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Comprehensive Income for the years ended 2024, 2023 and 2022</w:t>
            </w:r>
          </w:p>
        </w:tc>
        <w:tc>
          <w:tcPr>
            <w:tcW w:w="4040" w:type="dxa"/>
            <w:vAlign w:val="bottom"/>
            <w:gridSpan w:val="5"/>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F-5</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Combined Statements of Cash Flows for the years ended 2024, 2023 and 2022</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F-6</w:t>
            </w:r>
          </w:p>
        </w:tc>
        <w:tc>
          <w:tcPr>
            <w:tcW w:w="0" w:type="dxa"/>
            <w:vAlign w:val="bottom"/>
          </w:tcPr>
          <w:p>
            <w:pPr>
              <w:spacing w:after="0"/>
              <w:rPr>
                <w:sz w:val="1"/>
                <w:szCs w:val="1"/>
                <w:color w:val="auto"/>
              </w:rPr>
            </w:pPr>
          </w:p>
        </w:tc>
      </w:tr>
      <w:tr>
        <w:trPr>
          <w:trHeight w:val="196"/>
        </w:trPr>
        <w:tc>
          <w:tcPr>
            <w:tcW w:w="56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Combined Balance Sheets as of December 31, 2024 and 2023</w:t>
            </w:r>
          </w:p>
        </w:tc>
        <w:tc>
          <w:tcPr>
            <w:tcW w:w="4920" w:type="dxa"/>
            <w:vAlign w:val="bottom"/>
            <w:gridSpan w:val="8"/>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F-7</w:t>
            </w:r>
          </w:p>
        </w:tc>
        <w:tc>
          <w:tcPr>
            <w:tcW w:w="0" w:type="dxa"/>
            <w:vAlign w:val="bottom"/>
          </w:tcPr>
          <w:p>
            <w:pPr>
              <w:spacing w:after="0"/>
              <w:rPr>
                <w:sz w:val="1"/>
                <w:szCs w:val="1"/>
                <w:color w:val="auto"/>
              </w:rPr>
            </w:pPr>
          </w:p>
        </w:tc>
      </w:tr>
      <w:tr>
        <w:trPr>
          <w:trHeight w:val="20"/>
        </w:trPr>
        <w:tc>
          <w:tcPr>
            <w:tcW w:w="29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14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Combined Statements of Changes in Equity for the years ended 2024, 2023 and 2022</w:t>
            </w:r>
          </w:p>
        </w:tc>
        <w:tc>
          <w:tcPr>
            <w:tcW w:w="442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F-8</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Notes to Combined Financial Statements</w:t>
            </w:r>
          </w:p>
        </w:tc>
        <w:tc>
          <w:tcPr>
            <w:tcW w:w="80" w:type="dxa"/>
            <w:vAlign w:val="bottom"/>
          </w:tcPr>
          <w:p>
            <w:pPr>
              <w:spacing w:after="0"/>
              <w:rPr>
                <w:sz w:val="17"/>
                <w:szCs w:val="17"/>
                <w:color w:val="auto"/>
              </w:rPr>
            </w:pPr>
          </w:p>
        </w:tc>
        <w:tc>
          <w:tcPr>
            <w:tcW w:w="34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F-9</w:t>
            </w:r>
          </w:p>
        </w:tc>
        <w:tc>
          <w:tcPr>
            <w:tcW w:w="0" w:type="dxa"/>
            <w:vAlign w:val="bottom"/>
          </w:tcPr>
          <w:p>
            <w:pPr>
              <w:spacing w:after="0"/>
              <w:rPr>
                <w:sz w:val="1"/>
                <w:szCs w:val="1"/>
                <w:color w:val="auto"/>
              </w:rPr>
            </w:pPr>
          </w:p>
        </w:tc>
      </w:tr>
      <w:tr>
        <w:trPr>
          <w:trHeight w:val="453"/>
        </w:trPr>
        <w:tc>
          <w:tcPr>
            <w:tcW w:w="2940" w:type="dxa"/>
            <w:vAlign w:val="bottom"/>
            <w:tcBorders>
              <w:top w:val="single" w:sz="8" w:color="0000EE"/>
            </w:tcBorders>
          </w:tcPr>
          <w:p>
            <w:pPr>
              <w:spacing w:after="0"/>
              <w:rPr>
                <w:sz w:val="24"/>
                <w:szCs w:val="24"/>
                <w:color w:val="auto"/>
              </w:rPr>
            </w:pPr>
          </w:p>
        </w:tc>
        <w:tc>
          <w:tcPr>
            <w:tcW w:w="7620" w:type="dxa"/>
            <w:vAlign w:val="bottom"/>
            <w:gridSpan w:val="13"/>
          </w:tcPr>
          <w:p>
            <w:pPr>
              <w:jc w:val="center"/>
              <w:ind w:right="2480"/>
              <w:spacing w:after="0"/>
              <w:rPr>
                <w:sz w:val="20"/>
                <w:szCs w:val="20"/>
                <w:color w:val="auto"/>
              </w:rPr>
            </w:pPr>
            <w:r>
              <w:rPr>
                <w:rFonts w:ascii="Times New Roman" w:cs="Times New Roman" w:eastAsia="Times New Roman" w:hAnsi="Times New Roman"/>
                <w:sz w:val="18"/>
                <w:szCs w:val="18"/>
                <w:b w:val="1"/>
                <w:bCs w:val="1"/>
                <w:color w:val="auto"/>
                <w:w w:val="99"/>
              </w:rPr>
              <w:t>Six Months Ended June 30, 2025 and 2024 (Unaudited)</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50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Combined Statements of Income for the three and six months ended June 30, 2025 and 2024</w:t>
            </w:r>
          </w:p>
        </w:tc>
        <w:tc>
          <w:tcPr>
            <w:tcW w:w="3060" w:type="dxa"/>
            <w:vAlign w:val="bottom"/>
            <w:gridSpan w:val="3"/>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7500" w:type="dxa"/>
            <w:vAlign w:val="bottom"/>
            <w:tcBorders>
              <w:bottom w:val="single" w:sz="8" w:color="0000EE"/>
            </w:tcBorders>
            <w:gridSpan w:val="11"/>
            <w:vMerge w:val="continue"/>
          </w:tcPr>
          <w:p>
            <w:pPr>
              <w:spacing w:after="0"/>
              <w:rPr>
                <w:sz w:val="14"/>
                <w:szCs w:val="14"/>
                <w:color w:val="auto"/>
              </w:rPr>
            </w:pPr>
          </w:p>
        </w:tc>
        <w:tc>
          <w:tcPr>
            <w:tcW w:w="3060" w:type="dxa"/>
            <w:vAlign w:val="bottom"/>
            <w:gridSpan w:val="3"/>
            <w:vMerge w:val="continue"/>
          </w:tcPr>
          <w:p>
            <w:pPr>
              <w:spacing w:after="0"/>
              <w:rPr>
                <w:sz w:val="14"/>
                <w:szCs w:val="14"/>
                <w:color w:val="auto"/>
              </w:rPr>
            </w:pPr>
          </w:p>
        </w:tc>
        <w:tc>
          <w:tcPr>
            <w:tcW w:w="400" w:type="dxa"/>
            <w:vAlign w:val="bottom"/>
            <w:tcBorders>
              <w:top w:val="single" w:sz="8" w:color="auto"/>
            </w:tcBorders>
            <w:gridSpan w:val="2"/>
          </w:tcPr>
          <w:p>
            <w:pPr>
              <w:jc w:val="right"/>
              <w:spacing w:after="0" w:line="169" w:lineRule="exact"/>
              <w:rPr>
                <w:sz w:val="20"/>
                <w:szCs w:val="20"/>
                <w:color w:val="auto"/>
              </w:rPr>
            </w:pPr>
            <w:r>
              <w:rPr>
                <w:rFonts w:ascii="Times New Roman" w:cs="Times New Roman" w:eastAsia="Times New Roman" w:hAnsi="Times New Roman"/>
                <w:sz w:val="18"/>
                <w:szCs w:val="18"/>
                <w:color w:val="auto"/>
              </w:rPr>
              <w:t>F-23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6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Comprehensive Income for the three and six months ended June 30, 2025 and 2024</w:t>
            </w:r>
          </w:p>
        </w:tc>
        <w:tc>
          <w:tcPr>
            <w:tcW w:w="188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F-24</w:t>
            </w:r>
          </w:p>
        </w:tc>
        <w:tc>
          <w:tcPr>
            <w:tcW w:w="0" w:type="dxa"/>
            <w:vAlign w:val="bottom"/>
          </w:tcPr>
          <w:p>
            <w:pPr>
              <w:spacing w:after="0"/>
              <w:rPr>
                <w:sz w:val="1"/>
                <w:szCs w:val="1"/>
                <w:color w:val="auto"/>
              </w:rPr>
            </w:pPr>
          </w:p>
        </w:tc>
      </w:tr>
      <w:tr>
        <w:trPr>
          <w:trHeight w:val="196"/>
        </w:trPr>
        <w:tc>
          <w:tcPr>
            <w:tcW w:w="710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Cash Flows for the six months ended June 30, 2025 and 2024</w:t>
            </w:r>
          </w:p>
        </w:tc>
        <w:tc>
          <w:tcPr>
            <w:tcW w:w="3460" w:type="dxa"/>
            <w:vAlign w:val="bottom"/>
            <w:gridSpan w:val="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F-25</w:t>
            </w:r>
          </w:p>
        </w:tc>
        <w:tc>
          <w:tcPr>
            <w:tcW w:w="0" w:type="dxa"/>
            <w:vAlign w:val="bottom"/>
          </w:tcPr>
          <w:p>
            <w:pPr>
              <w:spacing w:after="0"/>
              <w:rPr>
                <w:sz w:val="1"/>
                <w:szCs w:val="1"/>
                <w:color w:val="auto"/>
              </w:rPr>
            </w:pPr>
          </w:p>
        </w:tc>
      </w:tr>
      <w:tr>
        <w:trPr>
          <w:trHeight w:val="196"/>
        </w:trPr>
        <w:tc>
          <w:tcPr>
            <w:tcW w:w="59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Balance Sheets as of June 30, 2025 and December 31, 2024</w:t>
            </w:r>
          </w:p>
        </w:tc>
        <w:tc>
          <w:tcPr>
            <w:tcW w:w="462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F-26</w:t>
            </w:r>
          </w:p>
        </w:tc>
        <w:tc>
          <w:tcPr>
            <w:tcW w:w="0" w:type="dxa"/>
            <w:vAlign w:val="bottom"/>
          </w:tcPr>
          <w:p>
            <w:pPr>
              <w:spacing w:after="0"/>
              <w:rPr>
                <w:sz w:val="1"/>
                <w:szCs w:val="1"/>
                <w:color w:val="auto"/>
              </w:rPr>
            </w:pPr>
          </w:p>
        </w:tc>
      </w:tr>
      <w:tr>
        <w:trPr>
          <w:trHeight w:val="196"/>
        </w:trPr>
        <w:tc>
          <w:tcPr>
            <w:tcW w:w="10560" w:type="dxa"/>
            <w:vAlign w:val="bottom"/>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Equity for the three and six months ended June 30, 2025 and 2024</w:t>
            </w: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F-27</w:t>
            </w:r>
          </w:p>
        </w:tc>
        <w:tc>
          <w:tcPr>
            <w:tcW w:w="0" w:type="dxa"/>
            <w:vAlign w:val="bottom"/>
          </w:tcPr>
          <w:p>
            <w:pPr>
              <w:spacing w:after="0"/>
              <w:rPr>
                <w:sz w:val="1"/>
                <w:szCs w:val="1"/>
                <w:color w:val="auto"/>
              </w:rPr>
            </w:pPr>
          </w:p>
        </w:tc>
      </w:tr>
      <w:tr>
        <w:trPr>
          <w:trHeight w:val="196"/>
        </w:trPr>
        <w:tc>
          <w:tcPr>
            <w:tcW w:w="828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w:t>
            </w:r>
          </w:p>
        </w:tc>
        <w:tc>
          <w:tcPr>
            <w:tcW w:w="22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F-28</w:t>
            </w:r>
          </w:p>
        </w:tc>
        <w:tc>
          <w:tcPr>
            <w:tcW w:w="0" w:type="dxa"/>
            <w:vAlign w:val="bottom"/>
          </w:tcPr>
          <w:p>
            <w:pPr>
              <w:spacing w:after="0"/>
              <w:rPr>
                <w:sz w:val="1"/>
                <w:szCs w:val="1"/>
                <w:color w:val="auto"/>
              </w:rPr>
            </w:pPr>
          </w:p>
        </w:tc>
      </w:tr>
      <w:tr>
        <w:trPr>
          <w:trHeight w:val="385"/>
        </w:trPr>
        <w:tc>
          <w:tcPr>
            <w:tcW w:w="294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20" w:type="dxa"/>
            <w:vAlign w:val="bottom"/>
            <w:gridSpan w:val="9"/>
          </w:tcPr>
          <w:p>
            <w:pPr>
              <w:jc w:val="center"/>
              <w:ind w:right="4900"/>
              <w:spacing w:after="0"/>
              <w:rPr>
                <w:sz w:val="20"/>
                <w:szCs w:val="20"/>
                <w:color w:val="auto"/>
              </w:rPr>
            </w:pPr>
            <w:r>
              <w:rPr>
                <w:rFonts w:ascii="Times New Roman" w:cs="Times New Roman" w:eastAsia="Times New Roman" w:hAnsi="Times New Roman"/>
                <w:sz w:val="18"/>
                <w:szCs w:val="18"/>
                <w:color w:val="auto"/>
                <w:w w:val="95"/>
              </w:rPr>
              <w:t>F-1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904" w:name="page905"/>
    <w:bookmarkEnd w:id="9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right="2360" w:firstLine="2427"/>
        <w:spacing w:after="0" w:line="412"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Shareholders and the Board of Directors of Comcast Corporation</w:t>
      </w:r>
    </w:p>
    <w:p>
      <w:pPr>
        <w:spacing w:after="0" w:line="1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left="120" w:right="100" w:firstLine="4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combined balance sheets of the Versant businesses of Comcast Corporation, (the “Company”) as of December 31, 2024 and 2023, the related combined statements of income, comprehensive income, changes in equity, and cash flows, for each of the three years in the period ended December 31, 2024, and the related notes (collectively referred to as the “financial statements”). In our opinion, the financial statements present fairly, in all material respects, the financial position of the Company as of December 31, 2024 and 2023, and the results of its operations and its cash flows for each of the three years in the period ended December 31, 2024, in conformity with accounting principles generally accepted in the United States of America.</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Audit Matter</w:t>
      </w:r>
    </w:p>
    <w:p>
      <w:pPr>
        <w:spacing w:after="0" w:line="121" w:lineRule="exact"/>
        <w:rPr>
          <w:sz w:val="20"/>
          <w:szCs w:val="20"/>
          <w:color w:val="auto"/>
        </w:rPr>
      </w:pPr>
    </w:p>
    <w:p>
      <w:pPr>
        <w:ind w:left="120" w:right="40" w:firstLine="440"/>
        <w:spacing w:after="0" w:line="276"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w:t>
      </w:r>
    </w:p>
    <w:p>
      <w:pPr>
        <w:spacing w:after="0" w:line="1" w:lineRule="exact"/>
        <w:rPr>
          <w:sz w:val="20"/>
          <w:szCs w:val="20"/>
          <w:color w:val="auto"/>
        </w:rPr>
      </w:pPr>
    </w:p>
    <w:p>
      <w:pPr>
        <w:ind w:left="120" w:hanging="4"/>
        <w:spacing w:after="0" w:line="255" w:lineRule="auto"/>
        <w:tabs>
          <w:tab w:leader="none" w:pos="375" w:val="left"/>
        </w:tabs>
        <w:numPr>
          <w:ilvl w:val="0"/>
          <w:numId w:val="1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 – Refer to Notes 1 and 7 to the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119" w:lineRule="exact"/>
        <w:rPr>
          <w:sz w:val="20"/>
          <w:szCs w:val="20"/>
          <w:color w:val="auto"/>
        </w:rPr>
      </w:pPr>
    </w:p>
    <w:p>
      <w:pPr>
        <w:jc w:val="both"/>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Comcast Corporation (“Comcast”) intends to execute a spin-off of the Company into a standalone, publicly traded company. As the Company’s businesses were operated as a part of Comcast’s Media segment, the Company’s combined balance sheets include an allocated amount of goodwill of $7.7 billion from Comcast’s Media segment, which was determined using a relative fair value analysis as of July 1, 2024, the date of Comcast’s most recent annual goodwill impairment assessment.</w:t>
      </w: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60"/>
          </w:cols>
          <w:pgMar w:left="320" w:top="455" w:right="519" w:bottom="1440" w:gutter="0" w:footer="0" w:header="0"/>
        </w:sectPr>
      </w:pPr>
    </w:p>
    <w:bookmarkStart w:id="905" w:name="page906"/>
    <w:bookmarkEnd w:id="9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Company used the discounted cash flow model to estimate fair value, which requires management to make significant judgments related to discount rates and forecasts of expected cash flows. Changes in these assumptions could have a significant impact on the fair value.</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identified the goodwill relative fair value analysis of the Company’s allocated goodwill as a critical audit matter because of the significant judgments made by management to estimate the fair values used in the analysis. This required a high degree of auditor judgment and an increased extent of effort, when performing audit procedures to evaluate the reasonableness of management’s estimates and assumptions related to the selection of the discount rates, revenue growth rates and Adjusted EBITDA margins included in future expected cash flows used in the analysis.</w:t>
      </w:r>
    </w:p>
    <w:p>
      <w:pPr>
        <w:spacing w:after="0" w:line="2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11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Our audit procedures to evaluate the reasonableness of management’s estimates and assumptions related to the selection of the discount rates, revenue growth rates and Adjusted EBITDA margins included in future expected cash flows used by management to estimate the fair values included the following, among others:</w:t>
      </w:r>
    </w:p>
    <w:p>
      <w:pPr>
        <w:spacing w:after="0" w:line="81" w:lineRule="exact"/>
        <w:rPr>
          <w:sz w:val="20"/>
          <w:szCs w:val="20"/>
          <w:color w:val="auto"/>
        </w:rPr>
      </w:pPr>
    </w:p>
    <w:p>
      <w:pPr>
        <w:ind w:left="1080" w:right="140" w:hanging="424"/>
        <w:spacing w:after="0" w:line="266" w:lineRule="auto"/>
        <w:tabs>
          <w:tab w:leader="none" w:pos="1080" w:val="left"/>
        </w:tabs>
        <w:numPr>
          <w:ilvl w:val="0"/>
          <w:numId w:val="1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our fair value specialists, we evaluated the reasonableness of the (1) valuation methodology and (2) discount rates, including testing the source information underlying the determination of the discount rates, testing the mathematical accuracy of the calculation, and developing a range of independent estimates and comparing those to the discount rates selected by management.</w:t>
      </w:r>
    </w:p>
    <w:p>
      <w:pPr>
        <w:spacing w:after="0" w:line="81"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ability to accurately forecast future revenue growth rates and Adjusted EBITDA margins by comparing prior year forecasts to actual results in the respective years.</w:t>
      </w:r>
    </w:p>
    <w:p>
      <w:pPr>
        <w:spacing w:after="0" w:line="67"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1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reasonableness of management’s current forecasts of future revenue growth rates and Adjusted EBITDA margins by comparing such forecasts to historical results and to forecasted information included in analyst and industry reports of the Company and companies in its peer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May 30, 2025</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served as the Company’s auditor since 2025.</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100"/>
          </w:cols>
          <w:pgMar w:left="320" w:top="455" w:right="479" w:bottom="1440" w:gutter="0" w:footer="0" w:header="0"/>
        </w:sectPr>
      </w:pPr>
    </w:p>
    <w:bookmarkStart w:id="906" w:name="page907"/>
    <w:bookmarkEnd w:id="9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564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26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center"/>
              <w:ind w:left="1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3"/>
          </w:tcPr>
          <w:p>
            <w:pPr>
              <w:jc w:val="center"/>
              <w:ind w:right="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686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b w:val="1"/>
                <w:bCs w:val="1"/>
                <w:color w:val="auto"/>
                <w:vertAlign w:val="superscript"/>
              </w:rPr>
              <w:t>(a)</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$7,062</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$7,445</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$7,834</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(b)</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3,064</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3,154</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3,161</w:t>
            </w:r>
          </w:p>
        </w:tc>
      </w:tr>
      <w:tr>
        <w:trPr>
          <w:trHeight w:val="216"/>
        </w:trPr>
        <w:tc>
          <w:tcPr>
            <w:tcW w:w="68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1,167</w:t>
            </w:r>
          </w:p>
        </w:tc>
        <w:tc>
          <w:tcPr>
            <w:tcW w:w="9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1,231</w:t>
            </w:r>
          </w:p>
        </w:tc>
        <w:tc>
          <w:tcPr>
            <w:tcW w:w="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r>
      <w:tr>
        <w:trPr>
          <w:trHeight w:val="216"/>
        </w:trPr>
        <w:tc>
          <w:tcPr>
            <w:tcW w:w="68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989</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991</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23"/>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9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5,424</w:t>
            </w:r>
          </w:p>
        </w:tc>
        <w:tc>
          <w:tcPr>
            <w:tcW w:w="120" w:type="dxa"/>
            <w:vAlign w:val="bottom"/>
          </w:tcPr>
          <w:p>
            <w:pPr>
              <w:spacing w:after="0"/>
              <w:rPr>
                <w:sz w:val="19"/>
                <w:szCs w:val="19"/>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1,841</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2,410</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2,069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2,349</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(478)</w:t>
            </w:r>
          </w:p>
        </w:tc>
        <w:tc>
          <w:tcPr>
            <w:tcW w:w="9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(530)</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(591)</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1,540</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6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25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1,539</w:t>
            </w:r>
          </w:p>
        </w:tc>
        <w:tc>
          <w:tcPr>
            <w:tcW w:w="7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1,764</w:t>
            </w: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540" w:hanging="424"/>
        <w:spacing w:after="0"/>
        <w:tabs>
          <w:tab w:leader="none" w:pos="540" w:val="left"/>
        </w:tabs>
        <w:numPr>
          <w:ilvl w:val="0"/>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$1.26 billion, $1.34 billion and $1.39 billion for 2024, 2023 and 2022, respectively.</w:t>
      </w:r>
    </w:p>
    <w:p>
      <w:pPr>
        <w:spacing w:after="0" w:line="27" w:lineRule="exact"/>
        <w:rPr>
          <w:rFonts w:ascii="Times New Roman" w:cs="Times New Roman" w:eastAsia="Times New Roman" w:hAnsi="Times New Roman"/>
          <w:sz w:val="18"/>
          <w:szCs w:val="18"/>
          <w:color w:val="auto"/>
        </w:rPr>
      </w:pPr>
    </w:p>
    <w:p>
      <w:pPr>
        <w:ind w:left="540" w:hanging="424"/>
        <w:spacing w:after="0"/>
        <w:tabs>
          <w:tab w:leader="none" w:pos="540" w:val="left"/>
        </w:tabs>
        <w:numPr>
          <w:ilvl w:val="0"/>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$1.42 billion, $1.42 billion and $1.43 billion for 2024, 2023 and 2022, respectively.</w:t>
      </w:r>
    </w:p>
    <w:p>
      <w:pPr>
        <w:spacing w:after="0" w:line="2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1140"/>
          </w:cols>
          <w:pgMar w:left="320" w:top="455" w:right="439" w:bottom="1440" w:gutter="0" w:footer="0" w:header="0"/>
        </w:sectPr>
      </w:pPr>
    </w:p>
    <w:bookmarkStart w:id="907" w:name="page908"/>
    <w:bookmarkEnd w:id="9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COMPREHENSIVE INCOME</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200" w:type="dxa"/>
            <w:vAlign w:val="bottom"/>
            <w:gridSpan w:val="8"/>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jc w:val="center"/>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$1,365</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$1,540</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 (expense) benefit:</w:t>
            </w:r>
          </w:p>
        </w:tc>
        <w:tc>
          <w:tcPr>
            <w:tcW w:w="1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20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4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1,779</w:t>
            </w:r>
          </w:p>
        </w:tc>
        <w:tc>
          <w:tcPr>
            <w:tcW w:w="120" w:type="dxa"/>
            <w:vAlign w:val="bottom"/>
          </w:tcPr>
          <w:p>
            <w:pPr>
              <w:spacing w:after="0"/>
              <w:rPr>
                <w:sz w:val="19"/>
                <w:szCs w:val="19"/>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1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ind w:left="220"/>
              <w:spacing w:after="0"/>
              <w:rPr>
                <w:sz w:val="20"/>
                <w:szCs w:val="20"/>
                <w:color w:val="auto"/>
              </w:rPr>
            </w:pPr>
            <w:r>
              <w:rPr>
                <w:rFonts w:ascii="Times New Roman" w:cs="Times New Roman" w:eastAsia="Times New Roman" w:hAnsi="Times New Roman"/>
                <w:sz w:val="18"/>
                <w:szCs w:val="18"/>
                <w:color w:val="auto"/>
                <w:w w:val="96"/>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7"/>
        </w:trPr>
        <w:tc>
          <w:tcPr>
            <w:tcW w:w="12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2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1,363</w:t>
            </w:r>
          </w:p>
        </w:tc>
        <w:tc>
          <w:tcPr>
            <w:tcW w:w="9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1,541</w:t>
            </w:r>
          </w:p>
        </w:tc>
        <w:tc>
          <w:tcPr>
            <w:tcW w:w="7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1,779</w:t>
            </w:r>
          </w:p>
        </w:tc>
      </w:tr>
      <w:tr>
        <w:trPr>
          <w:trHeight w:val="20"/>
        </w:trPr>
        <w:tc>
          <w:tcPr>
            <w:tcW w:w="12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6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1140"/>
          </w:cols>
          <w:pgMar w:left="320" w:top="455" w:right="439" w:bottom="1440" w:gutter="0" w:footer="0" w:header="0"/>
        </w:sectPr>
      </w:pPr>
    </w:p>
    <w:bookmarkStart w:id="908" w:name="page909"/>
    <w:bookmarkEnd w:id="9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CASH FLOWS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8"/>
          </w:tcPr>
          <w:p>
            <w:pPr>
              <w:jc w:val="center"/>
              <w:ind w:left="2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4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center"/>
              <w:ind w:right="1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4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1,365</w:t>
            </w:r>
          </w:p>
        </w:tc>
        <w:tc>
          <w:tcPr>
            <w:tcW w:w="18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1,540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1,758</w:t>
            </w: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992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66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— </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2,211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2,428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2,509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(71)</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(39)</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5"/>
              </w:rPr>
              <w:t>(2,142)</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w w:val="95"/>
              </w:rPr>
              <w:t>(2,359)</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(2,492)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6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1220" w:type="dxa"/>
            <w:vAlign w:val="bottom"/>
          </w:tcPr>
          <w:p>
            <w:pPr>
              <w:spacing w:after="0"/>
              <w:rPr>
                <w:sz w:val="2"/>
                <w:szCs w:val="2"/>
                <w:color w:val="auto"/>
              </w:rPr>
            </w:pPr>
          </w:p>
        </w:tc>
        <w:tc>
          <w:tcPr>
            <w:tcW w:w="7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5"/>
              </w:rPr>
              <w:t>(2,155)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5"/>
              </w:rPr>
              <w:t>(2,355)</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(2,486)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4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r>
      <w:tr>
        <w:trPr>
          <w:trHeight w:val="216"/>
        </w:trPr>
        <w:tc>
          <w:tcPr>
            <w:tcW w:w="8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r>
      <w:tr>
        <w:trPr>
          <w:trHeight w:val="223"/>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120" w:type="dxa"/>
            <w:vAlign w:val="bottom"/>
          </w:tcPr>
          <w:p>
            <w:pPr>
              <w:spacing w:after="0"/>
              <w:rPr>
                <w:sz w:val="19"/>
                <w:szCs w:val="19"/>
                <w:color w:val="auto"/>
              </w:rPr>
            </w:pPr>
          </w:p>
        </w:tc>
      </w:tr>
      <w:tr>
        <w:trPr>
          <w:trHeight w:val="20"/>
        </w:trPr>
        <w:tc>
          <w:tcPr>
            <w:tcW w:w="12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F-6</w:t>
      </w:r>
    </w:p>
    <w:p>
      <w:pPr>
        <w:sectPr>
          <w:pgSz w:w="11900" w:h="16838" w:orient="portrait"/>
          <w:cols w:equalWidth="0" w:num="1">
            <w:col w:w="11140"/>
          </w:cols>
          <w:pgMar w:left="320" w:top="455" w:right="439" w:bottom="1440" w:gutter="0" w:footer="0" w:header="0"/>
        </w:sectPr>
      </w:pPr>
    </w:p>
    <w:bookmarkStart w:id="909" w:name="page910"/>
    <w:bookmarkEnd w:id="9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BALANCE SHEETS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8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8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gridSpan w:val="5"/>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1,245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 net</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1,869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0" w:type="dxa"/>
            <w:vAlign w:val="bottom"/>
          </w:tcPr>
          <w:p>
            <w:pPr>
              <w:spacing w:after="0"/>
              <w:rPr>
                <w:sz w:val="1"/>
                <w:szCs w:val="1"/>
                <w:color w:val="auto"/>
              </w:rPr>
            </w:pPr>
          </w:p>
        </w:tc>
      </w:tr>
      <w:tr>
        <w:trPr>
          <w:trHeight w:val="20"/>
        </w:trPr>
        <w:tc>
          <w:tcPr>
            <w:tcW w:w="9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40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102</w:t>
            </w:r>
          </w:p>
        </w:tc>
        <w:tc>
          <w:tcPr>
            <w:tcW w:w="3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614</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572</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8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8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— </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10,805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c>
          <w:tcPr>
            <w:tcW w:w="0" w:type="dxa"/>
            <w:vAlign w:val="bottom"/>
          </w:tcPr>
          <w:p>
            <w:pPr>
              <w:spacing w:after="0"/>
              <w:rPr>
                <w:sz w:val="1"/>
                <w:szCs w:val="1"/>
                <w:color w:val="auto"/>
              </w:rPr>
            </w:pPr>
          </w:p>
        </w:tc>
      </w:tr>
      <w:tr>
        <w:trPr>
          <w:trHeight w:val="216"/>
        </w:trPr>
        <w:tc>
          <w:tcPr>
            <w:tcW w:w="940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80" w:type="dxa"/>
            <w:vAlign w:val="bottom"/>
          </w:tcPr>
          <w:p>
            <w:pPr>
              <w:spacing w:after="0"/>
              <w:rPr>
                <w:sz w:val="18"/>
                <w:szCs w:val="18"/>
                <w:color w:val="auto"/>
              </w:rPr>
            </w:pPr>
          </w:p>
        </w:tc>
        <w:tc>
          <w:tcPr>
            <w:tcW w:w="8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10,797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11,560</w:t>
            </w:r>
          </w:p>
        </w:tc>
        <w:tc>
          <w:tcPr>
            <w:tcW w:w="0" w:type="dxa"/>
            <w:vAlign w:val="bottom"/>
          </w:tcPr>
          <w:p>
            <w:pPr>
              <w:spacing w:after="0"/>
              <w:rPr>
                <w:sz w:val="1"/>
                <w:szCs w:val="1"/>
                <w:color w:val="auto"/>
              </w:rPr>
            </w:pPr>
          </w:p>
        </w:tc>
      </w:tr>
      <w:tr>
        <w:trPr>
          <w:trHeight w:val="216"/>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8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4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10,915</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6"/>
              </w:rPr>
              <w:t>11,677</w:t>
            </w:r>
          </w:p>
        </w:tc>
        <w:tc>
          <w:tcPr>
            <w:tcW w:w="0" w:type="dxa"/>
            <w:vAlign w:val="bottom"/>
          </w:tcPr>
          <w:p>
            <w:pPr>
              <w:spacing w:after="0"/>
              <w:rPr>
                <w:sz w:val="1"/>
                <w:szCs w:val="1"/>
                <w:color w:val="auto"/>
              </w:rPr>
            </w:pPr>
          </w:p>
        </w:tc>
      </w:tr>
      <w:tr>
        <w:trPr>
          <w:trHeight w:val="223"/>
        </w:trPr>
        <w:tc>
          <w:tcPr>
            <w:tcW w:w="9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12,049</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13,099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8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8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F-7</w:t>
      </w:r>
    </w:p>
    <w:p>
      <w:pPr>
        <w:sectPr>
          <w:pgSz w:w="11900" w:h="16838" w:orient="portrait"/>
          <w:cols w:equalWidth="0" w:num="1">
            <w:col w:w="11140"/>
          </w:cols>
          <w:pgMar w:left="320" w:top="455" w:right="439" w:bottom="1440" w:gutter="0" w:footer="0" w:header="0"/>
        </w:sectPr>
      </w:pPr>
    </w:p>
    <w:bookmarkStart w:id="910" w:name="page911"/>
    <w:bookmarkEnd w:id="9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COMBINED STATEMENTS OF CHANGES IN EQUITY</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1220" w:type="dxa"/>
            <w:vAlign w:val="bottom"/>
          </w:tcPr>
          <w:p>
            <w:pPr>
              <w:spacing w:after="0"/>
              <w:rPr>
                <w:sz w:val="15"/>
                <w:szCs w:val="15"/>
                <w:color w:val="auto"/>
              </w:rPr>
            </w:pPr>
          </w:p>
        </w:tc>
        <w:tc>
          <w:tcPr>
            <w:tcW w:w="7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6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12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4"/>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96"/>
              </w:rPr>
              <w:t>11,568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12,373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13,078</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(2,126)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(2,344)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(2,469)</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1,363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1,539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10,805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11,568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12,373</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1220" w:type="dxa"/>
            <w:vAlign w:val="bottom"/>
          </w:tcPr>
          <w:p>
            <w:pPr>
              <w:spacing w:after="0"/>
              <w:rPr>
                <w:sz w:val="2"/>
                <w:szCs w:val="2"/>
                <w:color w:val="auto"/>
              </w:rPr>
            </w:pPr>
          </w:p>
        </w:tc>
        <w:tc>
          <w:tcPr>
            <w:tcW w:w="7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(9)</w:t>
            </w:r>
          </w:p>
        </w:tc>
      </w:tr>
      <w:tr>
        <w:trPr>
          <w:trHeight w:val="223"/>
        </w:trPr>
        <w:tc>
          <w:tcPr>
            <w:tcW w:w="8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year</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r>
      <w:tr>
        <w:trPr>
          <w:trHeight w:val="216"/>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80" w:type="dxa"/>
            <w:vAlign w:val="bottom"/>
          </w:tcPr>
          <w:p>
            <w:pPr>
              <w:spacing w:after="0"/>
              <w:rPr>
                <w:sz w:val="18"/>
                <w:szCs w:val="18"/>
                <w:color w:val="auto"/>
              </w:rPr>
            </w:pPr>
          </w:p>
        </w:tc>
        <w:tc>
          <w:tcPr>
            <w:tcW w:w="6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84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848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year</w:t>
            </w: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118</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w:t>
            </w:r>
          </w:p>
        </w:tc>
        <w:tc>
          <w:tcPr>
            <w:tcW w:w="120" w:type="dxa"/>
            <w:vAlign w:val="bottom"/>
          </w:tcPr>
          <w:p>
            <w:pPr>
              <w:spacing w:after="0"/>
              <w:rPr>
                <w:sz w:val="20"/>
                <w:szCs w:val="20"/>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6"/>
              </w:rPr>
              <w:t>10,915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11,677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12,480</w:t>
            </w:r>
          </w:p>
        </w:tc>
      </w:tr>
      <w:tr>
        <w:trPr>
          <w:trHeight w:val="20"/>
        </w:trPr>
        <w:tc>
          <w:tcPr>
            <w:tcW w:w="12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7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combined financial statements, including Note 10 for amounts of related party transactions.</w:t>
      </w:r>
    </w:p>
    <w:p>
      <w:pPr>
        <w:spacing w:after="0" w:line="15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F-8</w:t>
      </w:r>
    </w:p>
    <w:p>
      <w:pPr>
        <w:sectPr>
          <w:pgSz w:w="11900" w:h="16838" w:orient="portrait"/>
          <w:cols w:equalWidth="0" w:num="1">
            <w:col w:w="11140"/>
          </w:cols>
          <w:pgMar w:left="320" w:top="455" w:right="439" w:bottom="1440" w:gutter="0" w:footer="0" w:header="0"/>
        </w:sectPr>
      </w:pPr>
    </w:p>
    <w:bookmarkStart w:id="911" w:name="page912"/>
    <w:bookmarkEnd w:id="9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NOTES TO COMBINED FINANCIAL STATEMENTS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Description of the Company and Basis of Presentation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by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combined financial statements, the Versant businesses were operated as part of Comcast’s Media segment. The combined financial statements have been derived from Comcast’s historical accounting records as if Versant operations had been conducted independently from Comcast, and reflect the assets, liabilities, revenues and expenses of the Company on a historical cost basis. The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combined balance sheets include assets and liabilities specifically attributable to the Company and certain assets and liabilities held by Comcast but specifically identifiable or otherwise attributable to our business. Assets and liabilities included in our combined balance sheets were based on an assessment as of December 31, 2024, and may not reflect the assets and liabilities that will be included in Versant following the Separation. For example, certain shared facilities not included in the combined balance sheets may be included in the Separation. Comcast’s third-party debt and related interest expense have not been attributed to the Company because the borrowings are not specifically identifiable to the Company and the Company is not the legal obligor. The combined financial statements reflect noncontrolling interests for certain subsidiaries included in the combined financial statements, in which a third party has a minority ownership interest.</w:t>
      </w:r>
    </w:p>
    <w:p>
      <w:pPr>
        <w:spacing w:after="0" w:line="189"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The combined statements of income include all revenues and costs directly attributable to our business, including costs related to production activities that use centralized Comcast operations and directly charged to us based on usage. The combined statements of income also include allocations of costs for administrative functions and services performed on our behalf by other centralized functions within Comcast and allocations of costs for the use of shared assets (see Note 10). These expenses have been allocated on a pro rata basis using an applicable measure of revenue. All allocations and estimates reflected in the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F-9</w:t>
      </w:r>
    </w:p>
    <w:p>
      <w:pPr>
        <w:sectPr>
          <w:pgSz w:w="11900" w:h="16838" w:orient="portrait"/>
          <w:cols w:equalWidth="0" w:num="1">
            <w:col w:w="11080"/>
          </w:cols>
          <w:pgMar w:left="320" w:top="455" w:right="499" w:bottom="1440" w:gutter="0" w:footer="0" w:header="0"/>
        </w:sectPr>
      </w:pPr>
    </w:p>
    <w:bookmarkStart w:id="912" w:name="page913"/>
    <w:bookmarkEnd w:id="9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combined financial statements. The total net effect of the deemed settlement of these transactions is included in net Parent investment and the net effect of changes in net Parent investment is presented in financing activities in the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combined financial statements and are considered related party transactions. See Note 10 for more information.</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Our combined financial statements are prepared in accordance with GAAP, which require us to select accounting policies, including in certain cases industry-specific policies, and make estimates that affect the reported amount of assets, liabilities, revenue and expenses, and the related disclosure of contingent assets and contingent liabilities. Actual results could differ from these estimates. Accounting policies related to the capitalization and amortization of film and television costs are specific to the industries in which we operate and are discussed in Note 4.</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Information on other accounting policies and methods that we use in the preparation of our combined financial statements are included, where applicable, in their respective footnotes that follow. Below is a discussion of accounting policies and methods used in our combined financial statements that are not presented within other footnotes.</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Comcast uses a centralized approach to cash management and financing of its operations. Our cash is generally collected by Comcast daily, and Comcast funds our operating and investing activities as needed. Accordingly, our cash and cash equivalents represent directly attributed balances and do not include an allocation of Comcast cash and cash equivalents for any of the periods presented. Our cash equivalents consist primarily of money market funds and U.S. government obligations, as well as commercial paper and certificates of deposit with maturities of three months or less when purchased. The carrying amounts of our cash equivalents approximate their fair values, which are primarily based on Level 1 inputs.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and totaled $82 million, $105 million and $140 million in 2024, 2023 and 2022, respectively, included in selling, general and administrative expenses.</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Share-Based Compensation</w:t>
      </w:r>
    </w:p>
    <w:p>
      <w:pPr>
        <w:spacing w:after="0" w:line="121"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Our share-based compensation plans consist primarily of awards of Comcast restricted stock units to certain employees as part of our long-term incentive compensation structure. Awards generally vest over a period of three to five years. Additionally, eligible employees may purchase shares of our common stock at a discount under our employee stock purchase plans. The cost associated with our share-based compensation is based on an award’s estimated fair value at the date of grant and is recognized over the period in which any related services are provided. RSUs are primarily valued based on the closing price of Comcast’s common stock on the date of grant and are discounted for the lack of dividends, if any, during the vesting period. Share-based compensation expense for shared employees is included in allocated costs. Share-based compensation expense directly attributable to Versant was not material for the periods presented.</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accounting guidance related to fair value measurements establishes a hierarchy based on the types of inputs used for the various valuation techniques. The levels of the hierarchy are described below.</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F-10</w:t>
      </w:r>
    </w:p>
    <w:p>
      <w:pPr>
        <w:sectPr>
          <w:pgSz w:w="11900" w:h="16838" w:orient="portrait"/>
          <w:cols w:equalWidth="0" w:num="1">
            <w:col w:w="11120"/>
          </w:cols>
          <w:pgMar w:left="320" w:top="455" w:right="459" w:bottom="1440" w:gutter="0" w:footer="0" w:header="0"/>
        </w:sectPr>
      </w:pPr>
    </w:p>
    <w:bookmarkStart w:id="913" w:name="page914"/>
    <w:bookmarkEnd w:id="9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10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Values are determined using quoted market prices for identical financial instruments in an active market.</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66" w:lineRule="auto"/>
        <w:tabs>
          <w:tab w:leader="none" w:pos="1080"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Values are determined using 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81" w:lineRule="exact"/>
        <w:rPr>
          <w:rFonts w:ascii="Times New Roman" w:cs="Times New Roman" w:eastAsia="Times New Roman" w:hAnsi="Times New Roman"/>
          <w:sz w:val="18"/>
          <w:szCs w:val="18"/>
          <w:color w:val="auto"/>
        </w:rPr>
      </w:pPr>
    </w:p>
    <w:p>
      <w:pPr>
        <w:ind w:left="1080" w:right="360" w:hanging="424"/>
        <w:spacing w:after="0" w:line="266" w:lineRule="auto"/>
        <w:tabs>
          <w:tab w:leader="none" w:pos="1080"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Values are determined using models that use significant inputs that are primarily unobservable, discounted cash flow methodologies or similar techniques, as well as instruments for which the determination of fair value requires significant management judgment or estimation.</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use this three-tier fair value hierarchy to measure the fair value of certain financial instruments on a recurring basis, such as for investments (see Note 5) and on a non-recurring basis, such as for impairment testing (see Note 7). Our assessment of the significance of a particular input to the fair value measurement requires judgment and may affect the valuation and classification within the fair value hierarchy.</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121"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We translate assets and liabilities of our foreign operations where the functional currency is the local currency into U.S. dollars at the exchange rate as of the balance sheet date and translate revenue and expenses using average periodic exchange rates. The related translation adjustments are recorded as a component of accumulated other comprehensive income (loss) in our combined balance sheets. Other comprehensive income activity and balances were entirely attributed currency translation adjustments for the periods included in these combined financial statements. Any foreign currency transaction gains or losses are included in our combined statements of income in investment and other income (loss), net. For disclosures containing future amounts where the functional currency is the local currency, we translate the amounts into U.S. dollars at the exchange rates as of the balance sheet date.</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Net Parent Investment</w:t>
      </w:r>
    </w:p>
    <w:p>
      <w:pPr>
        <w:spacing w:after="0" w:line="121" w:lineRule="exact"/>
        <w:rPr>
          <w:sz w:val="20"/>
          <w:szCs w:val="20"/>
          <w:color w:val="auto"/>
        </w:rPr>
      </w:pPr>
    </w:p>
    <w:p>
      <w:pPr>
        <w:ind w:left="120" w:right="120" w:firstLine="440"/>
        <w:spacing w:after="0" w:line="255" w:lineRule="auto"/>
        <w:rPr>
          <w:sz w:val="20"/>
          <w:szCs w:val="20"/>
          <w:color w:val="auto"/>
        </w:rPr>
      </w:pPr>
      <w:r>
        <w:rPr>
          <w:rFonts w:ascii="Times New Roman" w:cs="Times New Roman" w:eastAsia="Times New Roman" w:hAnsi="Times New Roman"/>
          <w:sz w:val="18"/>
          <w:szCs w:val="18"/>
          <w:color w:val="auto"/>
        </w:rPr>
        <w:t>Equity in the combined balance sheets represents Parent’s net investment in our business and is presented as net Parent investment in lieu of stockholders’ equity. The combined statement of changes in equity includes net cash transfers and other property transfers between us and Comcast, as well as intercompany receivables and payables between us and other Comcast affiliates that were settled on a current basis within transactions with Parent company, net. Additionally, net Parent investment is impacted by assets and liabilities that have historically been held at the Comcast level but are specifically identifiable or otherwise attributable to us, and other assets and liabilities recorded by Comcast, whose related income and expenses have been pushed down to us. All transactions reflected in net Parent investment in the accompanying combined balance sheet have been considered cash receipts and payments within financing activities in the combined statements of cash flows. See Note 10 for more information.</w:t>
      </w:r>
    </w:p>
    <w:p>
      <w:pPr>
        <w:spacing w:after="0" w:line="189"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Earnings per share data has not been presented in the accompanying combined financial statements because we did not operate as a separate legal entity with its own capital structure during any of the periods presented.</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as the Versant businesses were operated as part of Comcast’s Media segment and were not separately evaluated for the periods presented in these combined financial statements. Comcast’s Chairman and Chief Executive Officer was the chief operating decision maker (“CODM”) for these periods.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combined financial statements, with further details included throughout the footnotes, including a description of our products and services in Note 3 and certain of our significant operating expenses in Note 4.</w:t>
      </w:r>
    </w:p>
    <w:p>
      <w:pPr>
        <w:spacing w:after="0" w:line="12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F-11</w:t>
      </w:r>
    </w:p>
    <w:p>
      <w:pPr>
        <w:sectPr>
          <w:pgSz w:w="11900" w:h="16838" w:orient="portrait"/>
          <w:cols w:equalWidth="0" w:num="1">
            <w:col w:w="11100"/>
          </w:cols>
          <w:pgMar w:left="320" w:top="455" w:right="479" w:bottom="1440" w:gutter="0" w:footer="0" w:header="0"/>
        </w:sectPr>
      </w:pPr>
    </w:p>
    <w:bookmarkStart w:id="914" w:name="page915"/>
    <w:bookmarkEnd w:id="9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Approximately $6 million of costs incurred by Comcast related to the Separation have been included in selling, general and administrative expenses in our combined statements of income for the year ended December 31, 2024. These costs include legal, consulting, advisory and audit fees that will directly benefit the Versant business as a stand-alone company, or for which the Versant business is the legal obligor.</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$4,632</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Advertising</w:t>
            </w:r>
          </w:p>
        </w:tc>
        <w:tc>
          <w:tcPr>
            <w:tcW w:w="2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1,731</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2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2,156</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4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7,062</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7,445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7,834</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Linear distribution</w:t>
      </w:r>
    </w:p>
    <w:p>
      <w:pPr>
        <w:spacing w:after="0" w:line="121" w:lineRule="exact"/>
        <w:rPr>
          <w:sz w:val="20"/>
          <w:szCs w:val="20"/>
          <w:color w:val="auto"/>
        </w:rPr>
      </w:pPr>
    </w:p>
    <w:p>
      <w:pPr>
        <w:ind w:left="120" w:right="440" w:firstLine="440"/>
        <w:spacing w:after="0" w:line="282" w:lineRule="auto"/>
        <w:rPr>
          <w:sz w:val="20"/>
          <w:szCs w:val="20"/>
          <w:color w:val="auto"/>
        </w:rPr>
      </w:pPr>
      <w:r>
        <w:rPr>
          <w:rFonts w:ascii="Times New Roman" w:cs="Times New Roman" w:eastAsia="Times New Roman" w:hAnsi="Times New Roman"/>
          <w:sz w:val="18"/>
          <w:szCs w:val="18"/>
          <w:color w:val="auto"/>
        </w:rPr>
        <w:t>We generate revenue from the distribution of television programming in the United States and in certain international markets to traditional multichannel video providers and to virtual multichannel video providers that offer streamed linear television networks.</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Monthly fees received under distribution agreements with multichannel video providers are generally under multiyear agreements with revenue based on the number of subscribers receiving our television networks through the provider and a per subscriber fee. Payment terms and conditions vary by contract type, although terms generally include payment within 60 days. These arrangements are accounted for as licenses of functional intellectual property and revenue is recognized as programming is provided.</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Advertising</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generate revenue from the sale of advertising on our linear television networks and digital platforms.</w:t>
      </w:r>
    </w:p>
    <w:p>
      <w:pPr>
        <w:spacing w:after="0" w:line="22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have determined that a contract exists for our advertising sales once all terms and conditions are agreed upon, typically when the number of advertising units is specifically identified and scheduled. Advertisements are generally aired or delivered within one year once all terms and conditions are agreed upon. Revenue is recognized, net of agency commissions, in the period in which advertisements are aired or delivered and payment occurs thereafter, with payment generally required within 30 days. In some instances, we guarantee audience</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F-12</w:t>
      </w:r>
    </w:p>
    <w:p>
      <w:pPr>
        <w:sectPr>
          <w:pgSz w:w="11900" w:h="16838" w:orient="portrait"/>
          <w:cols w:equalWidth="0" w:num="1">
            <w:col w:w="11020"/>
          </w:cols>
          <w:pgMar w:left="320" w:top="455" w:right="559" w:bottom="1440" w:gutter="0" w:footer="0" w:header="0"/>
        </w:sectPr>
      </w:pPr>
    </w:p>
    <w:bookmarkStart w:id="915" w:name="page916"/>
    <w:bookmarkEnd w:id="9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ratings for the advertisements. To the extent there is a shortfall in contracts where the ratings were guaranteed, a portion of the revenue is deferred until the shortfall is settled, typically by providing additional advertising units generally within one year of the original airing. The amount of future revenue to be earned related to fixed price contracts with advertisers in excess of one year totaled $311 million as of December 31, 2024, which will be recognized over the next 6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Platforms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generate revenue from services provided through our digital platforms. Our platforms facilitate consumer transactions, including tee time reservations at golf courses, the purchase of movie tickets, the rental or purchase of television and movie titles for streaming and registration with youth sports leagues. We sell technology and related services to golf courses and youth sports organizations that leverage our platform, and also offer consumer subscription services, which provide access to streaming content.</w:t>
      </w:r>
    </w:p>
    <w:p>
      <w:pPr>
        <w:spacing w:after="0" w:line="180"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We generally have concluded that we are an agent for the underlying consumer transactions on our platforms, and we therefore do not recognize the direct revenue from the sale of the golf rounds, movie tickets, television or movie titles rentals or purchases, or sports registrations.</w:t>
      </w:r>
    </w:p>
    <w:p>
      <w:pPr>
        <w:spacing w:after="0" w:line="162" w:lineRule="exact"/>
        <w:rPr>
          <w:sz w:val="20"/>
          <w:szCs w:val="20"/>
          <w:color w:val="auto"/>
        </w:rPr>
      </w:pPr>
    </w:p>
    <w:p>
      <w:pPr>
        <w:ind w:left="120" w:firstLine="440"/>
        <w:spacing w:after="0" w:line="273" w:lineRule="auto"/>
        <w:rPr>
          <w:sz w:val="20"/>
          <w:szCs w:val="20"/>
          <w:color w:val="auto"/>
        </w:rPr>
      </w:pPr>
      <w:r>
        <w:rPr>
          <w:rFonts w:ascii="Times New Roman" w:cs="Times New Roman" w:eastAsia="Times New Roman" w:hAnsi="Times New Roman"/>
          <w:sz w:val="17"/>
          <w:szCs w:val="17"/>
          <w:color w:val="auto"/>
        </w:rPr>
        <w:t>End-consumers using our movie ticket and tee time platforms pay transaction-based fees. These fees are generally charged to customer credit cards and revenue is recognized at the time of the transaction based on the fee charged. We offer gift cards that customers may use for certain of our consumer services, primarily related to our movie ticket platform. We record a liability for estimated future gift card redemptions. We estimate the portion of these gift cards that will not be redeemed over time (“breakage”) based on historical redemption patterns. As of December 31, 2024 and 2023, the gift card liability for our movie ticket platform was $53 million and $57 million, respectively, including $37 million and $44 million in accrued expenses and other current liabilities, respectively, with the remainder presented in other noncurrent liabilities. Revenue recorded related to breakage on these gift cards was $15 million for each of the years ended December 31, 2024 and 2023 and $10 million for the year ended December 31, 2022.</w:t>
      </w:r>
    </w:p>
    <w:p>
      <w:pPr>
        <w:spacing w:after="0" w:line="17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Our technology solutions provide customers access to our cloud-based applications. Contracts for these and our agency services generally have terms ranging from one to three years with consideration due over the contract term taking multiple forms, including variable amounts tied to the value of specified tee times, which we generally receive directly from the end consumer, a percentage of amounts charged for specified transactions or fixed amounts paid by the customer. We recognize revenue for technology solutions and agency services as the services are provided over the contract term based on our share of the underlying transactions or on a straight-line basis for fixed fee contracts.</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We offer additional services to customers receiving our technology services including payment processing and other services related to customer operations. Payment processing fees are based on a percentage of each transaction processed and are recognized as transactions occur. Consideration for other services may be a fixed fee or based on variable amounts and are recognized as services are provided over the contract period. Revenue from customers that purchase multiple services is allocated between the separate services based on the respective stand-alone selling prices.</w:t>
      </w:r>
    </w:p>
    <w:p>
      <w:pPr>
        <w:spacing w:after="0" w:line="180" w:lineRule="exact"/>
        <w:rPr>
          <w:sz w:val="20"/>
          <w:szCs w:val="20"/>
          <w:color w:val="auto"/>
        </w:rPr>
      </w:pPr>
    </w:p>
    <w:p>
      <w:pPr>
        <w:ind w:left="120" w:right="360" w:firstLine="440"/>
        <w:spacing w:after="0" w:line="282" w:lineRule="auto"/>
        <w:rPr>
          <w:sz w:val="20"/>
          <w:szCs w:val="20"/>
          <w:color w:val="auto"/>
        </w:rPr>
      </w:pPr>
      <w:r>
        <w:rPr>
          <w:rFonts w:ascii="Times New Roman" w:cs="Times New Roman" w:eastAsia="Times New Roman" w:hAnsi="Times New Roman"/>
          <w:sz w:val="18"/>
          <w:szCs w:val="18"/>
          <w:color w:val="auto"/>
        </w:rPr>
        <w:t>Subscription services are generally offered based on fixed amounts with monthly or annual terms. Subscription fees for the term are generally fixed and nonrefundable, and we recognize revenue over the term of the agreement.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Content Licensing</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We generate revenue from the licensing of our owned content to television networks and DTC streaming service providers, as well as through video on demand services provided by multichannel video providers and other service providers. These agreements generally include fixed pricing and span multiple years.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F-13</w:t>
      </w:r>
    </w:p>
    <w:p>
      <w:pPr>
        <w:sectPr>
          <w:pgSz w:w="11900" w:h="16838" w:orient="portrait"/>
          <w:cols w:equalWidth="0" w:num="1">
            <w:col w:w="11120"/>
          </w:cols>
          <w:pgMar w:left="320" w:top="455" w:right="459" w:bottom="1440" w:gutter="0" w:footer="0" w:header="0"/>
        </w:sectPr>
      </w:pPr>
    </w:p>
    <w:bookmarkStart w:id="916" w:name="page917"/>
    <w:bookmarkEnd w:id="9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recognize revenue when the content is delivered and available for use by the licensee. When the term of an existing agreement is renewed or extended, we recognize revenue when the licensed content becomes available under the renewal or extension. Payment terms and conditions vary by contract type, although payments are generally collected over the license term. The amount of future revenue to be earned related to fixed pricing under existing third-party agreements is $19 million. The majority of this revenue will be recognized within two years.</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Combined Balance Sheets</w:t>
      </w:r>
    </w:p>
    <w:p>
      <w:pPr>
        <w:spacing w:after="0" w:line="250"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gridSpan w:val="7"/>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5"/>
          </w:tcPr>
          <w:p>
            <w:pPr>
              <w:jc w:val="right"/>
              <w:ind w:right="2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$1,253</w:t>
            </w:r>
          </w:p>
        </w:tc>
        <w:tc>
          <w:tcPr>
            <w:tcW w:w="3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1,245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1,346</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20" w:type="dxa"/>
            <w:vAlign w:val="bottom"/>
            <w:gridSpan w:val="11"/>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Changes in Allowance for</w:t>
            </w:r>
          </w:p>
        </w:tc>
      </w:tr>
      <w:tr>
        <w:trPr>
          <w:trHeight w:val="173"/>
        </w:trPr>
        <w:tc>
          <w:tcPr>
            <w:tcW w:w="2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Credit Losses</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Borders>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$ 18</w:t>
            </w:r>
          </w:p>
        </w:tc>
        <w:tc>
          <w:tcPr>
            <w:tcW w:w="32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Current-period provision for expected credit losses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2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 net of recoveries and 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93"/>
              </w:rPr>
              <w:t>(10)</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r>
      <w:tr>
        <w:trPr>
          <w:trHeight w:val="223"/>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220" w:type="dxa"/>
            <w:vAlign w:val="bottom"/>
          </w:tcPr>
          <w:p>
            <w:pPr>
              <w:spacing w:after="0"/>
              <w:rPr>
                <w:sz w:val="19"/>
                <w:szCs w:val="19"/>
                <w:color w:val="auto"/>
              </w:rPr>
            </w:pPr>
          </w:p>
        </w:tc>
        <w:tc>
          <w:tcPr>
            <w:tcW w:w="400" w:type="dxa"/>
            <w:vAlign w:val="bottom"/>
            <w:gridSpan w:val="2"/>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320" w:type="dxa"/>
            <w:vAlign w:val="bottom"/>
          </w:tcPr>
          <w:p>
            <w:pPr>
              <w:spacing w:after="0"/>
              <w:rPr>
                <w:sz w:val="19"/>
                <w:szCs w:val="19"/>
                <w:color w:val="auto"/>
              </w:rPr>
            </w:pPr>
          </w:p>
        </w:tc>
        <w:tc>
          <w:tcPr>
            <w:tcW w:w="260" w:type="dxa"/>
            <w:vAlign w:val="bottom"/>
            <w:gridSpan w:val="2"/>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$ 18</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Customer Concentration</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December 31, 2024 and 2023, our ten largest multichannel video provider customers accounted for approximately 55% of our total accounts receivable. Refer to Note 10 for revenue and accounts receivable information related to distribution and other arrangements with Comcast.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Costs of Revenue</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3,064</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3,154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3,161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460" w:type="dxa"/>
            <w:vAlign w:val="bottom"/>
            <w:gridSpan w:val="2"/>
            <w:vMerge w:val="continue"/>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42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20" w:type="dxa"/>
            <w:vAlign w:val="bottom"/>
            <w:tcBorders>
              <w:top w:val="single" w:sz="8" w:color="auto"/>
              <w:bottom w:val="single" w:sz="8" w:color="auto"/>
            </w:tcBorders>
            <w:gridSpan w:val="2"/>
          </w:tcPr>
          <w:p>
            <w:pPr>
              <w:jc w:val="center"/>
              <w:ind w:left="3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gridSpan w:val="3"/>
          </w:tcPr>
          <w:p>
            <w:pPr>
              <w:jc w:val="center"/>
              <w:ind w:left="7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304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42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3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2,606</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2,724</w:t>
            </w:r>
          </w:p>
        </w:tc>
        <w:tc>
          <w:tcPr>
            <w:tcW w:w="2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2,749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3540" w:type="dxa"/>
            <w:vAlign w:val="bottom"/>
            <w:gridSpan w:val="2"/>
          </w:tcPr>
          <w:p>
            <w:pPr>
              <w:jc w:val="right"/>
              <w:ind w:right="2462"/>
              <w:spacing w:after="0"/>
              <w:rPr>
                <w:sz w:val="20"/>
                <w:szCs w:val="20"/>
                <w:color w:val="auto"/>
              </w:rPr>
            </w:pPr>
            <w:r>
              <w:rPr>
                <w:rFonts w:ascii="Times New Roman" w:cs="Times New Roman" w:eastAsia="Times New Roman" w:hAnsi="Times New Roman"/>
                <w:sz w:val="18"/>
                <w:szCs w:val="18"/>
                <w:color w:val="auto"/>
              </w:rPr>
              <w:t>F-14</w:t>
            </w:r>
          </w:p>
        </w:tc>
        <w:tc>
          <w:tcPr>
            <w:tcW w:w="4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5" w:right="539" w:bottom="1440" w:gutter="0" w:footer="0" w:header="0"/>
        </w:sectPr>
      </w:pPr>
    </w:p>
    <w:bookmarkStart w:id="917" w:name="page918"/>
    <w:bookmarkEnd w:id="9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incur costs related to the license of the rights to use content owned by third parties and sports rights on our television networks and digital platforms, and related to the production and acquisition of owned content, which are described as licensed and owned content, respectively. Programming and production costs are presented in costs of revenue in our combined statements of income and the related capitalized amounts are presented in content costs in our combined balance sheets. We have determined that the predominant monetization strategy for the substantial majority of our content is on a group basis. We recorded a $58 million reduction of programming and production costs and a corresponding noncurrent receivable in 2024 related to production tax incentives.</w:t>
      </w:r>
    </w:p>
    <w:p>
      <w:pPr>
        <w:spacing w:after="0" w:line="29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Capitalized Content Costs</w:t>
      </w:r>
    </w:p>
    <w:p>
      <w:pPr>
        <w:spacing w:after="0" w:line="248"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7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40" w:type="dxa"/>
            <w:vAlign w:val="bottom"/>
          </w:tcPr>
          <w:p>
            <w:pPr>
              <w:spacing w:after="0"/>
              <w:rPr>
                <w:sz w:val="12"/>
                <w:szCs w:val="12"/>
                <w:color w:val="auto"/>
              </w:rPr>
            </w:pPr>
          </w:p>
        </w:tc>
      </w:tr>
      <w:tr>
        <w:trPr>
          <w:trHeight w:val="142"/>
        </w:trPr>
        <w:tc>
          <w:tcPr>
            <w:tcW w:w="7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2"/>
                <w:szCs w:val="12"/>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4"/>
              </w:rPr>
              <w:t>$519</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$555</w:t>
            </w:r>
          </w:p>
        </w:tc>
      </w:tr>
      <w:tr>
        <w:trPr>
          <w:trHeight w:val="216"/>
        </w:trPr>
        <w:tc>
          <w:tcPr>
            <w:tcW w:w="712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71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7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20" w:type="dxa"/>
            <w:vAlign w:val="bottom"/>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tcPr>
          <w:p>
            <w:pPr>
              <w:spacing w:after="0"/>
              <w:rPr>
                <w:sz w:val="19"/>
                <w:szCs w:val="19"/>
                <w:color w:val="auto"/>
              </w:rPr>
            </w:pPr>
          </w:p>
        </w:tc>
      </w:tr>
      <w:tr>
        <w:trPr>
          <w:trHeight w:val="216"/>
        </w:trPr>
        <w:tc>
          <w:tcPr>
            <w:tcW w:w="7120" w:type="dxa"/>
            <w:vAlign w:val="bottom"/>
            <w:shd w:val="clear" w:color="auto" w:fill="CCEEFF"/>
          </w:tcPr>
          <w:p>
            <w:pPr>
              <w:spacing w:after="0"/>
              <w:rPr>
                <w:sz w:val="18"/>
                <w:szCs w:val="18"/>
                <w:color w:val="auto"/>
              </w:rPr>
            </w:pPr>
          </w:p>
        </w:tc>
        <w:tc>
          <w:tcPr>
            <w:tcW w:w="38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w:t>
            </w:r>
          </w:p>
        </w:tc>
        <w:tc>
          <w:tcPr>
            <w:tcW w:w="8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151</w:t>
            </w:r>
          </w:p>
        </w:tc>
      </w:tr>
      <w:tr>
        <w:trPr>
          <w:trHeight w:val="223"/>
        </w:trPr>
        <w:tc>
          <w:tcPr>
            <w:tcW w:w="7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r>
              <w:rPr>
                <w:rFonts w:ascii="Times New Roman" w:cs="Times New Roman" w:eastAsia="Times New Roman" w:hAnsi="Times New Roman"/>
                <w:sz w:val="18"/>
                <w:szCs w:val="18"/>
                <w:b w:val="1"/>
                <w:bCs w:val="1"/>
                <w:color w:val="auto"/>
                <w:w w:val="88"/>
              </w:rPr>
              <w:t>639</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706</w:t>
            </w:r>
          </w:p>
        </w:tc>
        <w:tc>
          <w:tcPr>
            <w:tcW w:w="40" w:type="dxa"/>
            <w:vAlign w:val="bottom"/>
          </w:tcPr>
          <w:p>
            <w:pPr>
              <w:spacing w:after="0"/>
              <w:rPr>
                <w:sz w:val="19"/>
                <w:szCs w:val="19"/>
                <w:color w:val="auto"/>
              </w:rPr>
            </w:pPr>
          </w:p>
        </w:tc>
      </w:tr>
      <w:tr>
        <w:trPr>
          <w:trHeight w:val="20"/>
        </w:trPr>
        <w:tc>
          <w:tcPr>
            <w:tcW w:w="7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table below summarizes estimated future amortization expense for the capitalized content costs recorded in our combined balance sheets as of December 31, 2024.</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640" w:type="dxa"/>
            <w:vAlign w:val="bottom"/>
          </w:tcPr>
          <w:p>
            <w:pPr>
              <w:spacing w:after="0"/>
              <w:rPr>
                <w:sz w:val="15"/>
                <w:szCs w:val="15"/>
                <w:color w:val="auto"/>
              </w:rPr>
            </w:pPr>
          </w:p>
        </w:tc>
        <w:tc>
          <w:tcPr>
            <w:tcW w:w="12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Licensed</w:t>
            </w:r>
          </w:p>
        </w:tc>
        <w:tc>
          <w:tcPr>
            <w:tcW w:w="5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Owned</w:t>
            </w:r>
          </w:p>
        </w:tc>
      </w:tr>
      <w:tr>
        <w:trPr>
          <w:trHeight w:val="142"/>
        </w:trPr>
        <w:tc>
          <w:tcPr>
            <w:tcW w:w="6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2025</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268</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6640" w:type="dxa"/>
            <w:vAlign w:val="bottom"/>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2026</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575"/>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640" w:type="dxa"/>
            <w:vAlign w:val="bottom"/>
            <w:shd w:val="clear" w:color="auto" w:fill="CCEEFF"/>
          </w:tcPr>
          <w:p>
            <w:pPr>
              <w:jc w:val="right"/>
              <w:ind w:right="6190"/>
              <w:spacing w:after="0"/>
              <w:rPr>
                <w:sz w:val="20"/>
                <w:szCs w:val="20"/>
                <w:color w:val="auto"/>
              </w:rPr>
            </w:pPr>
            <w:r>
              <w:rPr>
                <w:rFonts w:ascii="Times New Roman" w:cs="Times New Roman" w:eastAsia="Times New Roman" w:hAnsi="Times New Roman"/>
                <w:sz w:val="18"/>
                <w:szCs w:val="18"/>
                <w:color w:val="auto"/>
                <w:w w:val="94"/>
              </w:rPr>
              <w:t>2027</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75"/>
              <w:spacing w:after="0"/>
              <w:rPr>
                <w:sz w:val="20"/>
                <w:szCs w:val="20"/>
                <w:color w:val="auto"/>
              </w:rPr>
            </w:pPr>
            <w:r>
              <w:rPr>
                <w:rFonts w:ascii="Times New Roman" w:cs="Times New Roman" w:eastAsia="Times New Roman" w:hAnsi="Times New Roman"/>
                <w:sz w:val="18"/>
                <w:szCs w:val="18"/>
                <w:color w:val="auto"/>
              </w:rPr>
              <w:t>70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bl>
    <w:p>
      <w:pPr>
        <w:spacing w:after="0" w:line="198"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We have future minimum commitments for licensed content that are not recognized in our combined balance sheets as of December 31, 2024 totaling $335 million.</w:t>
      </w:r>
    </w:p>
    <w:p>
      <w:pPr>
        <w:spacing w:after="0" w:line="2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Capitalization and Recognition of Content Costs</w:t>
      </w:r>
    </w:p>
    <w:p>
      <w:pPr>
        <w:spacing w:after="0" w:line="119"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capitalize the costs of licensed content when the license period begins, the content is made available for use and the costs of the licenses are known. Licensed content is amortized as the associated programs are used, incorporating estimated viewing patterns.</w:t>
      </w:r>
    </w:p>
    <w:p>
      <w:pPr>
        <w:spacing w:after="0" w:line="162"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We capitalize costs for owned content, including direct costs, production overhead, print costs, development costs and interest, as well as acquired titles. Amortization for content predominantly monetized with other owned or licensed content is recorded based on estimated usage. Amortization for owned content predominantly monetized on an individual basis and accrued costs associated with participations and residuals payments are recorded using the individual film forecast computation method, which recognizes the costs in the same ratio as the associated ultimate revenue. Estimates of ultimate revenue and total costs are based on anticipated airing patterns and distribution strategies, public acceptance and historical results for similar productions. We do not capitalize costs associated with marketing and distribution.</w:t>
      </w:r>
    </w:p>
    <w:p>
      <w:pPr>
        <w:spacing w:after="0" w:line="187" w:lineRule="exact"/>
        <w:rPr>
          <w:sz w:val="20"/>
          <w:szCs w:val="20"/>
          <w:color w:val="auto"/>
        </w:rPr>
      </w:pPr>
    </w:p>
    <w:p>
      <w:pPr>
        <w:ind w:left="120" w:right="460" w:firstLine="440"/>
        <w:spacing w:after="0" w:line="282" w:lineRule="auto"/>
        <w:rPr>
          <w:sz w:val="20"/>
          <w:szCs w:val="20"/>
          <w:color w:val="auto"/>
        </w:rPr>
      </w:pPr>
      <w:r>
        <w:rPr>
          <w:rFonts w:ascii="Times New Roman" w:cs="Times New Roman" w:eastAsia="Times New Roman" w:hAnsi="Times New Roman"/>
          <w:sz w:val="18"/>
          <w:szCs w:val="18"/>
          <w:color w:val="auto"/>
        </w:rPr>
        <w:t>Licensed and owned content are presented as noncurrent assets in content costs. We present amortization of licensed and owned content and accrued costs associated with participations and residuals payments in programming and production costs.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F-15</w:t>
      </w:r>
    </w:p>
    <w:p>
      <w:pPr>
        <w:sectPr>
          <w:pgSz w:w="11900" w:h="16838" w:orient="portrait"/>
          <w:cols w:equalWidth="0" w:num="1">
            <w:col w:w="11100"/>
          </w:cols>
          <w:pgMar w:left="320" w:top="455" w:right="479" w:bottom="1440" w:gutter="0" w:footer="0" w:header="0"/>
        </w:sectPr>
      </w:pPr>
    </w:p>
    <w:bookmarkStart w:id="918" w:name="page919"/>
    <w:bookmarkEnd w:id="9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Production activities may be eligible for tax incentives from certain state, local or foreign jurisdictions. These incentives generally provide for transferable or redeemable tax credits upon meeting established levels of qualified production spending within a participating jurisdiction. We record a receivable for a production tax incentive program when there is a reasonable assurance of collection with a corresponding reduction of capitalized content costs or programming and production costs, as applicable.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When an event or a change in circumstance occurs that was known or knowable as of the balance sheet date and that indicates the fair value of either licensed or owned content is less than the unamortized costs in the balance sheet, we determine the fair value and record an impairment charge to the extent the unamortized costs exceed the fair value. Licensed and owned content is assessed in identified film groups, which are generally on a channel, network or platform basis, for content predominantly monetized with other content. Licensed content that is not part of a film group is also generally assessed in packages or channels. Owned content that is not part of a film group is assessed individually. Estimated fair values of licensed and owned content are generally based on Level 3 inputs including analysis of market participant estimates of future cash flows. We record charges related to impairments or content that is substantively abandoned to programming and production costs.</w:t>
      </w:r>
    </w:p>
    <w:p>
      <w:pPr>
        <w:spacing w:after="0" w:line="29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Sports Rights</w:t>
      </w:r>
    </w:p>
    <w:p>
      <w:pPr>
        <w:spacing w:after="0" w:line="11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recognize the costs of multiyear, live-event sports rights as the rights are used over the contract term based on estimated relative value. Estimated relative value is generally based on the terms of the contract and the nature of and potential revenue generation of the deliverables within the contract. Sports rights are accounted for as executory contracts and are not subject to impairment. When cash payments, including advanced payments, exceed the relative value of the sports rights delivered, we recognize an asset in licensed content costs. Production costs incurred in advance of airing are also presented in licensed content costs.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Other Costs of Revenue</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Other costs attributed to our service offerings primarily include transaction-based fees to support our payment processing services and integrate the third-party data into our digital platforms, as well as direct personnel and operating costs to maintain the platforms. These costs are generally expensed as incurred.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Investments</w:t>
      </w:r>
    </w:p>
    <w:p>
      <w:pPr>
        <w:spacing w:after="0" w:line="121"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investments are accounted for as nonmarketable equity securities. In 2022, we recorded an unrealized impairment loss of $62 million for one of our investments. The impairment assessment was performed in connection with an investee capital transaction and estimated fair value was determined based on the value indications in this transaction, a Level 2 input, which subsequently closed in 2023. This impairment loss represents the cumulative amount of downward adjustments on our nonmarketable equity securities, which continue to be held as of December 31, 2024.</w:t>
      </w:r>
    </w:p>
    <w:p>
      <w:pPr>
        <w:spacing w:after="0" w:line="180"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We classify investments without readily determinable fair values that are not accounted for under the equity method as nonmarketable equity securities. The accounting guidance requires nonmarketable equity securities to be recorded at cost and adjusted to fair value at each reporting period. However, the guidance allows for a measurement alternative, which is to record the investments at cost, less impairment, if any, and subsequently adjust for observable price changes of identical or similar investments of the same issuer. We generally apply the measurement alternative, adjusting the investments for observable price changes of identical or similar investments of the same issuer, to our nonmarketable equity securities. When an observable event occurs, we estimate the fair values of our nonmarketable equity securities primarily based on Level 2 inputs that are derived from observable price changes of similar securities adjusted for insignificant differences in rights and obligations. We review our nonmarketable equity securities, each reporting period to determine whether there are identified events or circumstances that would indicate there is a decline in the fair value. For our nonpublic investments, if there are no identified events or circumstances that would have a significant adverse effect on the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F-16</w:t>
      </w:r>
    </w:p>
    <w:p>
      <w:pPr>
        <w:sectPr>
          <w:pgSz w:w="11900" w:h="16838" w:orient="portrait"/>
          <w:cols w:equalWidth="0" w:num="1">
            <w:col w:w="11120"/>
          </w:cols>
          <w:pgMar w:left="320" w:top="455" w:right="459" w:bottom="1440" w:gutter="0" w:footer="0" w:header="0"/>
        </w:sectPr>
      </w:pPr>
    </w:p>
    <w:bookmarkStart w:id="919" w:name="page920"/>
    <w:bookmarkEnd w:id="9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fair value of the investment, then the fair value is not estimated. We record the changes in value from observable events and impairments to investment and other income (loss), net.</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Property and Equipment</w:t>
      </w:r>
    </w:p>
    <w:p>
      <w:pPr>
        <w:spacing w:after="0" w:line="237"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3360" w:type="dxa"/>
            <w:vAlign w:val="bottom"/>
            <w:gridSpan w:val="3"/>
          </w:tcPr>
          <w:p>
            <w:pPr>
              <w:jc w:val="center"/>
              <w:ind w:left="828"/>
              <w:spacing w:after="0"/>
              <w:rPr>
                <w:sz w:val="20"/>
                <w:szCs w:val="20"/>
                <w:color w:val="auto"/>
              </w:rPr>
            </w:pPr>
            <w:r>
              <w:rPr>
                <w:rFonts w:ascii="Times New Roman" w:cs="Times New Roman" w:eastAsia="Times New Roman" w:hAnsi="Times New Roman"/>
                <w:sz w:val="14"/>
                <w:szCs w:val="14"/>
                <w:b w:val="1"/>
                <w:bCs w:val="1"/>
                <w:color w:val="auto"/>
              </w:rPr>
              <w:t>Original Useful Lives</w:t>
            </w:r>
          </w:p>
        </w:tc>
        <w:tc>
          <w:tcPr>
            <w:tcW w:w="20" w:type="dxa"/>
            <w:vAlign w:val="bottom"/>
          </w:tcPr>
          <w:p>
            <w:pPr>
              <w:spacing w:after="0"/>
              <w:rPr>
                <w:sz w:val="13"/>
                <w:szCs w:val="13"/>
                <w:color w:val="auto"/>
              </w:rPr>
            </w:pPr>
          </w:p>
        </w:tc>
        <w:tc>
          <w:tcPr>
            <w:tcW w:w="1480" w:type="dxa"/>
            <w:vAlign w:val="bottom"/>
            <w:gridSpan w:val="4"/>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42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1880" w:type="dxa"/>
            <w:vAlign w:val="bottom"/>
            <w:gridSpan w:val="2"/>
            <w:vMerge w:val="restart"/>
          </w:tcPr>
          <w:p>
            <w:pPr>
              <w:jc w:val="center"/>
              <w:ind w:right="560"/>
              <w:spacing w:after="0" w:line="149" w:lineRule="exact"/>
              <w:rPr>
                <w:sz w:val="20"/>
                <w:szCs w:val="20"/>
                <w:color w:val="auto"/>
              </w:rPr>
            </w:pPr>
            <w:r>
              <w:rPr>
                <w:rFonts w:ascii="Times New Roman" w:cs="Times New Roman" w:eastAsia="Times New Roman" w:hAnsi="Times New Roman"/>
                <w:sz w:val="14"/>
                <w:szCs w:val="14"/>
                <w:b w:val="1"/>
                <w:bCs w:val="1"/>
                <w:color w:val="auto"/>
              </w:rPr>
              <w:t>as of December 31,</w:t>
            </w:r>
          </w:p>
        </w:tc>
        <w:tc>
          <w:tcPr>
            <w:tcW w:w="20" w:type="dxa"/>
            <w:vAlign w:val="bottom"/>
          </w:tcPr>
          <w:p>
            <w:pPr>
              <w:spacing w:after="0"/>
              <w:rPr>
                <w:sz w:val="6"/>
                <w:szCs w:val="6"/>
                <w:color w:val="auto"/>
              </w:rPr>
            </w:pPr>
          </w:p>
        </w:tc>
        <w:tc>
          <w:tcPr>
            <w:tcW w:w="1480" w:type="dxa"/>
            <w:vAlign w:val="bottom"/>
            <w:tcBorders>
              <w:bottom w:val="single" w:sz="8" w:color="auto"/>
            </w:tcBorders>
            <w:gridSpan w:val="4"/>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0"/>
        </w:trPr>
        <w:tc>
          <w:tcPr>
            <w:tcW w:w="428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880" w:type="dxa"/>
            <w:vAlign w:val="bottom"/>
            <w:gridSpan w:val="2"/>
            <w:vMerge w:val="continue"/>
          </w:tcPr>
          <w:p>
            <w:pPr>
              <w:spacing w:after="0"/>
              <w:rPr>
                <w:sz w:val="4"/>
                <w:szCs w:val="4"/>
                <w:color w:val="auto"/>
              </w:rPr>
            </w:pPr>
          </w:p>
        </w:tc>
        <w:tc>
          <w:tcPr>
            <w:tcW w:w="4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4"/>
                <w:szCs w:val="4"/>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15"/>
                <w:szCs w:val="15"/>
                <w:color w:val="auto"/>
              </w:rPr>
            </w:pPr>
          </w:p>
        </w:tc>
        <w:tc>
          <w:tcPr>
            <w:tcW w:w="2800" w:type="dxa"/>
            <w:vAlign w:val="bottom"/>
            <w:gridSpan w:val="2"/>
          </w:tcPr>
          <w:p>
            <w:pPr>
              <w:jc w:val="center"/>
              <w:ind w:left="13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2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tcBorders>
              <w:top w:val="single" w:sz="8" w:color="auto"/>
            </w:tcBorders>
            <w:gridSpan w:val="4"/>
          </w:tcPr>
          <w:p>
            <w:pPr>
              <w:jc w:val="right"/>
              <w:ind w:right="29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equipment and technology</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20"/>
              <w:spacing w:after="0"/>
              <w:rPr>
                <w:sz w:val="20"/>
                <w:szCs w:val="20"/>
                <w:color w:val="auto"/>
              </w:rPr>
            </w:pPr>
            <w:r>
              <w:rPr>
                <w:rFonts w:ascii="Times New Roman" w:cs="Times New Roman" w:eastAsia="Times New Roman" w:hAnsi="Times New Roman"/>
                <w:sz w:val="18"/>
                <w:szCs w:val="18"/>
                <w:color w:val="auto"/>
                <w:w w:val="99"/>
              </w:rPr>
              <w:t>3 - 16 years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$ 471</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Buildings and leasehold improvements</w:t>
            </w:r>
          </w:p>
        </w:tc>
        <w:tc>
          <w:tcPr>
            <w:tcW w:w="1480" w:type="dxa"/>
            <w:vAlign w:val="bottom"/>
          </w:tcPr>
          <w:p>
            <w:pPr>
              <w:spacing w:after="0"/>
              <w:rPr>
                <w:sz w:val="18"/>
                <w:szCs w:val="18"/>
                <w:color w:val="auto"/>
              </w:rPr>
            </w:pPr>
          </w:p>
        </w:tc>
        <w:tc>
          <w:tcPr>
            <w:tcW w:w="188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auto"/>
                <w:w w:val="99"/>
              </w:rPr>
              <w:t>8 - 35 years</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3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48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center"/>
              <w:ind w:right="500"/>
              <w:spacing w:after="0"/>
              <w:rPr>
                <w:sz w:val="20"/>
                <w:szCs w:val="20"/>
                <w:color w:val="auto"/>
              </w:rPr>
            </w:pPr>
            <w:r>
              <w:rPr>
                <w:rFonts w:ascii="Times New Roman" w:cs="Times New Roman" w:eastAsia="Times New Roman" w:hAnsi="Times New Roman"/>
                <w:sz w:val="18"/>
                <w:szCs w:val="18"/>
                <w:color w:val="auto"/>
                <w:w w:val="96"/>
              </w:rPr>
              <w:t>N/A</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4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(404)</w:t>
            </w:r>
          </w:p>
        </w:tc>
        <w:tc>
          <w:tcPr>
            <w:tcW w:w="8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3"/>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4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$ 143</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$ 161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Depreciation expense relating to property and equipment was $63 million, $67 million and $61 million for the years ended December 31, 2024, 2023 and 2022, respectively.</w:t>
      </w:r>
    </w:p>
    <w:p>
      <w:pPr>
        <w:spacing w:after="0" w:line="162"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Property and equipment are stated at cost. We capitalize improvements that extend asset lives and expense repairs and maintenance costs as incurred. We capitalize direct development costs associated with internal-use software, including external direct costs of material and services and payroll costs for employees devoting time to these software projects, as well as costs associated with arrangements for purchase or license of internal-use software. We expense maintenance and training costs, as well as costs incurred during the preliminary stage of a software development project, as they are incurred.</w:t>
      </w:r>
    </w:p>
    <w:p>
      <w:pPr>
        <w:spacing w:after="0" w:line="183" w:lineRule="exact"/>
        <w:rPr>
          <w:sz w:val="20"/>
          <w:szCs w:val="20"/>
          <w:color w:val="auto"/>
        </w:rPr>
      </w:pPr>
    </w:p>
    <w:p>
      <w:pPr>
        <w:jc w:val="both"/>
        <w:ind w:left="120" w:right="360" w:firstLine="440"/>
        <w:spacing w:after="0" w:line="266" w:lineRule="auto"/>
        <w:rPr>
          <w:sz w:val="20"/>
          <w:szCs w:val="20"/>
          <w:color w:val="auto"/>
        </w:rPr>
      </w:pPr>
      <w:r>
        <w:rPr>
          <w:rFonts w:ascii="Times New Roman" w:cs="Times New Roman" w:eastAsia="Times New Roman" w:hAnsi="Times New Roman"/>
          <w:sz w:val="18"/>
          <w:szCs w:val="18"/>
          <w:color w:val="auto"/>
        </w:rPr>
        <w:t>We record depreciation using the straight-line method over the asset’s estimated useful life. For assets that are sold or retired, we remove the applicable cost and accumulated depreciation and, unless the gain or loss on disposition is presented separately, we recognize it as a component of depreciation expense.</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property and equipment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depreciation expense.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Goodwill and Intangible Assets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Goodwill is calculated as the excess of the consideration transferred over the identifiable net assets acquired in a business combination and represents the future economic benefits expected to arise from anticipated synergies and intangible assets acquired that do not qualify for separate recognition, including increased footprint, assembled workforce, noncontractual relationships and other agreements. As the Versant businesses were operated as a part of Comcast’s Media segment, our combined balance sheets include an allocated amount of goodwill from Comcast’s Media segment, determined using a relative fair value analysis as of July 1, 2024, the date of Comcast’s most recent annual goodwill impairment assessment. The fair values utilized in the relative fair value analysis were estimated using a discounted cash flow analysis, using Level 3 inputs. When performing this analysis, we also considered multiples of earnings from comparable public companies and recent market transactions. Prior to this date, impairment analysis was performed at the Comcast level. Following the</w:t>
      </w:r>
    </w:p>
    <w:p>
      <w:pPr>
        <w:spacing w:after="0" w:line="124"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F-17</w:t>
      </w:r>
    </w:p>
    <w:p>
      <w:pPr>
        <w:sectPr>
          <w:pgSz w:w="11900" w:h="16838" w:orient="portrait"/>
          <w:cols w:equalWidth="0" w:num="1">
            <w:col w:w="11020"/>
          </w:cols>
          <w:pgMar w:left="320" w:top="455" w:right="559" w:bottom="1440" w:gutter="0" w:footer="0" w:header="0"/>
        </w:sectPr>
      </w:pPr>
    </w:p>
    <w:bookmarkStart w:id="920" w:name="page921"/>
    <w:bookmarkEnd w:id="9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allocation, goodwill is required to be assessed for recoverability annually, or more frequently whenever events or substantive changes in circumstances indicate that the carrying amount of a reporting unit may exceed its fair value. We test goodwill for impairment at the reporting unit level. To determine our reporting units, we evaluate the components one level below the segment level and we aggregate the components if they have similar economic characteristics. We evaluate the determination of our reporting units used to test for impairment periodically or whenever events or substantive changes in circumstances occur. The assessment of recoverability may first consider qualitative factors to determine whether the existence of events or circumstances leads to a determination that it is more likely than not that the fair value of a reporting unit is less than its carrying amount. A quantitative assessment is performed if the qualitative assessment results in a more-likely-than-not determination or if a qualitative assessment is not performed. The quantitative assessment considers whether the carrying amount of a reporting unit exceeds its fair value, in which case an impairment charge is recorded to the extent the reporting unit’s carrying value exceeds its fair value. Unless presented separately, the impairment charge is included as a component of amortization expense.</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36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7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3620" w:type="dxa"/>
            <w:vAlign w:val="bottom"/>
          </w:tcPr>
          <w:p>
            <w:pPr>
              <w:spacing w:after="0"/>
              <w:rPr>
                <w:sz w:val="9"/>
                <w:szCs w:val="9"/>
                <w:color w:val="auto"/>
              </w:rPr>
            </w:pPr>
          </w:p>
        </w:tc>
        <w:tc>
          <w:tcPr>
            <w:tcW w:w="1780" w:type="dxa"/>
            <w:vAlign w:val="bottom"/>
            <w:gridSpan w:val="2"/>
            <w:vMerge w:val="continue"/>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Useful</w:t>
            </w:r>
          </w:p>
        </w:tc>
        <w:tc>
          <w:tcPr>
            <w:tcW w:w="20" w:type="dxa"/>
            <w:vAlign w:val="bottom"/>
          </w:tcPr>
          <w:p>
            <w:pPr>
              <w:spacing w:after="0"/>
              <w:rPr>
                <w:sz w:val="12"/>
                <w:szCs w:val="12"/>
                <w:color w:val="auto"/>
              </w:rPr>
            </w:pPr>
          </w:p>
        </w:tc>
        <w:tc>
          <w:tcPr>
            <w:tcW w:w="1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1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2"/>
                <w:szCs w:val="12"/>
                <w:color w:val="auto"/>
              </w:rPr>
            </w:pPr>
          </w:p>
        </w:tc>
        <w:tc>
          <w:tcPr>
            <w:tcW w:w="10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580" w:type="dxa"/>
            <w:vAlign w:val="bottom"/>
          </w:tcPr>
          <w:p>
            <w:pPr>
              <w:spacing w:after="0"/>
              <w:rPr>
                <w:sz w:val="12"/>
                <w:szCs w:val="12"/>
                <w:color w:val="auto"/>
              </w:rPr>
            </w:pPr>
          </w:p>
        </w:tc>
        <w:tc>
          <w:tcPr>
            <w:tcW w:w="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17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Life as of</w:t>
            </w:r>
          </w:p>
        </w:tc>
        <w:tc>
          <w:tcPr>
            <w:tcW w:w="20" w:type="dxa"/>
            <w:vAlign w:val="bottom"/>
          </w:tcPr>
          <w:p>
            <w:pPr>
              <w:spacing w:after="0"/>
              <w:rPr>
                <w:sz w:val="12"/>
                <w:szCs w:val="12"/>
                <w:color w:val="auto"/>
              </w:rPr>
            </w:pPr>
          </w:p>
        </w:tc>
        <w:tc>
          <w:tcPr>
            <w:tcW w:w="14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58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620" w:type="dxa"/>
            <w:vAlign w:val="bottom"/>
          </w:tcPr>
          <w:p>
            <w:pPr>
              <w:spacing w:after="0"/>
              <w:rPr>
                <w:sz w:val="15"/>
                <w:szCs w:val="15"/>
                <w:color w:val="auto"/>
              </w:rPr>
            </w:pPr>
          </w:p>
        </w:tc>
        <w:tc>
          <w:tcPr>
            <w:tcW w:w="17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gridSpan w:val="3"/>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580" w:type="dxa"/>
            <w:vAlign w:val="bottom"/>
          </w:tcPr>
          <w:p>
            <w:pPr>
              <w:spacing w:after="0"/>
              <w:rPr>
                <w:sz w:val="15"/>
                <w:szCs w:val="15"/>
                <w:color w:val="auto"/>
              </w:rPr>
            </w:pP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gridSpan w:val="4"/>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8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Finite-Lived Intangible Assets:</w:t>
            </w:r>
          </w:p>
        </w:tc>
        <w:tc>
          <w:tcPr>
            <w:tcW w:w="1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17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9,033</w:t>
            </w:r>
          </w:p>
        </w:tc>
        <w:tc>
          <w:tcPr>
            <w:tcW w:w="480" w:type="dxa"/>
            <w:vAlign w:val="bottom"/>
          </w:tcPr>
          <w:p>
            <w:pPr>
              <w:spacing w:after="0"/>
              <w:rPr>
                <w:sz w:val="18"/>
                <w:szCs w:val="18"/>
                <w:color w:val="auto"/>
              </w:rPr>
            </w:pP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(7,477)</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9,034</w:t>
            </w:r>
          </w:p>
        </w:tc>
        <w:tc>
          <w:tcPr>
            <w:tcW w:w="80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Tradenames and other</w:t>
            </w:r>
          </w:p>
        </w:tc>
        <w:tc>
          <w:tcPr>
            <w:tcW w:w="17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 years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1"/>
              <w:spacing w:after="0"/>
              <w:rPr>
                <w:sz w:val="20"/>
                <w:szCs w:val="20"/>
                <w:color w:val="auto"/>
              </w:rPr>
            </w:pPr>
            <w:r>
              <w:rPr>
                <w:rFonts w:ascii="Times New Roman" w:cs="Times New Roman" w:eastAsia="Times New Roman" w:hAnsi="Times New Roman"/>
                <w:sz w:val="18"/>
                <w:szCs w:val="18"/>
                <w:color w:val="auto"/>
              </w:rPr>
              <w:t>(642)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w:t>
            </w: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9,987</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(8,118</w:t>
            </w:r>
          </w:p>
        </w:tc>
        <w:tc>
          <w:tcPr>
            <w:tcW w:w="360" w:type="dxa"/>
            <w:vAlign w:val="bottom"/>
          </w:tcPr>
          <w:p>
            <w:pPr>
              <w:jc w:val="right"/>
              <w:ind w:right="2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10,034</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(7,239</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subject to amortization was $926 million, $924 million and $931 million for the years ended December 31, 2024, 2023 and 2022, respectively.</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Finite-lived intangible assets are subject to amortization and consist primarily of customer relationships and trade names acquired in business combinations. Our finite-lived intangible assets are amortized primarily on a straight-line basis over their estimated useful life or the term of the associated agreement.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table below presents the estimated amortization expense of our intangible assets.</w:t>
      </w:r>
    </w:p>
    <w:p>
      <w:pPr>
        <w:spacing w:after="0" w:line="246" w:lineRule="exact"/>
        <w:rPr>
          <w:sz w:val="20"/>
          <w:szCs w:val="20"/>
          <w:color w:val="auto"/>
        </w:rPr>
      </w:pPr>
    </w:p>
    <w:tbl>
      <w:tblPr>
        <w:tblLayout w:type="fixed"/>
        <w:tblInd w:w="1880" w:type="dxa"/>
        <w:tblCellMar>
          <w:top w:w="0" w:type="dxa"/>
          <w:left w:w="0" w:type="dxa"/>
          <w:bottom w:w="0" w:type="dxa"/>
          <w:right w:w="0" w:type="dxa"/>
        </w:tblCellMar>
      </w:tblPr>
      <w:tr>
        <w:trPr>
          <w:trHeight w:val="173"/>
        </w:trPr>
        <w:tc>
          <w:tcPr>
            <w:tcW w:w="6680" w:type="dxa"/>
            <w:vAlign w:val="bottom"/>
          </w:tcPr>
          <w:p>
            <w:pPr>
              <w:spacing w:after="0"/>
              <w:rPr>
                <w:sz w:val="15"/>
                <w:szCs w:val="15"/>
                <w:color w:val="auto"/>
              </w:rPr>
            </w:pPr>
          </w:p>
        </w:tc>
        <w:tc>
          <w:tcPr>
            <w:tcW w:w="8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09"/>
        </w:trPr>
        <w:tc>
          <w:tcPr>
            <w:tcW w:w="6680" w:type="dxa"/>
            <w:vAlign w:val="bottom"/>
            <w:tcBorders>
              <w:top w:val="single" w:sz="8" w:color="CCEEFF"/>
            </w:tcBorders>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2025</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2026</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916</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2027</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6680" w:type="dxa"/>
            <w:vAlign w:val="bottom"/>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2028</w:t>
            </w:r>
          </w:p>
        </w:tc>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680" w:type="dxa"/>
            <w:vAlign w:val="bottom"/>
            <w:shd w:val="clear" w:color="auto" w:fill="CCEEFF"/>
          </w:tcPr>
          <w:p>
            <w:pPr>
              <w:jc w:val="right"/>
              <w:ind w:right="6230"/>
              <w:spacing w:after="0"/>
              <w:rPr>
                <w:sz w:val="20"/>
                <w:szCs w:val="20"/>
                <w:color w:val="auto"/>
              </w:rPr>
            </w:pPr>
            <w:r>
              <w:rPr>
                <w:rFonts w:ascii="Times New Roman" w:cs="Times New Roman" w:eastAsia="Times New Roman" w:hAnsi="Times New Roman"/>
                <w:sz w:val="18"/>
                <w:szCs w:val="18"/>
                <w:color w:val="auto"/>
                <w:w w:val="94"/>
              </w:rPr>
              <w:t>2029</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We evaluate the recoverability of our finite-lived intangible assets whenever events or substantive changes in circumstances indicate that the carrying amount may not be recoverable. The evaluation is based on the cash flows generated by the underlying asset groups, including estimated future operating results, trends or other determinants of fair value. If the total of the expected future undiscounted cash flows were less than the carrying amount of the asset group, we would recognize an impairment charge to the extent the carrying amount of the asset group exceeded its estimated fair value. Unless presented separately, the impairment charge is included as a component of amortization expense.</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F-18</w:t>
      </w:r>
    </w:p>
    <w:p>
      <w:pPr>
        <w:sectPr>
          <w:pgSz w:w="11900" w:h="16838" w:orient="portrait"/>
          <w:cols w:equalWidth="0" w:num="1">
            <w:col w:w="11140"/>
          </w:cols>
          <w:pgMar w:left="320" w:top="455" w:right="439" w:bottom="1440" w:gutter="0" w:footer="0" w:header="0"/>
        </w:sectPr>
      </w:pPr>
    </w:p>
    <w:bookmarkStart w:id="921" w:name="page922"/>
    <w:bookmarkEnd w:id="9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8: Income Taxes</w:t>
      </w:r>
    </w:p>
    <w:p>
      <w:pPr>
        <w:spacing w:after="0" w:line="121" w:lineRule="exact"/>
        <w:rPr>
          <w:sz w:val="20"/>
          <w:szCs w:val="20"/>
          <w:color w:val="auto"/>
        </w:rPr>
      </w:pPr>
    </w:p>
    <w:p>
      <w:pPr>
        <w:ind w:left="120" w:firstLine="440"/>
        <w:spacing w:after="0" w:line="277" w:lineRule="auto"/>
        <w:rPr>
          <w:sz w:val="20"/>
          <w:szCs w:val="20"/>
          <w:color w:val="auto"/>
        </w:rPr>
      </w:pPr>
      <w:r>
        <w:rPr>
          <w:rFonts w:ascii="Times New Roman" w:cs="Times New Roman" w:eastAsia="Times New Roman" w:hAnsi="Times New Roman"/>
          <w:sz w:val="17"/>
          <w:szCs w:val="17"/>
          <w:color w:val="auto"/>
        </w:rPr>
        <w:t>During the periods presented in these combined financial statements, our operations were included in the combined U.S. federal, state and foreign income tax returns filed by Comcast. Income tax expense and other income tax related information contained in the combined financial statements are calculated as if we were a separate corporation that filed separate income tax returns. We believe the assumptions underlying the calculation of income taxes on a separate return basis are reasonable. However, income tax expense and liabilities as presented in these combined financial statements do not necessarily reflect the results that we would have reported as an independent, stand-alone company for the periods presented.</w:t>
      </w:r>
    </w:p>
    <w:p>
      <w:pPr>
        <w:spacing w:after="0" w:line="2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Income (Loss) Before Income Taxes</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80" w:type="dxa"/>
            <w:vAlign w:val="bottom"/>
            <w:gridSpan w:val="10"/>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top w:val="single" w:sz="8" w:color="auto"/>
              <w:bottom w:val="single" w:sz="8" w:color="auto"/>
            </w:tcBorders>
            <w:gridSpan w:val="2"/>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ind w:left="76"/>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Domestic</w:t>
            </w:r>
          </w:p>
        </w:tc>
        <w:tc>
          <w:tcPr>
            <w:tcW w:w="5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$1,823</w:t>
            </w:r>
          </w:p>
        </w:tc>
        <w:tc>
          <w:tcPr>
            <w:tcW w:w="9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$2,041</w:t>
            </w:r>
          </w:p>
        </w:tc>
        <w:tc>
          <w:tcPr>
            <w:tcW w:w="260" w:type="dxa"/>
            <w:vAlign w:val="bottom"/>
            <w:shd w:val="clear" w:color="auto" w:fill="CCEEFF"/>
          </w:tcPr>
          <w:p>
            <w:pPr>
              <w:spacing w:after="0"/>
              <w:rPr>
                <w:sz w:val="18"/>
                <w:szCs w:val="18"/>
                <w:color w:val="auto"/>
              </w:rPr>
            </w:pPr>
          </w:p>
        </w:tc>
        <w:tc>
          <w:tcPr>
            <w:tcW w:w="660" w:type="dxa"/>
            <w:vAlign w:val="bottom"/>
            <w:gridSpan w:val="4"/>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rPr>
              <w:t>$2,303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Foreign</w:t>
            </w:r>
          </w:p>
        </w:tc>
        <w:tc>
          <w:tcPr>
            <w:tcW w:w="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1,843</w:t>
            </w:r>
          </w:p>
        </w:tc>
        <w:tc>
          <w:tcPr>
            <w:tcW w:w="420" w:type="dxa"/>
            <w:vAlign w:val="bottom"/>
          </w:tcPr>
          <w:p>
            <w:pPr>
              <w:spacing w:after="0"/>
              <w:rPr>
                <w:sz w:val="19"/>
                <w:szCs w:val="19"/>
                <w:color w:val="auto"/>
              </w:rPr>
            </w:pPr>
          </w:p>
        </w:tc>
        <w:tc>
          <w:tcPr>
            <w:tcW w:w="5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auto"/>
                <w:w w:val="92"/>
              </w:rPr>
              <w:t>$</w:t>
            </w:r>
            <w:r>
              <w:rPr>
                <w:rFonts w:ascii="Times New Roman" w:cs="Times New Roman" w:eastAsia="Times New Roman" w:hAnsi="Times New Roman"/>
                <w:sz w:val="18"/>
                <w:szCs w:val="18"/>
                <w:color w:val="auto"/>
                <w:w w:val="92"/>
              </w:rPr>
              <w:t>2,069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2,349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Components of Income Tax Expense</w:t>
            </w: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4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66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20" w:type="dxa"/>
            <w:vAlign w:val="bottom"/>
            <w:gridSpan w:val="11"/>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gridSpan w:val="2"/>
          </w:tcPr>
          <w:p>
            <w:pPr>
              <w:jc w:val="center"/>
              <w:ind w:left="296"/>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center"/>
              <w:ind w:left="93"/>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4"/>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8"/>
              </w:rPr>
              <w:t>$ 472</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$ 561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gridSpan w:val="2"/>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Expense (Benefit):</w:t>
            </w:r>
          </w:p>
        </w:tc>
        <w:tc>
          <w:tcPr>
            <w:tcW w:w="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Federal</w:t>
            </w:r>
          </w:p>
        </w:tc>
        <w:tc>
          <w:tcPr>
            <w:tcW w:w="580" w:type="dxa"/>
            <w:vAlign w:val="bottom"/>
            <w:gridSpan w:val="3"/>
          </w:tcPr>
          <w:p>
            <w:pPr>
              <w:jc w:val="right"/>
              <w:ind w:right="28"/>
              <w:spacing w:after="0"/>
              <w:rPr>
                <w:sz w:val="20"/>
                <w:szCs w:val="20"/>
                <w:color w:val="auto"/>
              </w:rPr>
            </w:pPr>
            <w:r>
              <w:rPr>
                <w:rFonts w:ascii="Times New Roman" w:cs="Times New Roman" w:eastAsia="Times New Roman" w:hAnsi="Times New Roman"/>
                <w:sz w:val="18"/>
                <w:szCs w:val="18"/>
                <w:color w:val="auto"/>
              </w:rPr>
              <w:t>(111)</w:t>
            </w: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260" w:type="dxa"/>
            <w:vAlign w:val="bottom"/>
          </w:tcPr>
          <w:p>
            <w:pPr>
              <w:spacing w:after="0"/>
              <w:rPr>
                <w:sz w:val="18"/>
                <w:szCs w:val="18"/>
                <w:color w:val="auto"/>
              </w:rPr>
            </w:pP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State</w:t>
            </w:r>
          </w:p>
        </w:tc>
        <w:tc>
          <w:tcPr>
            <w:tcW w:w="580" w:type="dxa"/>
            <w:vAlign w:val="bottom"/>
            <w:gridSpan w:val="3"/>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(33)</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80" w:type="dxa"/>
            <w:vAlign w:val="bottom"/>
          </w:tcPr>
          <w:p>
            <w:pPr>
              <w:spacing w:after="0"/>
              <w:rPr>
                <w:sz w:val="18"/>
                <w:szCs w:val="18"/>
                <w:color w:val="auto"/>
              </w:rPr>
            </w:pPr>
          </w:p>
        </w:tc>
        <w:tc>
          <w:tcPr>
            <w:tcW w:w="500" w:type="dxa"/>
            <w:vAlign w:val="bottom"/>
            <w:gridSpan w:val="2"/>
          </w:tcPr>
          <w:p>
            <w:pPr>
              <w:jc w:val="right"/>
              <w:ind w:right="28"/>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7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81"/>
              </w:rPr>
              <w:t>— </w:t>
            </w:r>
          </w:p>
        </w:tc>
        <w:tc>
          <w:tcPr>
            <w:tcW w:w="74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0" w:type="dxa"/>
            <w:vAlign w:val="bottom"/>
          </w:tcPr>
          <w:p>
            <w:pPr>
              <w:spacing w:after="0"/>
              <w:rPr>
                <w:sz w:val="18"/>
                <w:szCs w:val="18"/>
                <w:color w:val="auto"/>
              </w:rPr>
            </w:pPr>
          </w:p>
        </w:tc>
        <w:tc>
          <w:tcPr>
            <w:tcW w:w="6760" w:type="dxa"/>
            <w:vAlign w:val="bottom"/>
            <w:shd w:val="clear" w:color="auto" w:fill="CCEEFF"/>
          </w:tcPr>
          <w:p>
            <w:pPr>
              <w:spacing w:after="0"/>
              <w:rPr>
                <w:sz w:val="18"/>
                <w:szCs w:val="18"/>
                <w:color w:val="auto"/>
              </w:rPr>
            </w:pP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w w:val="97"/>
              </w:rPr>
              <w:t>(145)</w:t>
            </w: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spacing w:after="0"/>
              <w:rPr>
                <w:sz w:val="18"/>
                <w:szCs w:val="18"/>
                <w:color w:val="auto"/>
              </w:rPr>
            </w:pPr>
          </w:p>
        </w:tc>
        <w:tc>
          <w:tcPr>
            <w:tcW w:w="74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3"/>
        </w:trPr>
        <w:tc>
          <w:tcPr>
            <w:tcW w:w="74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8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8"/>
              </w:rPr>
              <w:t>$ 478</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$ 530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gridSpan w:val="2"/>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$ 591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income tax expense (benefit) differs from the federal statutory amount because of the effect of the items detailed in the table below.</w:t>
      </w:r>
    </w:p>
    <w:p>
      <w:pPr>
        <w:spacing w:after="0" w:line="246" w:lineRule="exact"/>
        <w:rPr>
          <w:sz w:val="20"/>
          <w:szCs w:val="20"/>
          <w:color w:val="auto"/>
        </w:rPr>
      </w:pPr>
    </w:p>
    <w:tbl>
      <w:tblPr>
        <w:tblLayout w:type="fixed"/>
        <w:tblInd w:w="1000" w:type="dxa"/>
        <w:tblCellMar>
          <w:top w:w="0" w:type="dxa"/>
          <w:left w:w="0" w:type="dxa"/>
          <w:bottom w:w="0" w:type="dxa"/>
          <w:right w:w="0" w:type="dxa"/>
        </w:tblCellMar>
      </w:tblPr>
      <w:tr>
        <w:trPr>
          <w:trHeight w:val="173"/>
        </w:trPr>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80" w:type="dxa"/>
            <w:vAlign w:val="bottom"/>
            <w:gridSpan w:val="7"/>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7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2"/>
                <w:szCs w:val="12"/>
                <w:color w:val="auto"/>
              </w:rPr>
            </w:pPr>
          </w:p>
        </w:tc>
      </w:tr>
      <w:tr>
        <w:trPr>
          <w:trHeight w:val="142"/>
        </w:trPr>
        <w:tc>
          <w:tcPr>
            <w:tcW w:w="7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20" w:type="dxa"/>
            <w:vAlign w:val="bottom"/>
            <w:gridSpan w:val="3"/>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Federal tax at statutory rate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4"/>
              </w:rPr>
              <w:t>$387</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$435</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w:t>
            </w:r>
          </w:p>
        </w:tc>
        <w:tc>
          <w:tcPr>
            <w:tcW w:w="120" w:type="dxa"/>
            <w:vAlign w:val="bottom"/>
            <w:shd w:val="clear" w:color="auto" w:fill="CCEEFF"/>
          </w:tcPr>
          <w:p>
            <w:pPr>
              <w:spacing w:after="0"/>
              <w:rPr>
                <w:sz w:val="18"/>
                <w:szCs w:val="18"/>
                <w:color w:val="auto"/>
              </w:rPr>
            </w:pPr>
          </w:p>
        </w:tc>
      </w:tr>
      <w:tr>
        <w:trPr>
          <w:trHeight w:val="216"/>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34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20" w:type="dxa"/>
            <w:vAlign w:val="bottom"/>
          </w:tcPr>
          <w:p>
            <w:pPr>
              <w:spacing w:after="0"/>
              <w:rPr>
                <w:sz w:val="18"/>
                <w:szCs w:val="18"/>
                <w:color w:val="auto"/>
              </w:rPr>
            </w:pPr>
          </w:p>
        </w:tc>
      </w:tr>
      <w:tr>
        <w:trPr>
          <w:trHeight w:val="216"/>
        </w:trPr>
        <w:tc>
          <w:tcPr>
            <w:tcW w:w="7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12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62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71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0" w:type="dxa"/>
            <w:vAlign w:val="bottom"/>
            <w:tcBorders>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r>
              <w:rPr>
                <w:rFonts w:ascii="Times New Roman" w:cs="Times New Roman" w:eastAsia="Times New Roman" w:hAnsi="Times New Roman"/>
                <w:sz w:val="18"/>
                <w:szCs w:val="18"/>
                <w:color w:val="auto"/>
                <w:w w:val="88"/>
              </w:rPr>
              <w:t>478</w:t>
            </w:r>
          </w:p>
        </w:tc>
        <w:tc>
          <w:tcPr>
            <w:tcW w:w="42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530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4"/>
              </w:rPr>
              <w:t>$</w:t>
            </w:r>
            <w:r>
              <w:rPr>
                <w:rFonts w:ascii="Times New Roman" w:cs="Times New Roman" w:eastAsia="Times New Roman" w:hAnsi="Times New Roman"/>
                <w:sz w:val="18"/>
                <w:szCs w:val="18"/>
                <w:color w:val="auto"/>
                <w:w w:val="94"/>
              </w:rPr>
              <w:t>591</w:t>
            </w:r>
          </w:p>
        </w:tc>
        <w:tc>
          <w:tcPr>
            <w:tcW w:w="120" w:type="dxa"/>
            <w:vAlign w:val="bottom"/>
          </w:tcPr>
          <w:p>
            <w:pPr>
              <w:spacing w:after="0"/>
              <w:rPr>
                <w:sz w:val="19"/>
                <w:szCs w:val="19"/>
                <w:color w:val="auto"/>
              </w:rPr>
            </w:pPr>
          </w:p>
        </w:tc>
      </w:tr>
      <w:tr>
        <w:trPr>
          <w:trHeight w:val="20"/>
        </w:trPr>
        <w:tc>
          <w:tcPr>
            <w:tcW w:w="7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We base our provision for income taxes on our current period income, changes in our deferred income tax assets and liabilities, income tax rates, changes in estimates of our uncertain tax positions, tax planning opportunities available in the jurisdictions in which we operate and excess tax benefits or deficiencies that arise when the tax consequences of share-based compensation differ from amounts previously recognized in the</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F-19</w:t>
      </w:r>
    </w:p>
    <w:p>
      <w:pPr>
        <w:sectPr>
          <w:pgSz w:w="11900" w:h="16838" w:orient="portrait"/>
          <w:cols w:equalWidth="0" w:num="1">
            <w:col w:w="11060"/>
          </w:cols>
          <w:pgMar w:left="320" w:top="455" w:right="519" w:bottom="1440" w:gutter="0" w:footer="0" w:header="0"/>
        </w:sectPr>
      </w:pPr>
    </w:p>
    <w:bookmarkStart w:id="922" w:name="page923"/>
    <w:bookmarkEnd w:id="9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statements of income. Current income tax expense has been offset by a corresponding change in net Parent investment on the combined balance sheet. We recognize deferred tax assets and liabilities when there are temporary differences between the financial reporting basis and tax basis of our assets and liabilities and for the expected benefits of using net operating loss carryforwards. The determination of the realization of the net operating loss carryforwards is dependent on our subsidiaries’ taxable income or loss, redetermination from taxing authorities, and laws that can change from year to year and impact the amount of such carryforwards. We recognize a valuation allowance if we determine it is more likely than not that some portion, or all, of a deferred tax asset will not be realized. When a change in the tax rate or tax law has an impact on deferred taxes, we apply the change based on the years in which the temporary differences are expected to reverse. We record the change in our combined financial statements in the period of enactment.</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Components of Net Deferred Tax Liability</w:t>
      </w:r>
    </w:p>
    <w:p>
      <w:pPr>
        <w:spacing w:after="0" w:line="250" w:lineRule="exact"/>
        <w:rPr>
          <w:sz w:val="20"/>
          <w:szCs w:val="20"/>
          <w:color w:val="auto"/>
        </w:rPr>
      </w:pPr>
    </w:p>
    <w:tbl>
      <w:tblPr>
        <w:tblLayout w:type="fixed"/>
        <w:tblInd w:w="34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7"/>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6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6"/>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operating loss and other loss carryforwards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$ 28</w:t>
            </w:r>
          </w:p>
        </w:tc>
        <w:tc>
          <w:tcPr>
            <w:tcW w:w="28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Investments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Nondeductible accruals and other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Valuation allowance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6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Intangible assets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563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liability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425</w:t>
            </w:r>
          </w:p>
        </w:tc>
        <w:tc>
          <w:tcPr>
            <w:tcW w:w="2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Valuation Allowance for Deferred Tax Assets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5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660" w:type="dxa"/>
            <w:vAlign w:val="bottom"/>
          </w:tcPr>
          <w:p>
            <w:pPr>
              <w:spacing w:after="0"/>
              <w:rPr>
                <w:sz w:val="24"/>
                <w:szCs w:val="24"/>
                <w:color w:val="auto"/>
              </w:rPr>
            </w:pPr>
          </w:p>
        </w:tc>
        <w:tc>
          <w:tcPr>
            <w:tcW w:w="692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60" w:type="dxa"/>
            <w:vAlign w:val="bottom"/>
          </w:tcPr>
          <w:p>
            <w:pPr>
              <w:spacing w:after="0"/>
              <w:rPr>
                <w:sz w:val="13"/>
                <w:szCs w:val="13"/>
                <w:color w:val="auto"/>
              </w:rPr>
            </w:pPr>
          </w:p>
        </w:tc>
        <w:tc>
          <w:tcPr>
            <w:tcW w:w="6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5"/>
          </w:tcPr>
          <w:p>
            <w:pPr>
              <w:jc w:val="right"/>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9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Additions charged to income tax expense and other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80" w:type="dxa"/>
            <w:vAlign w:val="bottom"/>
          </w:tcPr>
          <w:p>
            <w:pPr>
              <w:spacing w:after="0"/>
              <w:rPr>
                <w:sz w:val="18"/>
                <w:szCs w:val="18"/>
                <w:color w:val="auto"/>
              </w:rPr>
            </w:pPr>
          </w:p>
        </w:tc>
        <w:tc>
          <w:tcPr>
            <w:tcW w:w="72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w w:val="81"/>
              </w:rPr>
              <w:t>— </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Deductions from reserves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1"/>
              </w:rPr>
              <w:t>— </w:t>
            </w:r>
          </w:p>
        </w:tc>
        <w:tc>
          <w:tcPr>
            <w:tcW w:w="58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758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w:t>
            </w:r>
          </w:p>
        </w:tc>
        <w:tc>
          <w:tcPr>
            <w:tcW w:w="58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$ 36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680" w:firstLine="440"/>
        <w:spacing w:after="0" w:line="312" w:lineRule="auto"/>
        <w:rPr>
          <w:sz w:val="20"/>
          <w:szCs w:val="20"/>
          <w:color w:val="auto"/>
        </w:rPr>
      </w:pPr>
      <w:r>
        <w:rPr>
          <w:rFonts w:ascii="Times New Roman" w:cs="Times New Roman" w:eastAsia="Times New Roman" w:hAnsi="Times New Roman"/>
          <w:sz w:val="17"/>
          <w:szCs w:val="17"/>
          <w:color w:val="auto"/>
        </w:rPr>
        <w:t>As of December 31, 2024 and 2023, net operating loss carryforwards primarily related to a subsidiary included in our combined financial statements, which can be carried forward indefinitely. Our valuation allowances primarily related to these net operating loss carryforwards.</w:t>
      </w:r>
    </w:p>
    <w:p>
      <w:pPr>
        <w:spacing w:after="0" w:line="24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121"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From time to time, we engage in transactions in which the tax consequences may be subject to uncertainty. In these cases, we evaluate our tax position using the recognition threshold and the measurement attribute in accordance with the accounting guidance related to uncertain tax positions. Examples of these transactions include the allocation of income among state and local tax jurisdictions. Significant judgment is required in assessing and estimating the tax consequences of these transactions. We determine whether it is more likely than not that a tax position will be sustained on examination, including the resolution of any related appeals or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F-20</w:t>
      </w:r>
    </w:p>
    <w:p>
      <w:pPr>
        <w:sectPr>
          <w:pgSz w:w="11900" w:h="16838" w:orient="portrait"/>
          <w:cols w:equalWidth="0" w:num="1">
            <w:col w:w="11120"/>
          </w:cols>
          <w:pgMar w:left="320" w:top="455" w:right="459" w:bottom="1440" w:gutter="0" w:footer="0" w:header="0"/>
        </w:sectPr>
      </w:pPr>
    </w:p>
    <w:bookmarkStart w:id="923" w:name="page924"/>
    <w:bookmarkEnd w:id="9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litigation processes, based on the technical merits of the position. A tax position that meets the more-likely-than-not recognition threshold is measured to determine the amount of benefit to be recognized in our combined financial statements. We classify interest and penalties, if any, associated with our uncertain tax positions as a component of income tax expense (benefit). Our liability for uncertain tax positions was not material in any period presented.</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The IRS has completed its examination of Comcast’s income tax returns for all years through 2021. Various states and foreign jurisdictions are examining Comcast’s tax returns and the tax years of those tax returns currently under examination vary by state, with most of the periods relating to tax years 2011 and forward.</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9: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Licensed Content</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Our most significant fixed-price purchase obligations relate to long-term commitments for licensed content. Refer to Note 4 for additional information.</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10: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Sales to related parties were $1.26 billion</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$1.34 billion and $1.39 billion during the years ended December 31, 2024, 2023 and 2022, respectively.</w:t>
      </w:r>
    </w:p>
    <w:p>
      <w:pPr>
        <w:spacing w:after="0" w:line="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Accounts receivable due for these transactions were $208 million and $219 million as of December 31, 2024 and 2023, respectively.</w:t>
      </w:r>
    </w:p>
    <w:p>
      <w:pPr>
        <w:spacing w:after="0" w:line="207"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Costs of revenue from related parties were $1.16 billion, $1.15 billion and $1.17 billion for the years ended December 31, 2024, 2023 and 2022, respectively. Capitalized content costs related to these costs were $286 million and $228 million as of December 31, 2024 and 2023, respectively. Content obligations related to these costs were $112 million and $117 million as of December 31, 2024 and 2023, respectively.</w:t>
      </w:r>
    </w:p>
    <w:p>
      <w:pPr>
        <w:spacing w:after="0" w:line="176"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$12 million, $14 million and $10 million for the years ended December 31, 2024, 2023 and 2022, respectively, and are presented in selling, general and administrative expenses. Amounts payable for these transactions were not material as of December 31, 2024 or 2023.</w:t>
      </w:r>
    </w:p>
    <w:p>
      <w:pPr>
        <w:spacing w:after="0" w:line="176" w:lineRule="exact"/>
        <w:rPr>
          <w:sz w:val="20"/>
          <w:szCs w:val="20"/>
          <w:color w:val="auto"/>
        </w:rPr>
      </w:pPr>
    </w:p>
    <w:p>
      <w:pPr>
        <w:ind w:left="120" w:right="360" w:firstLine="440"/>
        <w:spacing w:after="0" w:line="276" w:lineRule="auto"/>
        <w:rPr>
          <w:sz w:val="20"/>
          <w:szCs w:val="20"/>
          <w:color w:val="auto"/>
        </w:rPr>
      </w:pPr>
      <w:r>
        <w:rPr>
          <w:rFonts w:ascii="Times New Roman" w:cs="Times New Roman" w:eastAsia="Times New Roman" w:hAnsi="Times New Roman"/>
          <w:sz w:val="17"/>
          <w:szCs w:val="17"/>
          <w:color w:val="auto"/>
        </w:rPr>
        <w:t>We have related party loan balances associated with the participation of certain of our subsidiaries in Comcast’s centralized cash management programs. Our receivable balances pursuant to these contracts are presented in other current assets in the combined balance sheets and totaled</w:t>
      </w:r>
    </w:p>
    <w:p>
      <w:pPr>
        <w:spacing w:after="0" w:line="1" w:lineRule="exact"/>
        <w:rPr>
          <w:sz w:val="20"/>
          <w:szCs w:val="20"/>
          <w:color w:val="auto"/>
        </w:rPr>
      </w:pPr>
    </w:p>
    <w:p>
      <w:pPr>
        <w:ind w:left="120" w:right="100"/>
        <w:spacing w:after="0" w:line="260" w:lineRule="auto"/>
        <w:rPr>
          <w:sz w:val="20"/>
          <w:szCs w:val="20"/>
          <w:color w:val="auto"/>
        </w:rPr>
      </w:pPr>
      <w:r>
        <w:rPr>
          <w:rFonts w:ascii="Times New Roman" w:cs="Times New Roman" w:eastAsia="Times New Roman" w:hAnsi="Times New Roman"/>
          <w:sz w:val="18"/>
          <w:szCs w:val="18"/>
          <w:color w:val="auto"/>
        </w:rPr>
        <w:t>$35 million and $18 million as of December 31, 2024 and 2023, respectively. Our payable balances pursuant to these contracts are presented in accrued expenses and other current liabilities in the combined balance sheets and totaled $12 million and</w:t>
      </w:r>
    </w:p>
    <w:p>
      <w:pPr>
        <w:spacing w:after="0" w:line="11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F-21</w:t>
      </w:r>
    </w:p>
    <w:p>
      <w:pPr>
        <w:sectPr>
          <w:pgSz w:w="11900" w:h="16838" w:orient="portrait"/>
          <w:cols w:equalWidth="0" w:num="1">
            <w:col w:w="11120"/>
          </w:cols>
          <w:pgMar w:left="320" w:top="455" w:right="459" w:bottom="1440" w:gutter="0" w:footer="0" w:header="0"/>
        </w:sectPr>
      </w:pPr>
    </w:p>
    <w:bookmarkStart w:id="924" w:name="page925"/>
    <w:bookmarkEnd w:id="9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$18 million as of December 31, 2024 and 2023, respectively. Activity related to loans receivable and payable is presented in the combined statements of cash flows in other investing and other financing activities, respectively.</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combined statement of income and are reflected in the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Amounts recorded in cost of revenue for these services were $266 million, $277 million and $259 million in 2024, 2023 and 2022, respectively.</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selling, general and administrative expenses for these services were $870 million, $910 million and $897 million in 2024, 2023 and 2022, respectively.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11: Subsequent Events</w:t>
      </w:r>
    </w:p>
    <w:p>
      <w:pPr>
        <w:spacing w:after="0" w:line="121"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May 30, 2025, which is the issue date of these combined financial statements and concluded that no additional subsequent events have occurred that would require recognition in the combined financial statements or disclosure in the notes to the combined financial statements.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F-22</w:t>
      </w:r>
    </w:p>
    <w:p>
      <w:pPr>
        <w:sectPr>
          <w:pgSz w:w="11900" w:h="16838" w:orient="portrait"/>
          <w:cols w:equalWidth="0" w:num="1">
            <w:col w:w="11080"/>
          </w:cols>
          <w:pgMar w:left="320" w:top="455" w:right="499" w:bottom="1440" w:gutter="0" w:footer="0" w:header="0"/>
        </w:sectPr>
      </w:pPr>
    </w:p>
    <w:bookmarkStart w:id="925" w:name="page926"/>
    <w:bookmarkEnd w:id="9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8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460" w:type="dxa"/>
            <w:vAlign w:val="bottom"/>
            <w:gridSpan w:val="6"/>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jc w:val="center"/>
              <w:ind w:left="25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22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center"/>
              <w:ind w:right="64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880" w:type="dxa"/>
            <w:vAlign w:val="bottom"/>
            <w:gridSpan w:val="2"/>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80" w:type="dxa"/>
            <w:vAlign w:val="bottom"/>
          </w:tcPr>
          <w:p>
            <w:pPr>
              <w:spacing w:after="0"/>
              <w:rPr>
                <w:sz w:val="10"/>
                <w:szCs w:val="10"/>
                <w:color w:val="auto"/>
              </w:rPr>
            </w:pPr>
          </w:p>
        </w:tc>
        <w:tc>
          <w:tcPr>
            <w:tcW w:w="660" w:type="dxa"/>
            <w:vAlign w:val="bottom"/>
            <w:gridSpan w:val="2"/>
          </w:tcPr>
          <w:p>
            <w:pPr>
              <w:jc w:val="center"/>
              <w:ind w:right="44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jc w:val="center"/>
              <w:ind w:right="115"/>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12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gridSpan w:val="3"/>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120" w:type="dxa"/>
            <w:vAlign w:val="bottom"/>
            <w:vMerge w:val="continue"/>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740" w:type="dxa"/>
            <w:vAlign w:val="bottom"/>
            <w:gridSpan w:val="3"/>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80"/>
              </w:rPr>
              <w:t>2025 </w:t>
            </w:r>
          </w:p>
        </w:tc>
        <w:tc>
          <w:tcPr>
            <w:tcW w:w="18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12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b w:val="1"/>
                <w:bCs w:val="1"/>
                <w:color w:val="auto"/>
              </w:rPr>
              <w:t>Revenue</w:t>
            </w:r>
            <w:r>
              <w:rPr>
                <w:rFonts w:ascii="Times New Roman" w:cs="Times New Roman" w:eastAsia="Times New Roman" w:hAnsi="Times New Roman"/>
                <w:sz w:val="25"/>
                <w:szCs w:val="25"/>
                <w:color w:val="auto"/>
                <w:vertAlign w:val="superscript"/>
              </w:rPr>
              <w:t>(a)</w:t>
            </w:r>
          </w:p>
        </w:tc>
        <w:tc>
          <w:tcPr>
            <w:tcW w:w="1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1,708</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1,808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3,415</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3,626</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line="216" w:lineRule="exact"/>
              <w:rPr>
                <w:sz w:val="20"/>
                <w:szCs w:val="20"/>
                <w:color w:val="auto"/>
              </w:rPr>
            </w:pPr>
            <w:r>
              <w:rPr>
                <w:rFonts w:ascii="Times New Roman" w:cs="Times New Roman" w:eastAsia="Times New Roman" w:hAnsi="Times New Roman"/>
                <w:sz w:val="17"/>
                <w:szCs w:val="17"/>
                <w:color w:val="auto"/>
              </w:rPr>
              <w:t>Costs of revenue (exclusive of depreciation and amortization)</w:t>
            </w:r>
            <w:r>
              <w:rPr>
                <w:rFonts w:ascii="Times New Roman" w:cs="Times New Roman" w:eastAsia="Times New Roman" w:hAnsi="Times New Roman"/>
                <w:sz w:val="25"/>
                <w:szCs w:val="25"/>
                <w:color w:val="auto"/>
                <w:vertAlign w:val="superscript"/>
              </w:rPr>
              <w:t>(b)</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w w:val="98"/>
              </w:rPr>
              <w:t>1,354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1,436</w:t>
            </w:r>
          </w:p>
        </w:tc>
        <w:tc>
          <w:tcPr>
            <w:tcW w:w="0" w:type="dxa"/>
            <w:vAlign w:val="bottom"/>
          </w:tcPr>
          <w:p>
            <w:pPr>
              <w:spacing w:after="0"/>
              <w:rPr>
                <w:sz w:val="1"/>
                <w:szCs w:val="1"/>
                <w:color w:val="auto"/>
              </w:rPr>
            </w:pPr>
          </w:p>
        </w:tc>
      </w:tr>
      <w:tr>
        <w:trPr>
          <w:trHeight w:val="216"/>
        </w:trPr>
        <w:tc>
          <w:tcPr>
            <w:tcW w:w="62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662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244</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245</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489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23"/>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costs and expenses</w:t>
            </w:r>
          </w:p>
        </w:tc>
        <w:tc>
          <w:tcPr>
            <w:tcW w:w="12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1,298</w:t>
            </w: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2,505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2,546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410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502</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910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3"/>
              </w:rPr>
              <w:t>1,081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and other income (loss), net</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3"/>
              </w:rPr>
              <w:t>1,081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0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Versant</w:t>
            </w: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302</w:t>
            </w: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373</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803</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540" w:right="500" w:hanging="424"/>
        <w:spacing w:after="0" w:line="261" w:lineRule="auto"/>
        <w:tabs>
          <w:tab w:leader="none" w:pos="54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$276 million and $313 million for the three months ended June 30, 2025 and 2024, respectively, and $573 million and $645 million for the six months ended June 30, 2025 and 2024, respectively.</w:t>
      </w:r>
    </w:p>
    <w:p>
      <w:pPr>
        <w:ind w:left="540" w:right="500" w:hanging="424"/>
        <w:spacing w:after="0" w:line="260" w:lineRule="auto"/>
        <w:tabs>
          <w:tab w:leader="none" w:pos="54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related party amounts totaling $273 million and $337 million for the three months ended June 30, 2025 and 2024, respectively, and $505 million and $592 million for the six months ended June 30, 2025 and 2024, respectively.</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F-23</w:t>
      </w:r>
    </w:p>
    <w:p>
      <w:pPr>
        <w:sectPr>
          <w:pgSz w:w="11900" w:h="16838" w:orient="portrait"/>
          <w:cols w:equalWidth="0" w:num="1">
            <w:col w:w="11140"/>
          </w:cols>
          <w:pgMar w:left="320" w:top="455" w:right="439" w:bottom="1440" w:gutter="0" w:footer="0" w:header="0"/>
        </w:sectPr>
      </w:pPr>
    </w:p>
    <w:bookmarkStart w:id="926" w:name="page927"/>
    <w:bookmarkEnd w:id="9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INCOME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160" w:type="dxa"/>
            <w:vAlign w:val="bottom"/>
            <w:gridSpan w:val="6"/>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520" w:type="dxa"/>
            <w:vAlign w:val="bottom"/>
            <w:gridSpan w:val="6"/>
          </w:tcPr>
          <w:p>
            <w:pPr>
              <w:ind w:lef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4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80"/>
              </w:rPr>
              <w:t>2025 </w:t>
            </w:r>
          </w:p>
        </w:tc>
        <w:tc>
          <w:tcPr>
            <w:tcW w:w="520" w:type="dxa"/>
            <w:vAlign w:val="bottom"/>
          </w:tcPr>
          <w:p>
            <w:pPr>
              <w:spacing w:after="0"/>
              <w:rPr>
                <w:sz w:val="10"/>
                <w:szCs w:val="10"/>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w w:val="71"/>
              </w:rPr>
              <w:t> </w:t>
            </w:r>
          </w:p>
        </w:tc>
        <w:tc>
          <w:tcPr>
            <w:tcW w:w="10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2024 </w:t>
            </w:r>
          </w:p>
        </w:tc>
        <w:tc>
          <w:tcPr>
            <w:tcW w:w="140" w:type="dxa"/>
            <w:vAlign w:val="bottom"/>
          </w:tcPr>
          <w:p>
            <w:pPr>
              <w:spacing w:after="0"/>
              <w:rPr>
                <w:sz w:val="10"/>
                <w:szCs w:val="10"/>
                <w:color w:val="auto"/>
              </w:rPr>
            </w:pPr>
          </w:p>
        </w:tc>
        <w:tc>
          <w:tcPr>
            <w:tcW w:w="380" w:type="dxa"/>
            <w:vAlign w:val="bottom"/>
            <w:gridSpan w:val="2"/>
          </w:tcPr>
          <w:p>
            <w:pPr>
              <w:jc w:val="center"/>
              <w:ind w:right="260"/>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jc w:val="center"/>
              <w:ind w:right="159"/>
              <w:spacing w:after="0"/>
              <w:rPr>
                <w:sz w:val="20"/>
                <w:szCs w:val="20"/>
                <w:color w:val="auto"/>
              </w:rPr>
            </w:pPr>
            <w:r>
              <w:rPr>
                <w:rFonts w:ascii="Times New Roman" w:cs="Times New Roman" w:eastAsia="Times New Roman" w:hAnsi="Times New Roman"/>
                <w:sz w:val="5"/>
                <w:szCs w:val="5"/>
                <w:b w:val="1"/>
                <w:bCs w:val="1"/>
                <w:color w:val="auto"/>
                <w:w w:val="79"/>
              </w:rPr>
              <w:t> </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6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480" w:type="dxa"/>
            <w:vAlign w:val="bottom"/>
            <w:gridSpan w:val="2"/>
            <w:vMerge w:val="continue"/>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5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76"/>
              </w:rPr>
              <w:t>2025 </w:t>
            </w:r>
          </w:p>
        </w:tc>
        <w:tc>
          <w:tcPr>
            <w:tcW w:w="520" w:type="dxa"/>
            <w:vAlign w:val="bottom"/>
          </w:tcPr>
          <w:p>
            <w:pPr>
              <w:spacing w:after="0"/>
              <w:rPr>
                <w:sz w:val="15"/>
                <w:szCs w:val="15"/>
                <w:color w:val="auto"/>
              </w:rPr>
            </w:pPr>
          </w:p>
        </w:tc>
        <w:tc>
          <w:tcPr>
            <w:tcW w:w="62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76"/>
              </w:rPr>
              <w:t>2024 </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w w:val="99"/>
              </w:rPr>
              <w:t>(in millions)</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7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303</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(loss), net of tax (expense) benefit:</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Currency translation adjustments, net of deferred taxes of $0 for each period</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372</w:t>
            </w:r>
          </w:p>
        </w:tc>
        <w:tc>
          <w:tcPr>
            <w:tcW w:w="140" w:type="dxa"/>
            <w:vAlign w:val="bottom"/>
          </w:tcPr>
          <w:p>
            <w:pPr>
              <w:spacing w:after="0"/>
              <w:rPr>
                <w:sz w:val="18"/>
                <w:szCs w:val="18"/>
                <w:color w:val="auto"/>
              </w:rPr>
            </w:pP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Less: Other comprehensive income (loss) attributable to noncontrolling interests</w:t>
            </w:r>
          </w:p>
        </w:tc>
        <w:tc>
          <w:tcPr>
            <w:tcW w:w="6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w w:val="88"/>
              </w:rPr>
              <w:t>— </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w w:val="88"/>
              </w:rPr>
              <w:t>— </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Versant</w:t>
            </w: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304</w:t>
            </w:r>
          </w:p>
        </w:tc>
        <w:tc>
          <w:tcPr>
            <w:tcW w:w="64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373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672</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802</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F-24</w:t>
      </w:r>
    </w:p>
    <w:p>
      <w:pPr>
        <w:sectPr>
          <w:pgSz w:w="11900" w:h="16838" w:orient="portrait"/>
          <w:cols w:equalWidth="0" w:num="1">
            <w:col w:w="11140"/>
          </w:cols>
          <w:pgMar w:left="320" w:top="455" w:right="439" w:bottom="1440" w:gutter="0" w:footer="0" w:header="0"/>
        </w:sectPr>
      </w:pPr>
    </w:p>
    <w:bookmarkStart w:id="927" w:name="page928"/>
    <w:bookmarkEnd w:id="9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227" w:lineRule="exact"/>
        <w:rPr>
          <w:sz w:val="20"/>
          <w:szCs w:val="20"/>
          <w:color w:val="auto"/>
        </w:rPr>
      </w:pP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Six Months Ended</w:t>
      </w:r>
    </w:p>
    <w:p>
      <w:pPr>
        <w:jc w:val="center"/>
        <w:ind w:left="904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120" w:type="dxa"/>
        <w:tblCellMar>
          <w:top w:w="0" w:type="dxa"/>
          <w:left w:w="0" w:type="dxa"/>
          <w:bottom w:w="0" w:type="dxa"/>
          <w:right w:w="0" w:type="dxa"/>
        </w:tblCellMar>
      </w:tblPr>
      <w:tr>
        <w:trPr>
          <w:trHeight w:val="142"/>
        </w:trPr>
        <w:tc>
          <w:tcPr>
            <w:tcW w:w="9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9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4"/>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w:t>
            </w:r>
          </w:p>
        </w:tc>
        <w:tc>
          <w:tcPr>
            <w:tcW w:w="6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(gain) loss on investment activity and other</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914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and noncurrent receivables, net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Content costs, net</w:t>
            </w: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operating assets and liabilities</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1,113</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1,084</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investing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(77)</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net Parent investment</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w w:val="98"/>
              </w:rPr>
              <w:t>(1,028)</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5"/>
              </w:rPr>
              <w:t>(1,041)</w:t>
            </w:r>
          </w:p>
        </w:tc>
        <w:tc>
          <w:tcPr>
            <w:tcW w:w="0" w:type="dxa"/>
            <w:vAlign w:val="bottom"/>
          </w:tcPr>
          <w:p>
            <w:pPr>
              <w:spacing w:after="0"/>
              <w:rPr>
                <w:sz w:val="1"/>
                <w:szCs w:val="1"/>
                <w:color w:val="auto"/>
              </w:rPr>
            </w:pPr>
          </w:p>
        </w:tc>
      </w:tr>
      <w:tr>
        <w:trPr>
          <w:trHeight w:val="216"/>
        </w:trPr>
        <w:tc>
          <w:tcPr>
            <w:tcW w:w="9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00" w:type="dxa"/>
            <w:vAlign w:val="bottom"/>
          </w:tcPr>
          <w:p>
            <w:pPr>
              <w:spacing w:after="0"/>
              <w:rPr>
                <w:sz w:val="18"/>
                <w:szCs w:val="18"/>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9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10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w w:val="98"/>
              </w:rPr>
              <w:t>(1,040)</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5"/>
              </w:rPr>
              <w:t>(1,059)</w:t>
            </w:r>
          </w:p>
        </w:tc>
        <w:tc>
          <w:tcPr>
            <w:tcW w:w="0" w:type="dxa"/>
            <w:vAlign w:val="bottom"/>
          </w:tcPr>
          <w:p>
            <w:pPr>
              <w:spacing w:after="0"/>
              <w:rPr>
                <w:sz w:val="1"/>
                <w:szCs w:val="1"/>
                <w:color w:val="auto"/>
              </w:rPr>
            </w:pPr>
          </w:p>
        </w:tc>
      </w:tr>
      <w:tr>
        <w:trPr>
          <w:trHeight w:val="20"/>
        </w:trPr>
        <w:tc>
          <w:tcPr>
            <w:tcW w:w="9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w:t>
            </w: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9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3"/>
        </w:trPr>
        <w:tc>
          <w:tcPr>
            <w:tcW w:w="9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20" w:type="dxa"/>
            <w:vAlign w:val="bottom"/>
            <w:tcBorders>
              <w:bottom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F-25</w:t>
      </w:r>
    </w:p>
    <w:p>
      <w:pPr>
        <w:sectPr>
          <w:pgSz w:w="11900" w:h="16838" w:orient="portrait"/>
          <w:cols w:equalWidth="0" w:num="1">
            <w:col w:w="11140"/>
          </w:cols>
          <w:pgMar w:left="320" w:top="455" w:right="439" w:bottom="1440" w:gutter="0" w:footer="0" w:header="0"/>
        </w:sectPr>
      </w:pPr>
    </w:p>
    <w:bookmarkStart w:id="928" w:name="page929"/>
    <w:bookmarkEnd w:id="9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940" w:type="dxa"/>
            <w:vAlign w:val="bottom"/>
          </w:tcPr>
          <w:p>
            <w:pPr>
              <w:spacing w:after="0"/>
              <w:rPr>
                <w:sz w:val="13"/>
                <w:szCs w:val="13"/>
                <w:color w:val="auto"/>
              </w:rPr>
            </w:pPr>
          </w:p>
        </w:tc>
        <w:tc>
          <w:tcPr>
            <w:tcW w:w="1120" w:type="dxa"/>
            <w:vAlign w:val="bottom"/>
            <w:gridSpan w:val="4"/>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9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Pr>
          <w:p>
            <w:pPr>
              <w:spacing w:after="0"/>
              <w:rPr>
                <w:sz w:val="15"/>
                <w:szCs w:val="15"/>
                <w:color w:val="auto"/>
              </w:rPr>
            </w:pPr>
          </w:p>
        </w:tc>
      </w:tr>
      <w:tr>
        <w:trPr>
          <w:trHeight w:val="142"/>
        </w:trPr>
        <w:tc>
          <w:tcPr>
            <w:tcW w:w="8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 net</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1,245</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r>
      <w:tr>
        <w:trPr>
          <w:trHeight w:val="223"/>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1,318</w:t>
            </w:r>
          </w:p>
        </w:tc>
        <w:tc>
          <w:tcPr>
            <w:tcW w:w="120" w:type="dxa"/>
            <w:vAlign w:val="bottom"/>
          </w:tcPr>
          <w:p>
            <w:pPr>
              <w:spacing w:after="0"/>
              <w:rPr>
                <w:sz w:val="19"/>
                <w:szCs w:val="19"/>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Content costs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639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 of accumulated depreciation of $428 and $404</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net of accumulated amortization of $8,577 and $8,118</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1,411</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1,869</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7,732</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7,732</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assets, net</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11,610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12,049</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content obligations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195</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employee costs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360</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428</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content obligations</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Parent investment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6"/>
              </w:rPr>
              <w:t>10,463</w:t>
            </w: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10,805</w:t>
            </w:r>
          </w:p>
        </w:tc>
      </w:tr>
      <w:tr>
        <w:trPr>
          <w:trHeight w:val="216"/>
        </w:trPr>
        <w:tc>
          <w:tcPr>
            <w:tcW w:w="8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00" w:type="dxa"/>
            <w:vAlign w:val="bottom"/>
          </w:tcPr>
          <w:p>
            <w:pPr>
              <w:spacing w:after="0"/>
              <w:rPr>
                <w:sz w:val="18"/>
                <w:szCs w:val="18"/>
                <w:color w:val="auto"/>
              </w:rPr>
            </w:pPr>
          </w:p>
        </w:tc>
        <w:tc>
          <w:tcPr>
            <w:tcW w:w="1020" w:type="dxa"/>
            <w:vAlign w:val="bottom"/>
            <w:gridSpan w:val="3"/>
          </w:tcPr>
          <w:p>
            <w:pPr>
              <w:jc w:val="right"/>
              <w:ind w:right="388"/>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Comcast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10,457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10,797</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118</w:t>
            </w:r>
          </w:p>
        </w:tc>
      </w:tr>
      <w:tr>
        <w:trPr>
          <w:trHeight w:val="27"/>
        </w:trPr>
        <w:tc>
          <w:tcPr>
            <w:tcW w:w="8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10,577</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10,915</w:t>
            </w:r>
          </w:p>
        </w:tc>
      </w:tr>
      <w:tr>
        <w:trPr>
          <w:trHeight w:val="216"/>
        </w:trPr>
        <w:tc>
          <w:tcPr>
            <w:tcW w:w="8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6"/>
              </w:rPr>
              <w:t>11,610</w:t>
            </w:r>
          </w:p>
        </w:tc>
        <w:tc>
          <w:tcPr>
            <w:tcW w:w="50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12,049</w:t>
            </w:r>
          </w:p>
        </w:tc>
      </w:tr>
      <w:tr>
        <w:trPr>
          <w:trHeight w:val="20"/>
        </w:trPr>
        <w:tc>
          <w:tcPr>
            <w:tcW w:w="8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5460" w:right="1720" w:hanging="5337"/>
        <w:spacing w:after="0" w:line="454" w:lineRule="auto"/>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amounts of related party transactions. F-26</w:t>
      </w:r>
    </w:p>
    <w:p>
      <w:pPr>
        <w:sectPr>
          <w:pgSz w:w="11900" w:h="16838" w:orient="portrait"/>
          <w:cols w:equalWidth="0" w:num="1">
            <w:col w:w="11140"/>
          </w:cols>
          <w:pgMar w:left="320" w:top="455" w:right="439" w:bottom="1440" w:gutter="0" w:footer="0" w:header="0"/>
        </w:sectPr>
      </w:pPr>
    </w:p>
    <w:bookmarkStart w:id="929" w:name="page930"/>
    <w:bookmarkEnd w:id="9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COMBINED STATEMENTS OF CHANGES IN EQUITY (UNAUDITED)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54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2"/>
                <w:szCs w:val="12"/>
                <w:color w:val="auto"/>
              </w:rPr>
            </w:pPr>
          </w:p>
        </w:tc>
      </w:tr>
      <w:tr>
        <w:trPr>
          <w:trHeight w:val="142"/>
        </w:trPr>
        <w:tc>
          <w:tcPr>
            <w:tcW w:w="7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20" w:type="dxa"/>
            <w:vAlign w:val="bottom"/>
            <w:gridSpan w:val="5"/>
          </w:tcPr>
          <w:p>
            <w:pPr>
              <w:jc w:val="right"/>
              <w:ind w:right="70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Parent Investment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10,723</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w w:val="92"/>
              </w:rPr>
              <w:t>11,465</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w w:val="96"/>
              </w:rPr>
              <w:t>10,805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6"/>
              </w:rPr>
              <w:t>11,568</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Transactions with Parent company,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(1,035)</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302</w:t>
            </w:r>
          </w:p>
        </w:tc>
        <w:tc>
          <w:tcPr>
            <w:tcW w:w="100" w:type="dxa"/>
            <w:vAlign w:val="bottom"/>
          </w:tcPr>
          <w:p>
            <w:pPr>
              <w:spacing w:after="0"/>
              <w:rPr>
                <w:sz w:val="18"/>
                <w:szCs w:val="18"/>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373</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803</w:t>
            </w:r>
          </w:p>
        </w:tc>
      </w:tr>
      <w:tr>
        <w:trPr>
          <w:trHeight w:val="27"/>
        </w:trPr>
        <w:tc>
          <w:tcPr>
            <w:tcW w:w="7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11,336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10,463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11,336</w:t>
            </w:r>
          </w:p>
        </w:tc>
      </w:tr>
      <w:tr>
        <w:trPr>
          <w:trHeight w:val="223"/>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 (Loss)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(8)</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Noncontrolling Interests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Balance, beginning of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8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w:t>
            </w:r>
          </w:p>
        </w:tc>
        <w:tc>
          <w:tcPr>
            <w:tcW w:w="8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— </w:t>
            </w: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7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 (loss)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6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Balance,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120</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80" w:type="dxa"/>
            <w:vAlign w:val="bottom"/>
            <w:tcBorders>
              <w:top w:val="single" w:sz="8" w:color="auto"/>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w w:val="88"/>
              </w:rPr>
              <w:t>115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115</w:t>
            </w:r>
          </w:p>
        </w:tc>
        <w:tc>
          <w:tcPr>
            <w:tcW w:w="120" w:type="dxa"/>
            <w:vAlign w:val="bottom"/>
          </w:tcPr>
          <w:p>
            <w:pPr>
              <w:spacing w:after="0"/>
              <w:rPr>
                <w:sz w:val="20"/>
                <w:szCs w:val="20"/>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10,577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2"/>
              </w:rPr>
              <w:t>11,443</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8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6"/>
              </w:rPr>
              <w:t>10,577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6"/>
              </w:rPr>
              <w:t>11,443</w:t>
            </w:r>
          </w:p>
        </w:tc>
      </w:tr>
      <w:tr>
        <w:trPr>
          <w:trHeight w:val="20"/>
        </w:trPr>
        <w:tc>
          <w:tcPr>
            <w:tcW w:w="7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See accompanying notes to condensed combined financial statements, including Note 5 for related party transactions.</w:t>
      </w:r>
    </w:p>
    <w:p>
      <w:pPr>
        <w:spacing w:after="0" w:line="15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F-27</w:t>
      </w:r>
    </w:p>
    <w:p>
      <w:pPr>
        <w:sectPr>
          <w:pgSz w:w="11900" w:h="16838" w:orient="portrait"/>
          <w:cols w:equalWidth="0" w:num="1">
            <w:col w:w="11140"/>
          </w:cols>
          <w:pgMar w:left="320" w:top="455" w:right="439" w:bottom="1440" w:gutter="0" w:footer="0" w:header="0"/>
        </w:sectPr>
      </w:pPr>
    </w:p>
    <w:bookmarkStart w:id="930" w:name="page931"/>
    <w:bookmarkEnd w:id="9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VERSANT BUSINESSES OF COMCAST CORPORATION</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 (UNAUDITED)</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1: Condensed Combined Financial Statements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Company and Proposed Transaction</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 November 2024, Comcast Corporation (together with its consolidated subsidiaries, “Comcast” or the “Parent”) announced a plan to distribute (the “Distribution”) to Comcast’s shareholders all of the shares of common stock of a newly formed company that, following a series of asset and liability transfers, and corporate reorganization transactions (the “Transactions” and, together with the Distribution, the “Separation”) will hold, directly or indirectly through its subsidiaries, the assets, liabilities and legal entities comprising the business, operations, products, services and activities of certain of Comcast’s cable television networks and digital platforms (collectively referred to as “Versant”, the “Company”, “we”, “us”, “our”). Historically, this business was part of Comcast’s Media segment and has not been operated as a distinct business unit or division of Comcast. The Separation is expected to be completed around the end of 2025 and is subject to market, regulatory and certain other conditions, including final approval of Comcast’s Board of Directors.</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Versant is a media and entertainment business that operates in four core markets: political news and opinion, business news and personal finance, golf and athletics participation and sports and genre entertainment. We serve these markets primarily through a portfolio of brands comprised of networks, including USA Network, CNBC, MSNBC, Oxygen, E!, Syfy and Golf Channel, and digital platforms, including Fandango, Rotten Tomatoes, GolfNow and SportsEngine.</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left="120" w:right="300" w:firstLine="440"/>
        <w:spacing w:after="0" w:line="258" w:lineRule="auto"/>
        <w:rPr>
          <w:sz w:val="20"/>
          <w:szCs w:val="20"/>
          <w:color w:val="auto"/>
        </w:rPr>
      </w:pPr>
      <w:r>
        <w:rPr>
          <w:rFonts w:ascii="Times New Roman" w:cs="Times New Roman" w:eastAsia="Times New Roman" w:hAnsi="Times New Roman"/>
          <w:sz w:val="18"/>
          <w:szCs w:val="18"/>
          <w:color w:val="auto"/>
        </w:rPr>
        <w:t>For the periods presented in these condensed combined financial statements, the Versant businesses were operated as part of Comcast’s Media segment. The condensed combined financial statements have been derived from Comcast’s historical accounting records as if Versant operations had been conducted independently from Comcast, and reflect the assets, liabilities, revenues and expenses of the Company on a historical cost basis. The condensed combined financial statements were prepared on a stand-alone basis in accordance with U.S. generally accepted accounting principles (“GAAP”) and pursuant to the rules and regulations of the U.S. Securities and Exchange Commission (“SEC”).</w:t>
      </w:r>
    </w:p>
    <w:p>
      <w:pPr>
        <w:spacing w:after="0" w:line="183"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Accordingly, certain information related to our significant accounting policies and footnote disclosures normally included in financial statements prepared in accordance with U.S. GAAP have been condensed or omitted. These condensed combined financial statements reflect, in the opinion of management, all material adjustments (which include only normally recurring adjustments) necessary to fairly state, in all material respects, our financial position, results of operations and cash flows for the periods presented.</w:t>
      </w:r>
    </w:p>
    <w:p>
      <w:pPr>
        <w:spacing w:after="0" w:line="180"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condensed combined balance sheets include assets and liabilities specifically attributable to the Company and certain assets and liabilities held by Comcast but specifically identifiable or otherwise attributable to our business. Assets and liabilities included in our audited condensed combined balance sheets were based on an assessment as of December 31, 2024. For periods subsequent to December 31, 2024, the condensed combined balance sheets include new assets and liabilities resulting from transactions occurring during that period that were held by Comcast but specifically identifiable or otherwise attributable to our business or in subsidiaries that are included in the condensed combined financial statements or related to employees that have been determined to be specifically identifiable to Versant during the period. Accordingly, our condensed combined balance sheets may not reflect the assets and liabilities that will be included in Versant following the Separation. For example, certain shared facilities not included in the condensed combined balance sheets may be included in the Separation. Comcast’s third-party debt and related interest expense have not been attributed to the Company because the borrowings are not specifically identifiable to the Company and the Company is not the legal obligor. The condensed combined financial statements reflect noncontrolling interests for certain subsidiaries included in the condensed combined financial statements, in which a third party has a minority ownership interest.</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F-28</w:t>
      </w:r>
    </w:p>
    <w:p>
      <w:pPr>
        <w:sectPr>
          <w:pgSz w:w="11900" w:h="16838" w:orient="portrait"/>
          <w:cols w:equalWidth="0" w:num="1">
            <w:col w:w="11120"/>
          </w:cols>
          <w:pgMar w:left="320" w:top="455" w:right="459" w:bottom="1440" w:gutter="0" w:footer="0" w:header="0"/>
        </w:sectPr>
      </w:pPr>
    </w:p>
    <w:bookmarkStart w:id="931" w:name="page932"/>
    <w:bookmarkEnd w:id="9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6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statements of income include all revenues and costs directly attributable to our business, including costs related to production activities that use centralized Comcast operations and directly charged to us based on usage. The condensed combined statements of income also include allocations of costs for administrative functions and services performed on our behalf by other centralized functions within Comcast and allocations of costs for the use of shared assets (see Note 5). These expenses have been allocated on a pro rata basis using an applicable measure of revenue. All allocations and estimates reflected in the condensed combined financial statements are based on assumptions that management believes are reasonable. However, the allocations may not be indicative of the actual expense that would have been incurred had we operated as an independent, standalone entity, nor are they indicative of our future expenses. Actual costs that may have been incurred if we had been a standalone company would depend on a number of factors, including the chosen organization structure and strategic decisions made in various areas, including information technology, infrastructure and outsourcing of corporate functions.</w:t>
      </w:r>
    </w:p>
    <w:p>
      <w:pPr>
        <w:spacing w:after="0" w:line="188"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All intercompany transactions and balances within our business have been eliminated. Certain transactions are handled through Comcast’s centralized cash management process or allocated to us and will generally be deemed settled for cash at the time the transactions are recorded in these condensed combined financial statements. The total net effect of the deemed settlement of these transactions is included in net Parent investment and the net effect of changes in net Parent investment is presented in financing activities in the condensed combined statements of cash flows. Centralized cash management balances related to certain of our operations are executed through formal loan agreements and are therefore presented in assets or liabilities as applicable. These and other transactions between the Company and Comcast are included in the condensed combined financial statements and are considered related party transactions. See Note 5 for more information.</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present our operations in one reportable business segment and beginning in 2025, our Chief Executive Officer was the chief operating decision maker (“CODM”). Our business operates complementary brands, generating revenue through contracts or monetization strategies that span across brands, and leveraging integrated operational infrastructure. As a single segment entity, our segment performance measure used in the measurement of operational strength and performance and in the evaluation of underlying trends is net income attributable to Versant and the measure of segment assets is total assets. Additional information about our operations and these measures is presented in the condensed combined financial statements, with further details included throughout the footnotes, including certain of our significant operating expenses in Note 3.</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Income Tax Disclosures</w:t>
      </w:r>
    </w:p>
    <w:p>
      <w:pPr>
        <w:spacing w:after="0" w:line="11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updated accounting guidance related to income tax disclosures. The updated accounting guidance, among other things, requires additional disclosure primarily related to the income tax rate reconciliation and income taxes paid. The updated guidance is effective beginning in our Annual Report on Form 10-K for the year ended December 31, 2025.</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19"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In November 2024, the FASB issued updated accounting guidance related to disclosures of certain costs and expenses. The updated accounting guidance, among other things, requires quantitative disclosures for employee compensation, selling expenses and purchases of inventory. The updated guidance is effective beginning in our Annual Report on Form 10-K for the year ended December 31, 2027.</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F-29</w:t>
      </w:r>
    </w:p>
    <w:p>
      <w:pPr>
        <w:sectPr>
          <w:pgSz w:w="11900" w:h="16838" w:orient="portrait"/>
          <w:cols w:equalWidth="0" w:num="1">
            <w:col w:w="11120"/>
          </w:cols>
          <w:pgMar w:left="320" w:top="455" w:right="459" w:bottom="1440" w:gutter="0" w:footer="0" w:header="0"/>
        </w:sectPr>
      </w:pPr>
    </w:p>
    <w:bookmarkStart w:id="932" w:name="page933"/>
    <w:bookmarkEnd w:id="932"/>
    <w:tbl>
      <w:tblPr>
        <w:tblLayout w:type="fixed"/>
        <w:tblInd w:w="0" w:type="dxa"/>
        <w:tblCellMar>
          <w:top w:w="0" w:type="dxa"/>
          <w:left w:w="0" w:type="dxa"/>
          <w:bottom w:w="0" w:type="dxa"/>
          <w:right w:w="0" w:type="dxa"/>
        </w:tblCellMar>
      </w:tblPr>
      <w:tr>
        <w:trPr>
          <w:trHeight w:val="207"/>
        </w:trPr>
        <w:tc>
          <w:tcPr>
            <w:tcW w:w="48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gridSpan w:val="2"/>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4840" w:type="dxa"/>
            <w:vAlign w:val="bottom"/>
            <w:gridSpan w:val="3"/>
          </w:tcPr>
          <w:p>
            <w:pPr>
              <w:ind w:left="120"/>
              <w:spacing w:after="0"/>
              <w:rPr>
                <w:sz w:val="20"/>
                <w:szCs w:val="20"/>
                <w:color w:val="auto"/>
              </w:rPr>
            </w:pPr>
            <w:r>
              <w:rPr>
                <w:rFonts w:ascii="Times New Roman" w:cs="Times New Roman" w:eastAsia="Times New Roman" w:hAnsi="Times New Roman"/>
                <w:sz w:val="18"/>
                <w:szCs w:val="18"/>
                <w:b w:val="1"/>
                <w:bCs w:val="1"/>
                <w:color w:val="auto"/>
              </w:rPr>
              <w:t>Note 2: Revenue</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5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4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50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Borders>
              <w:top w:val="single" w:sz="8" w:color="auto"/>
              <w:bottom w:val="single" w:sz="8" w:color="auto"/>
            </w:tcBorders>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4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60" w:type="dxa"/>
            <w:vAlign w:val="bottom"/>
            <w:gridSpan w:val="4"/>
          </w:tcPr>
          <w:p>
            <w:pPr>
              <w:jc w:val="right"/>
              <w:ind w:right="8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Linear distribution</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$ 1,017</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1,066</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$2,103</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6"/>
              </w:rPr>
              <w:t>$2,227</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Advertising</w:t>
            </w:r>
          </w:p>
        </w:tc>
        <w:tc>
          <w:tcPr>
            <w:tcW w:w="3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425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489</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814</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Platforms</w:t>
            </w:r>
          </w:p>
        </w:tc>
        <w:tc>
          <w:tcPr>
            <w:tcW w:w="30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202</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398</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560" w:type="dxa"/>
            <w:vAlign w:val="bottom"/>
          </w:tcPr>
          <w:p>
            <w:pPr>
              <w:spacing w:after="0"/>
              <w:rPr>
                <w:sz w:val="18"/>
                <w:szCs w:val="18"/>
                <w:color w:val="auto"/>
              </w:rPr>
            </w:pPr>
          </w:p>
        </w:tc>
        <w:tc>
          <w:tcPr>
            <w:tcW w:w="4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Content licensing and other</w:t>
            </w:r>
          </w:p>
        </w:tc>
        <w:tc>
          <w:tcPr>
            <w:tcW w:w="23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51</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100</w:t>
            </w:r>
          </w:p>
        </w:tc>
        <w:tc>
          <w:tcPr>
            <w:tcW w:w="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7"/>
        </w:trPr>
        <w:tc>
          <w:tcPr>
            <w:tcW w:w="560" w:type="dxa"/>
            <w:vAlign w:val="bottom"/>
            <w:vMerge w:val="restart"/>
          </w:tcPr>
          <w:p>
            <w:pPr>
              <w:spacing w:after="0"/>
              <w:rPr>
                <w:sz w:val="2"/>
                <w:szCs w:val="2"/>
                <w:color w:val="auto"/>
              </w:rPr>
            </w:pPr>
          </w:p>
        </w:tc>
        <w:tc>
          <w:tcPr>
            <w:tcW w:w="80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3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60" w:type="dxa"/>
            <w:vAlign w:val="bottom"/>
            <w:vMerge w:val="continue"/>
          </w:tcPr>
          <w:p>
            <w:pPr>
              <w:spacing w:after="0"/>
              <w:rPr>
                <w:sz w:val="18"/>
                <w:szCs w:val="18"/>
                <w:color w:val="auto"/>
              </w:rPr>
            </w:pPr>
          </w:p>
        </w:tc>
        <w:tc>
          <w:tcPr>
            <w:tcW w:w="4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$ 1,708</w:t>
            </w:r>
          </w:p>
        </w:tc>
        <w:tc>
          <w:tcPr>
            <w:tcW w:w="3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1,808</w:t>
            </w: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3,415</w:t>
            </w:r>
          </w:p>
        </w:tc>
        <w:tc>
          <w:tcPr>
            <w:tcW w:w="5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w w:val="96"/>
              </w:rPr>
              <w:t>$</w:t>
            </w:r>
            <w:r>
              <w:rPr>
                <w:rFonts w:ascii="Times New Roman" w:cs="Times New Roman" w:eastAsia="Times New Roman" w:hAnsi="Times New Roman"/>
                <w:sz w:val="18"/>
                <w:szCs w:val="18"/>
                <w:b w:val="1"/>
                <w:bCs w:val="1"/>
                <w:color w:val="auto"/>
                <w:w w:val="96"/>
              </w:rPr>
              <w:t>3,626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119"/>
        <w:spacing w:after="0"/>
        <w:rPr>
          <w:sz w:val="20"/>
          <w:szCs w:val="20"/>
          <w:color w:val="auto"/>
        </w:rPr>
      </w:pPr>
      <w:r>
        <w:rPr>
          <w:rFonts w:ascii="Times New Roman" w:cs="Times New Roman" w:eastAsia="Times New Roman" w:hAnsi="Times New Roman"/>
          <w:sz w:val="18"/>
          <w:szCs w:val="18"/>
          <w:color w:val="auto"/>
        </w:rPr>
        <w:t>The amount of future revenue to be earned related to fixed price contracts with advertisers in excess of one year totaled $280 million as of</w:t>
      </w:r>
    </w:p>
    <w:p>
      <w:pPr>
        <w:spacing w:after="0" w:line="27" w:lineRule="exact"/>
        <w:rPr>
          <w:sz w:val="20"/>
          <w:szCs w:val="20"/>
          <w:color w:val="auto"/>
        </w:rPr>
      </w:pPr>
    </w:p>
    <w:p>
      <w:pPr>
        <w:ind w:left="120"/>
        <w:spacing w:after="0" w:line="260" w:lineRule="auto"/>
        <w:rPr>
          <w:sz w:val="20"/>
          <w:szCs w:val="20"/>
          <w:color w:val="auto"/>
        </w:rPr>
      </w:pPr>
      <w:r>
        <w:rPr>
          <w:rFonts w:ascii="Times New Roman" w:cs="Times New Roman" w:eastAsia="Times New Roman" w:hAnsi="Times New Roman"/>
          <w:sz w:val="18"/>
          <w:szCs w:val="18"/>
          <w:color w:val="auto"/>
        </w:rPr>
        <w:t>June 30, 2025, which will be recognized over the next 6 years. The amount of future revenue to be earned related to fixed pricing under existing third-party content licensing agreements is $10 million as of June 30, 2025. The majority of this revenue will be recognized within two years.</w:t>
      </w:r>
    </w:p>
    <w:p>
      <w:pPr>
        <w:spacing w:after="0" w:line="2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Condensed Combined Balance Sheets</w:t>
      </w:r>
    </w:p>
    <w:p>
      <w:pPr>
        <w:spacing w:after="0" w:line="23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280" w:type="dxa"/>
            <w:vAlign w:val="bottom"/>
          </w:tcPr>
          <w:p>
            <w:pPr>
              <w:spacing w:after="0"/>
              <w:rPr>
                <w:sz w:val="13"/>
                <w:szCs w:val="13"/>
                <w:color w:val="auto"/>
              </w:rPr>
            </w:pPr>
          </w:p>
        </w:tc>
        <w:tc>
          <w:tcPr>
            <w:tcW w:w="5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3"/>
                <w:szCs w:val="13"/>
                <w:color w:val="auto"/>
              </w:rPr>
            </w:pP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80" w:type="dxa"/>
            <w:vAlign w:val="bottom"/>
          </w:tcPr>
          <w:p>
            <w:pPr>
              <w:spacing w:after="0"/>
              <w:rPr>
                <w:sz w:val="15"/>
                <w:szCs w:val="15"/>
                <w:color w:val="auto"/>
              </w:rPr>
            </w:pPr>
          </w:p>
        </w:tc>
        <w:tc>
          <w:tcPr>
            <w:tcW w:w="5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5"/>
                <w:szCs w:val="15"/>
                <w:color w:val="auto"/>
              </w:rPr>
            </w:pPr>
          </w:p>
        </w:tc>
      </w:tr>
      <w:tr>
        <w:trPr>
          <w:trHeight w:val="142"/>
        </w:trPr>
        <w:tc>
          <w:tcPr>
            <w:tcW w:w="6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gridSpan w:val="2"/>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gross</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$1,273</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1,253</w:t>
            </w:r>
          </w:p>
        </w:tc>
      </w:tr>
      <w:tr>
        <w:trPr>
          <w:trHeight w:val="216"/>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r>
      <w:tr>
        <w:trPr>
          <w:trHeight w:val="27"/>
        </w:trPr>
        <w:tc>
          <w:tcPr>
            <w:tcW w:w="6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Receivables, net</w:t>
            </w: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1,265</w:t>
            </w:r>
          </w:p>
        </w:tc>
        <w:tc>
          <w:tcPr>
            <w:tcW w:w="86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b w:val="1"/>
                <w:bCs w:val="1"/>
                <w:color w:val="auto"/>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1,245</w:t>
            </w:r>
          </w:p>
        </w:tc>
      </w:tr>
      <w:tr>
        <w:trPr>
          <w:trHeight w:val="20"/>
        </w:trPr>
        <w:tc>
          <w:tcPr>
            <w:tcW w:w="6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most significant accounts receivable balances relate to our linear distribution agreements with large multichannel video providers. As of June 30, 2025 and December 31, 2024, our ten largest multichannel video provider customers accounted for approximately 49% and 55% of our total accounts receivable, respectively. Refer to Note 5 for revenue and accounts receivable information related to distribution and other arrangements with Comcast.</w:t>
      </w:r>
    </w:p>
    <w:p>
      <w:pPr>
        <w:spacing w:after="0" w:line="180" w:lineRule="exact"/>
        <w:rPr>
          <w:sz w:val="20"/>
          <w:szCs w:val="20"/>
          <w:color w:val="auto"/>
        </w:rPr>
      </w:pPr>
    </w:p>
    <w:p>
      <w:pPr>
        <w:jc w:val="both"/>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June 30, 2025 and December 31, 2024, the gift card liability for our movie ticket platform was $44 million and $53 million, respectively, including $31 million and $37 million in accrued expenses and other current liabilities, respectively, with the remainder presented in other noncurrent liabilities. Revenue recorded related to breakage on these gift cards was $1 million and $2 million for the three months ended June 30, 2025 and 2024, and $7 million and $6 million for the six months ended June 30, 2025 and 2024.</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3: Costs of Revenue</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8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15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jc w:val="right"/>
              <w:ind w:right="37"/>
              <w:spacing w:after="0" w:line="142" w:lineRule="exact"/>
              <w:rPr>
                <w:sz w:val="20"/>
                <w:szCs w:val="20"/>
                <w:color w:val="auto"/>
              </w:rPr>
            </w:pPr>
            <w:r>
              <w:rPr>
                <w:rFonts w:ascii="Times New Roman" w:cs="Times New Roman" w:eastAsia="Times New Roman" w:hAnsi="Times New Roman"/>
                <w:sz w:val="14"/>
                <w:szCs w:val="14"/>
                <w:b w:val="1"/>
                <w:bCs w:val="1"/>
                <w:color w:val="auto"/>
                <w:w w:val="76"/>
              </w:rPr>
              <w:t>2025 </w:t>
            </w:r>
          </w:p>
        </w:tc>
        <w:tc>
          <w:tcPr>
            <w:tcW w:w="5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w w:val="95"/>
              </w:rPr>
              <w:t>2024 </w:t>
            </w:r>
          </w:p>
        </w:tc>
        <w:tc>
          <w:tcPr>
            <w:tcW w:w="2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20" w:type="dxa"/>
            <w:vAlign w:val="bottom"/>
            <w:tcBorders>
              <w:top w:val="single" w:sz="8" w:color="auto"/>
              <w:bottom w:val="single" w:sz="8" w:color="auto"/>
            </w:tcBorders>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gridSpan w:val="4"/>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Programming and production</w:t>
            </w:r>
          </w:p>
        </w:tc>
        <w:tc>
          <w:tcPr>
            <w:tcW w:w="300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633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costs of revenue</w:t>
            </w:r>
          </w:p>
        </w:tc>
        <w:tc>
          <w:tcPr>
            <w:tcW w:w="3000" w:type="dxa"/>
            <w:vAlign w:val="bottom"/>
            <w:gridSpan w:val="2"/>
            <w:shd w:val="clear" w:color="auto" w:fill="CCEEFF"/>
          </w:tcPr>
          <w:p>
            <w:pPr>
              <w:ind w:left="2880"/>
              <w:spacing w:after="0"/>
              <w:rPr>
                <w:sz w:val="20"/>
                <w:szCs w:val="20"/>
                <w:color w:val="auto"/>
              </w:rPr>
            </w:pPr>
            <w:r>
              <w:rPr>
                <w:rFonts w:ascii="Times New Roman" w:cs="Times New Roman" w:eastAsia="Times New Roman" w:hAnsi="Times New Roman"/>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700</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747</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1,354</w:t>
            </w:r>
          </w:p>
        </w:tc>
        <w:tc>
          <w:tcPr>
            <w:tcW w:w="10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1,436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300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F-30</w:t>
            </w:r>
          </w:p>
        </w:tc>
        <w:tc>
          <w:tcPr>
            <w:tcW w:w="4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320" w:top="446" w:right="639" w:bottom="1440" w:gutter="0" w:footer="0" w:header="0"/>
        </w:sectPr>
      </w:pPr>
    </w:p>
    <w:bookmarkStart w:id="933" w:name="page934"/>
    <w:bookmarkEnd w:id="9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Programming and Production Costs</w:t>
      </w:r>
    </w:p>
    <w:p>
      <w:pPr>
        <w:spacing w:after="0" w:line="237"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60" w:type="dxa"/>
            <w:vAlign w:val="bottom"/>
            <w:gridSpan w:val="9"/>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gridSpan w:val="7"/>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6"/>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46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71"/>
              </w:rPr>
              <w:t> </w:t>
            </w:r>
          </w:p>
        </w:tc>
        <w:tc>
          <w:tcPr>
            <w:tcW w:w="640" w:type="dxa"/>
            <w:vAlign w:val="bottom"/>
            <w:tcBorders>
              <w:bottom w:val="single" w:sz="8" w:color="auto"/>
            </w:tcBorders>
            <w:gridSpan w:val="4"/>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2025 </w:t>
            </w:r>
          </w:p>
        </w:tc>
        <w:tc>
          <w:tcPr>
            <w:tcW w:w="3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
                <w:szCs w:val="2"/>
                <w:b w:val="1"/>
                <w:bCs w:val="1"/>
                <w:color w:val="auto"/>
                <w:w w:val="97"/>
              </w:rPr>
              <w:t> </w:t>
            </w:r>
          </w:p>
        </w:tc>
        <w:tc>
          <w:tcPr>
            <w:tcW w:w="46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w w:val="80"/>
              </w:rPr>
              <w:t>2024 </w:t>
            </w:r>
          </w:p>
        </w:tc>
        <w:tc>
          <w:tcPr>
            <w:tcW w:w="3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2025</w:t>
            </w:r>
          </w:p>
        </w:tc>
        <w:tc>
          <w:tcPr>
            <w:tcW w:w="1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rights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343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395</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color w:val="auto"/>
              </w:rPr>
              <w:t>662</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Owned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458</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programming and production costs</w:t>
            </w:r>
          </w:p>
        </w:tc>
        <w:tc>
          <w:tcPr>
            <w:tcW w:w="1480" w:type="dxa"/>
            <w:vAlign w:val="bottom"/>
            <w:gridSpan w:val="2"/>
            <w:shd w:val="clear" w:color="auto" w:fill="CCEEFF"/>
          </w:tcPr>
          <w:p>
            <w:pPr>
              <w:ind w:left="136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b w:val="1"/>
                <w:bCs w:val="1"/>
                <w:color w:val="auto"/>
              </w:rPr>
              <w:t>573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633</w:t>
            </w:r>
          </w:p>
        </w:tc>
        <w:tc>
          <w:tcPr>
            <w:tcW w:w="840" w:type="dxa"/>
            <w:vAlign w:val="bottom"/>
            <w:gridSpan w:val="4"/>
            <w:shd w:val="clear" w:color="auto" w:fill="CCEEFF"/>
          </w:tcPr>
          <w:p>
            <w:pPr>
              <w:jc w:val="right"/>
              <w:ind w:right="68"/>
              <w:spacing w:after="0"/>
              <w:rPr>
                <w:sz w:val="20"/>
                <w:szCs w:val="20"/>
                <w:color w:val="auto"/>
              </w:rPr>
            </w:pP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rPr>
              <w:t>1,120</w:t>
            </w:r>
          </w:p>
        </w:tc>
        <w:tc>
          <w:tcPr>
            <w:tcW w:w="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8"/>
              </w:rPr>
              <w:t>1,218</w:t>
            </w:r>
          </w:p>
        </w:tc>
        <w:tc>
          <w:tcPr>
            <w:tcW w:w="0" w:type="dxa"/>
            <w:vAlign w:val="bottom"/>
          </w:tcPr>
          <w:p>
            <w:pPr>
              <w:spacing w:after="0"/>
              <w:rPr>
                <w:sz w:val="1"/>
                <w:szCs w:val="1"/>
                <w:color w:val="auto"/>
              </w:rPr>
            </w:pPr>
          </w:p>
        </w:tc>
      </w:tr>
      <w:tr>
        <w:trPr>
          <w:trHeight w:val="20"/>
        </w:trPr>
        <w:tc>
          <w:tcPr>
            <w:tcW w:w="50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i w:val="1"/>
                <w:iCs w:val="1"/>
                <w:color w:val="auto"/>
              </w:rPr>
              <w:t>Capitalized Content Costs</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5020" w:type="dxa"/>
            <w:vAlign w:val="bottom"/>
            <w:gridSpan w:val="3"/>
            <w:vMerge w:val="continue"/>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gridSpan w:val="3"/>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80" w:type="dxa"/>
            <w:vAlign w:val="bottom"/>
            <w:gridSpan w:val="4"/>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Licensed, including sports advances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4"/>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464</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519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Owned:</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 production and in development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Released, less amortization</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89</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120</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Content costs</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574</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639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4: Commitments and Contingencies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subject to legal proceedings and claims that arise in the ordinary course of our business. While the amount of ultimate liability with respect to such proceedings and claims is not expected to materially affect our results of operations, cash flows or financial position, any such legal proceedings or claims could be time-consuming and injure our reputation.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5: Related Parties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We enter into transactions with Comcast and its related parties in the ordinary course of our operations, including the license of content for use on our networks, the distribution of our television networks and purchases and sales of advertising. The nature of these services is similar to services that we purchase from or provide to third-parties. In addition, certain costs related to production activities that use centralized Comcast operations are directly charged to us based on usage.</w:t>
      </w:r>
    </w:p>
    <w:p>
      <w:pPr>
        <w:spacing w:after="0" w:line="180"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Sales to related parties were $276 million and $313 million during the three months ended June 30, 2025 and 2024, respectively, and $573 million and $645 million during the six months ended June 30, 2025 and 2024, respectively. Accounts receivable due for these transactions were $120 million and $208 million as of June 30, 2025 and December 31, 2024,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Costs of revenue from related parties were $193 million and $264 million for the three months ended June 30, 2025 and 2024, respectively,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$354 million and $447 million for the six months ended June 30, 2025 and 2024, respectively. Capitalized content costs related to these costs were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$277 million and $286 million as of June 30, 2025 and December 31, 2024, respectively. Content obligations related to these costs were $78 million and</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$112 million as of June 30, 2025 and December 31, 2024, respectively.</w:t>
      </w:r>
    </w:p>
    <w:p>
      <w:pPr>
        <w:spacing w:after="0" w:line="13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F-31</w:t>
      </w:r>
    </w:p>
    <w:p>
      <w:pPr>
        <w:sectPr>
          <w:pgSz w:w="11900" w:h="16838" w:orient="portrait"/>
          <w:cols w:equalWidth="0" w:num="1">
            <w:col w:w="11100"/>
          </w:cols>
          <w:pgMar w:left="320" w:top="455" w:right="479" w:bottom="1440" w:gutter="0" w:footer="0" w:header="0"/>
        </w:sectPr>
      </w:pPr>
    </w:p>
    <w:bookmarkStart w:id="934" w:name="page935"/>
    <w:bookmarkEnd w:id="9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Costs of advertising purchased from related parties were $2 million and $2 million for the three months ended June 30, 2025 and 2024 respectively, and $5 million and $6 million for the six months ended June 30, 2025 and 2024, respectively, and are presented in selling, general and administrative expenses. Amounts payable for these transactions were not material as of June 30, 2025 or December 31, 2024.</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We have related party loan balances associated with the participation of certain of our subsidiaries in Comcast’s centralized cash management programs. Our receivable balances pursuant to these contracts are presented in other current assets in the condensed combined balance sheets and totaled $49 million and $35 million as of June 30, 2025 and December 31, 2024, respectively. Our payable balances pursuant to these contracts are presented in accrued expenses and other current liabilities in the condensed combined balance sheets and totaled $12 million as of December 31, 2024. Activity related to loans receivable and payable is presented in the condensed combined statements of cash flows in other investing and other financing activities, respectively.</w:t>
      </w:r>
    </w:p>
    <w:p>
      <w:pPr>
        <w:spacing w:after="0" w:line="2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Shared Services and Other Allocated Costs</w:t>
      </w:r>
    </w:p>
    <w:p>
      <w:pPr>
        <w:spacing w:after="0" w:line="121"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condensed combined financial statements include transactions involving shared services and assets (including expenses primarily related to personnel, advertising and marketing, facilities, information technology and network communications support and other overhead functions) and certain corporate administrative services (including charges for services such as accounting, tax, treasury and cash management, insurance, legal and risk management) that were provided to us by Comcast. These costs were generally allocated on a pro rata basis using an applicable measure of revenue applied to the relevant pool of costs (e.g., costs incurred at Comcast’s Media segment or corporate levels), including depreciation and amortization expense for shared assets. Allocated costs are included in costs of revenue and selling, general and administrative expenses in the condensed combined statement of income and are reflected in the condensed combined balance sheets and statements of cash flows as changes in net Parent investment. These amounts represent management’s reasonable estimate of the costs incurred; however, they are not necessarily representative of the costs required for us to operate as an independent, publicly traded company.</w:t>
      </w:r>
    </w:p>
    <w:p>
      <w:pPr>
        <w:spacing w:after="0" w:line="188" w:lineRule="exact"/>
        <w:rPr>
          <w:sz w:val="20"/>
          <w:szCs w:val="20"/>
          <w:color w:val="auto"/>
        </w:rPr>
      </w:pPr>
    </w:p>
    <w:p>
      <w:pPr>
        <w:ind w:left="120" w:right="680" w:firstLine="440"/>
        <w:spacing w:after="0" w:line="282" w:lineRule="auto"/>
        <w:rPr>
          <w:sz w:val="20"/>
          <w:szCs w:val="20"/>
          <w:color w:val="auto"/>
        </w:rPr>
      </w:pPr>
      <w:r>
        <w:rPr>
          <w:rFonts w:ascii="Times New Roman" w:cs="Times New Roman" w:eastAsia="Times New Roman" w:hAnsi="Times New Roman"/>
          <w:sz w:val="18"/>
          <w:szCs w:val="18"/>
          <w:color w:val="auto"/>
        </w:rPr>
        <w:t>Amounts recorded in cost of revenue for these services were $79 million and $73 million for three months ended June 30, 2025 and 2024 respectively, and $152 million and $145 million for the six months ended June 30, 2025 and 2024, respectively.</w:t>
      </w:r>
    </w:p>
    <w:p>
      <w:pPr>
        <w:spacing w:after="0" w:line="162" w:lineRule="exact"/>
        <w:rPr>
          <w:sz w:val="20"/>
          <w:szCs w:val="20"/>
          <w:color w:val="auto"/>
        </w:rPr>
      </w:pPr>
    </w:p>
    <w:p>
      <w:pPr>
        <w:ind w:left="120" w:right="400" w:firstLine="440"/>
        <w:spacing w:after="0" w:line="312" w:lineRule="auto"/>
        <w:rPr>
          <w:sz w:val="20"/>
          <w:szCs w:val="20"/>
          <w:color w:val="auto"/>
        </w:rPr>
      </w:pPr>
      <w:r>
        <w:rPr>
          <w:rFonts w:ascii="Times New Roman" w:cs="Times New Roman" w:eastAsia="Times New Roman" w:hAnsi="Times New Roman"/>
          <w:sz w:val="17"/>
          <w:szCs w:val="17"/>
          <w:color w:val="auto"/>
        </w:rPr>
        <w:t>Amounts recorded in selling, general and administrative expenses for these services were $223 million and $242 million for the three months ended June 30, 2025 and 2024, respectively, and $459 million and $490 million for the six months ended June 30, 2025 and 2024, respectively.</w:t>
      </w:r>
    </w:p>
    <w:p>
      <w:pPr>
        <w:spacing w:after="0" w:line="2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6: Supplemental Financial Information</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Transaction Costs</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Approximately $16 million and $27 million of costs incurred by Comcast related to the Separation have been included in selling, general and administrative expenses in our combined statements of income for the three and six months ended June 30, 2025, respectively. These costs include legal, consulting, advisory and audit fees that will directly benefit the Versant business as a stand-alone company, or for which the Versant business is the legal obligor.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left="120" w:right="540" w:firstLine="440"/>
        <w:spacing w:after="0" w:line="266" w:lineRule="auto"/>
        <w:rPr>
          <w:sz w:val="20"/>
          <w:szCs w:val="20"/>
          <w:color w:val="auto"/>
        </w:rPr>
      </w:pPr>
      <w:r>
        <w:rPr>
          <w:rFonts w:ascii="Times New Roman" w:cs="Times New Roman" w:eastAsia="Times New Roman" w:hAnsi="Times New Roman"/>
          <w:sz w:val="18"/>
          <w:szCs w:val="18"/>
          <w:color w:val="auto"/>
        </w:rPr>
        <w:t>We have evaluated all subsequent event activity through August 29, 2025, which is the issue date of these condensed combined financial statements and concluded that no additional subsequent events have occurred that would require recognition in the condensed combined financial statements or disclosure in the notes to the condensed combined financial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F-32</w:t>
      </w:r>
    </w:p>
    <w:sectPr>
      <w:pgSz w:w="11900" w:h="16838" w:orient="portrait"/>
      <w:cols w:equalWidth="0" w:num="1">
        <w:col w:w="11120"/>
      </w:cols>
      <w:pgMar w:left="320" w:top="455"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54A32"/>
    <w:multiLevelType w:val="hybridMultilevel"/>
    <w:lvl w:ilvl="0">
      <w:lvlJc w:val="left"/>
      <w:lvlText w:val="(%1)"/>
      <w:numFmt w:val="lowerLetter"/>
      <w:start w:val="1"/>
    </w:lvl>
  </w:abstractNum>
  <w:abstractNum w:abstractNumId="1">
    <w:nsid w:val="11ADB5F4"/>
    <w:multiLevelType w:val="hybridMultilevel"/>
    <w:lvl w:ilvl="0">
      <w:lvlJc w:val="left"/>
      <w:lvlText w:val="(%1)"/>
      <w:numFmt w:val="lowerLetter"/>
      <w:start w:val="2"/>
    </w:lvl>
  </w:abstractNum>
  <w:abstractNum w:abstractNumId="2">
    <w:nsid w:val="3575FED1"/>
    <w:multiLevelType w:val="hybridMultilevel"/>
    <w:lvl w:ilvl="0">
      <w:lvlJc w:val="left"/>
      <w:lvlText w:val="*"/>
      <w:numFmt w:val="bullet"/>
      <w:start w:val="1"/>
    </w:lvl>
  </w:abstractNum>
  <w:abstractNum w:abstractNumId="3">
    <w:nsid w:val="1B2B9E9D"/>
    <w:multiLevelType w:val="hybridMultilevel"/>
    <w:lvl w:ilvl="0">
      <w:lvlJc w:val="left"/>
      <w:lvlText w:val="%1."/>
      <w:numFmt w:val="decimal"/>
      <w:start w:val="1"/>
    </w:lvl>
    <w:lvl w:ilvl="1">
      <w:lvlJc w:val="left"/>
      <w:lvlText w:val="(%2)"/>
      <w:numFmt w:val="lowerLetter"/>
      <w:start w:val="1"/>
    </w:lvl>
  </w:abstractNum>
  <w:abstractNum w:abstractNumId="4">
    <w:nsid w:val="3150E85C"/>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5">
    <w:nsid w:val="638FDBD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6">
    <w:nsid w:val="1098CF6E"/>
    <w:multiLevelType w:val="hybridMultilevel"/>
    <w:lvl w:ilvl="0">
      <w:lvlJc w:val="left"/>
      <w:lvlText w:val="(%1)"/>
      <w:numFmt w:val="lowerLetter"/>
      <w:start w:val="35"/>
    </w:lvl>
    <w:lvl w:ilvl="1">
      <w:lvlJc w:val="left"/>
      <w:lvlText w:val="(%2)"/>
      <w:numFmt w:val="lowerLetter"/>
      <w:start w:val="3"/>
    </w:lvl>
    <w:lvl w:ilvl="2">
      <w:lvlJc w:val="left"/>
      <w:lvlText w:val="%3"/>
      <w:numFmt w:val="lowerLetter"/>
      <w:start w:val="1"/>
    </w:lvl>
  </w:abstractNum>
  <w:abstractNum w:abstractNumId="7">
    <w:nsid w:val="1AF465D"/>
    <w:multiLevelType w:val="hybridMultilevel"/>
    <w:lvl w:ilvl="0">
      <w:lvlJc w:val="left"/>
      <w:lvlText w:val="(%1)"/>
      <w:numFmt w:val="lowerLetter"/>
      <w:start w:val="4"/>
    </w:lvl>
  </w:abstractNum>
  <w:abstractNum w:abstractNumId="8">
    <w:nsid w:val="128D98B7"/>
    <w:multiLevelType w:val="hybridMultilevel"/>
    <w:lvl w:ilvl="0">
      <w:lvlJc w:val="left"/>
      <w:lvlText w:val="%1."/>
      <w:numFmt w:val="decimal"/>
      <w:start w:val="4"/>
    </w:lvl>
  </w:abstractNum>
  <w:abstractNum w:abstractNumId="9">
    <w:nsid w:val="5F613832"/>
    <w:multiLevelType w:val="hybridMultilevel"/>
    <w:lvl w:ilvl="0">
      <w:lvlJc w:val="left"/>
      <w:lvlText w:val="(%1)"/>
      <w:numFmt w:val="lowerLetter"/>
      <w:start w:val="1"/>
    </w:lvl>
    <w:lvl w:ilvl="1">
      <w:lvlJc w:val="left"/>
      <w:lvlText w:val="(%2)"/>
      <w:numFmt w:val="lowerLetter"/>
      <w:start w:val="2"/>
    </w:lvl>
  </w:abstractNum>
  <w:abstractNum w:abstractNumId="10">
    <w:nsid w:val="43E92260"/>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11">
    <w:nsid w:val="430A1662"/>
    <w:multiLevelType w:val="hybridMultilevel"/>
    <w:lvl w:ilvl="0">
      <w:lvlJc w:val="left"/>
      <w:lvlText w:val="(%1)"/>
      <w:numFmt w:val="upperLetter"/>
      <w:start w:val="7"/>
    </w:lvl>
  </w:abstractNum>
  <w:abstractNum w:abstractNumId="12">
    <w:nsid w:val="1F9D5C18"/>
    <w:multiLevelType w:val="hybridMultilevel"/>
    <w:lvl w:ilvl="0">
      <w:lvlJc w:val="left"/>
      <w:lvlText w:val="(%1)"/>
      <w:numFmt w:val="lowerLetter"/>
      <w:start w:val="2"/>
    </w:lvl>
    <w:lvl w:ilvl="1">
      <w:lvlJc w:val="left"/>
      <w:lvlText w:val="(%2)"/>
      <w:numFmt w:val="lowerLetter"/>
      <w:start w:val="9"/>
    </w:lvl>
  </w:abstractNum>
  <w:abstractNum w:abstractNumId="13">
    <w:nsid w:val="1CC11C37"/>
    <w:multiLevelType w:val="hybridMultilevel"/>
    <w:lvl w:ilvl="0">
      <w:lvlJc w:val="left"/>
      <w:lvlText w:val="(%1)"/>
      <w:numFmt w:val="lowerRoman"/>
      <w:start w:val="2"/>
    </w:lvl>
  </w:abstractNum>
  <w:abstractNum w:abstractNumId="14">
    <w:nsid w:val="4557D5D8"/>
    <w:multiLevelType w:val="hybridMultilevel"/>
    <w:lvl w:ilvl="0">
      <w:lvlJc w:val="left"/>
      <w:lvlText w:val="%1"/>
      <w:numFmt w:val="lowerLetter"/>
      <w:start w:val="1"/>
    </w:lvl>
    <w:lvl w:ilvl="1">
      <w:lvlJc w:val="left"/>
      <w:lvlText w:val="(%2)"/>
      <w:numFmt w:val="lowerLetter"/>
      <w:start w:val="61"/>
    </w:lvl>
  </w:abstractNum>
  <w:abstractNum w:abstractNumId="15">
    <w:nsid w:val="72D2B579"/>
    <w:multiLevelType w:val="hybridMultilevel"/>
    <w:lvl w:ilvl="0">
      <w:lvlJc w:val="left"/>
      <w:lvlText w:val="(%1)"/>
      <w:numFmt w:val="lowerLetter"/>
      <w:start w:val="3"/>
    </w:lvl>
    <w:lvl w:ilvl="1">
      <w:lvlJc w:val="left"/>
      <w:lvlText w:val="%2"/>
      <w:numFmt w:val="lowerLetter"/>
      <w:start w:val="1"/>
    </w:lvl>
  </w:abstractNum>
  <w:abstractNum w:abstractNumId="16">
    <w:nsid w:val="6C0BE536"/>
    <w:multiLevelType w:val="hybridMultilevel"/>
    <w:lvl w:ilvl="0">
      <w:lvlJc w:val="left"/>
      <w:lvlText w:val="(%1)"/>
      <w:numFmt w:val="lowerLetter"/>
      <w:start w:val="61"/>
    </w:lvl>
    <w:lvl w:ilvl="1">
      <w:lvlJc w:val="left"/>
      <w:lvlText w:val="(%2)"/>
      <w:numFmt w:val="lowerLetter"/>
      <w:start w:val="6"/>
    </w:lvl>
    <w:lvl w:ilvl="2">
      <w:lvlJc w:val="left"/>
      <w:lvlText w:val="(%3)"/>
      <w:numFmt w:val="lowerRoman"/>
      <w:start w:val="1"/>
    </w:lvl>
  </w:abstractNum>
  <w:abstractNum w:abstractNumId="17">
    <w:nsid w:val="1E22BCB2"/>
    <w:multiLevelType w:val="hybridMultilevel"/>
    <w:lvl w:ilvl="0">
      <w:lvlJc w:val="left"/>
      <w:lvlText w:val="(%1)"/>
      <w:numFmt w:val="lowerLetter"/>
      <w:start w:val="7"/>
    </w:lvl>
  </w:abstractNum>
  <w:abstractNum w:abstractNumId="18">
    <w:nsid w:val="3565F1C8"/>
    <w:multiLevelType w:val="hybridMultilevel"/>
    <w:lvl w:ilvl="0">
      <w:lvlJc w:val="left"/>
      <w:lvlText w:val="%1."/>
      <w:numFmt w:val="decimal"/>
      <w:start w:val="6"/>
    </w:lvl>
    <w:lvl w:ilvl="1">
      <w:lvlJc w:val="left"/>
      <w:lvlText w:val="(%2)"/>
      <w:numFmt w:val="lowerLetter"/>
      <w:start w:val="1"/>
    </w:lvl>
  </w:abstractNum>
  <w:abstractNum w:abstractNumId="19">
    <w:nsid w:val="5EA6D896"/>
    <w:multiLevelType w:val="hybridMultilevel"/>
    <w:lvl w:ilvl="0">
      <w:lvlJc w:val="left"/>
      <w:lvlText w:val="(%1)"/>
      <w:numFmt w:val="lowerLetter"/>
      <w:start w:val="4"/>
    </w:lvl>
  </w:abstractNum>
  <w:abstractNum w:abstractNumId="20">
    <w:nsid w:val="3D096BBF"/>
    <w:multiLevelType w:val="hybridMultilevel"/>
    <w:lvl w:ilvl="0">
      <w:lvlJc w:val="left"/>
      <w:lvlText w:val="(%1)"/>
      <w:numFmt w:val="lowerLetter"/>
      <w:start w:val="5"/>
    </w:lvl>
  </w:abstractNum>
  <w:abstractNum w:abstractNumId="21">
    <w:nsid w:val="BD6D5B5"/>
    <w:multiLevelType w:val="hybridMultilevel"/>
    <w:lvl w:ilvl="0">
      <w:lvlJc w:val="left"/>
      <w:lvlText w:val="%1"/>
      <w:numFmt w:val="decimal"/>
      <w:start w:val="1"/>
    </w:lvl>
    <w:lvl w:ilvl="1">
      <w:lvlJc w:val="left"/>
      <w:lvlText w:val="(%2)"/>
      <w:numFmt w:val="lowerLetter"/>
      <w:start w:val="7"/>
    </w:lvl>
  </w:abstractNum>
  <w:abstractNum w:abstractNumId="22">
    <w:nsid w:val="3B52115C"/>
    <w:multiLevelType w:val="hybridMultilevel"/>
    <w:lvl w:ilvl="0">
      <w:lvlJc w:val="left"/>
      <w:lvlText w:val="(%1)"/>
      <w:numFmt w:val="decimal"/>
      <w:start w:val="6"/>
    </w:lvl>
    <w:lvl w:ilvl="1">
      <w:lvlJc w:val="left"/>
      <w:lvlText w:val="%2"/>
      <w:numFmt w:val="lowerLetter"/>
      <w:start w:val="1"/>
    </w:lvl>
  </w:abstractNum>
  <w:abstractNum w:abstractNumId="23">
    <w:nsid w:val="787AA59C"/>
    <w:multiLevelType w:val="hybridMultilevel"/>
    <w:lvl w:ilvl="0">
      <w:lvlJc w:val="left"/>
      <w:lvlText w:val="(%1)"/>
      <w:numFmt w:val="decimal"/>
      <w:start w:val="2"/>
    </w:lvl>
    <w:lvl w:ilvl="1">
      <w:lvlJc w:val="left"/>
      <w:lvlText w:val="(%2)"/>
      <w:numFmt w:val="lowerLetter"/>
      <w:start w:val="8"/>
    </w:lvl>
  </w:abstractNum>
  <w:abstractNum w:abstractNumId="24">
    <w:nsid w:val="70BB9983"/>
    <w:multiLevelType w:val="hybridMultilevel"/>
    <w:lvl w:ilvl="0">
      <w:lvlJc w:val="left"/>
      <w:lvlText w:val="%1"/>
      <w:numFmt w:val="decimal"/>
      <w:start w:val="1"/>
    </w:lvl>
    <w:lvl w:ilvl="1">
      <w:lvlJc w:val="left"/>
      <w:lvlText w:val="(%2)"/>
      <w:numFmt w:val="lowerLetter"/>
      <w:start w:val="9"/>
    </w:lvl>
  </w:abstractNum>
  <w:abstractNum w:abstractNumId="25">
    <w:nsid w:val="51EEBEEA"/>
    <w:multiLevelType w:val="hybridMultilevel"/>
    <w:lvl w:ilvl="0">
      <w:lvlJc w:val="left"/>
      <w:lvlText w:val="%1."/>
      <w:numFmt w:val="decimal"/>
      <w:start w:val="7"/>
    </w:lvl>
    <w:lvl w:ilvl="1">
      <w:lvlJc w:val="left"/>
      <w:lvlText w:val="%2"/>
      <w:numFmt w:val="lowerLetter"/>
      <w:start w:val="1"/>
    </w:lvl>
  </w:abstractNum>
  <w:abstractNum w:abstractNumId="26">
    <w:nsid w:val="221A0CCD"/>
    <w:multiLevelType w:val="hybridMultilevel"/>
    <w:lvl w:ilvl="0">
      <w:lvlJc w:val="left"/>
      <w:lvlText w:val="%1."/>
      <w:numFmt w:val="decimal"/>
      <w:start w:val="8"/>
    </w:lvl>
  </w:abstractNum>
  <w:abstractNum w:abstractNumId="27">
    <w:nsid w:val="1B7CA0ED"/>
    <w:multiLevelType w:val="hybridMultilevel"/>
    <w:lvl w:ilvl="0">
      <w:lvlJc w:val="left"/>
      <w:lvlText w:val="%1."/>
      <w:numFmt w:val="decimal"/>
      <w:start w:val="9"/>
    </w:lvl>
  </w:abstractNum>
  <w:abstractNum w:abstractNumId="28">
    <w:nsid w:val="2395A7FF"/>
    <w:multiLevelType w:val="hybridMultilevel"/>
    <w:lvl w:ilvl="0">
      <w:lvlJc w:val="left"/>
      <w:lvlText w:val="%1."/>
      <w:numFmt w:val="decimal"/>
      <w:start w:val="10"/>
    </w:lvl>
  </w:abstractNum>
  <w:abstractNum w:abstractNumId="29">
    <w:nsid w:val="3965EB66"/>
    <w:multiLevelType w:val="hybridMultilevel"/>
    <w:lvl w:ilvl="0">
      <w:lvlJc w:val="left"/>
      <w:lvlText w:val="%1."/>
      <w:numFmt w:val="decimal"/>
      <w:start w:val="11"/>
    </w:lvl>
  </w:abstractNum>
  <w:abstractNum w:abstractNumId="30">
    <w:nsid w:val="3AA88B3C"/>
    <w:multiLevelType w:val="hybridMultilevel"/>
    <w:lvl w:ilvl="0">
      <w:lvlJc w:val="left"/>
      <w:lvlText w:val="%1."/>
      <w:numFmt w:val="decimal"/>
      <w:start w:val="12"/>
    </w:lvl>
  </w:abstractNum>
  <w:abstractNum w:abstractNumId="31">
    <w:nsid w:val="26BAF231"/>
    <w:multiLevelType w:val="hybridMultilevel"/>
    <w:lvl w:ilvl="0">
      <w:lvlJc w:val="left"/>
      <w:lvlText w:val="%1."/>
      <w:numFmt w:val="decimal"/>
      <w:start w:val="13"/>
    </w:lvl>
    <w:lvl w:ilvl="1">
      <w:lvlJc w:val="left"/>
      <w:lvlText w:val="(%2)"/>
      <w:numFmt w:val="lowerLetter"/>
      <w:start w:val="1"/>
    </w:lvl>
  </w:abstractNum>
  <w:abstractNum w:abstractNumId="32">
    <w:nsid w:val="4B13A15A"/>
    <w:multiLevelType w:val="hybridMultilevel"/>
    <w:lvl w:ilvl="0">
      <w:lvlJc w:val="left"/>
      <w:lvlText w:val="%1."/>
      <w:numFmt w:val="decimal"/>
      <w:start w:val="14"/>
    </w:lvl>
  </w:abstractNum>
  <w:abstractNum w:abstractNumId="33">
    <w:nsid w:val="701E8A0D"/>
    <w:multiLevelType w:val="hybridMultilevel"/>
    <w:lvl w:ilvl="0">
      <w:lvlJc w:val="left"/>
      <w:lvlText w:val="%1."/>
      <w:numFmt w:val="decimal"/>
      <w:start w:val="15"/>
    </w:lvl>
  </w:abstractNum>
  <w:abstractNum w:abstractNumId="34">
    <w:nsid w:val="41E690CF"/>
    <w:multiLevelType w:val="hybridMultilevel"/>
    <w:lvl w:ilvl="0">
      <w:lvlJc w:val="left"/>
      <w:lvlText w:val="%1."/>
      <w:numFmt w:val="decimal"/>
      <w:start w:val="16"/>
    </w:lvl>
  </w:abstractNum>
  <w:abstractNum w:abstractNumId="35">
    <w:nsid w:val="7C6489B6"/>
    <w:multiLevelType w:val="hybridMultilevel"/>
    <w:lvl w:ilvl="0">
      <w:lvlJc w:val="left"/>
      <w:lvlText w:val="%1."/>
      <w:numFmt w:val="decimal"/>
      <w:start w:val="17"/>
    </w:lvl>
  </w:abstractNum>
  <w:abstractNum w:abstractNumId="36">
    <w:nsid w:val="53AE65DE"/>
    <w:multiLevelType w:val="hybridMultilevel"/>
    <w:lvl w:ilvl="0">
      <w:lvlJc w:val="left"/>
      <w:lvlText w:val="%1."/>
      <w:numFmt w:val="decimal"/>
      <w:start w:val="18"/>
    </w:lvl>
  </w:abstractNum>
  <w:abstractNum w:abstractNumId="37">
    <w:nsid w:val="527F603D"/>
    <w:multiLevelType w:val="hybridMultilevel"/>
    <w:lvl w:ilvl="0">
      <w:lvlJc w:val="left"/>
      <w:lvlText w:val="%1."/>
      <w:numFmt w:val="decimal"/>
      <w:start w:val="1"/>
    </w:lvl>
    <w:lvl w:ilvl="1">
      <w:lvlJc w:val="left"/>
      <w:lvlText w:val="(%2)"/>
      <w:numFmt w:val="lowerLetter"/>
      <w:start w:val="1"/>
    </w:lvl>
  </w:abstractNum>
  <w:abstractNum w:abstractNumId="38">
    <w:nsid w:val="7E13D013"/>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9"/>
    </w:lvl>
  </w:abstractNum>
  <w:abstractNum w:abstractNumId="39">
    <w:nsid w:val="663BFE95"/>
    <w:multiLevelType w:val="hybridMultilevel"/>
    <w:lvl w:ilvl="0">
      <w:lvlJc w:val="left"/>
      <w:lvlText w:val="%1"/>
      <w:numFmt w:val="decimal"/>
      <w:start w:val="1"/>
    </w:lvl>
    <w:lvl w:ilvl="1">
      <w:lvlJc w:val="left"/>
      <w:lvlText w:val="(%2)"/>
      <w:numFmt w:val="lowerLetter"/>
      <w:start w:val="4"/>
    </w:lvl>
  </w:abstractNum>
  <w:abstractNum w:abstractNumId="40">
    <w:nsid w:val="31E0986F"/>
    <w:multiLevelType w:val="hybridMultilevel"/>
    <w:lvl w:ilvl="0">
      <w:lvlJc w:val="left"/>
      <w:lvlText w:val="%1."/>
      <w:numFmt w:val="decimal"/>
      <w:start w:val="4"/>
    </w:lvl>
    <w:lvl w:ilvl="1">
      <w:lvlJc w:val="left"/>
      <w:lvlText w:val="(%2)"/>
      <w:numFmt w:val="lowerLetter"/>
      <w:start w:val="1"/>
    </w:lvl>
  </w:abstractNum>
  <w:abstractNum w:abstractNumId="41">
    <w:nsid w:val="41FCF274"/>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42">
    <w:nsid w:val="294614F7"/>
    <w:multiLevelType w:val="hybridMultilevel"/>
    <w:lvl w:ilvl="0">
      <w:lvlJc w:val="left"/>
      <w:lvlText w:val="(%1)"/>
      <w:numFmt w:val="lowerLetter"/>
      <w:start w:val="2"/>
    </w:lvl>
  </w:abstractNum>
  <w:abstractNum w:abstractNumId="43">
    <w:nsid w:val="517DF487"/>
    <w:multiLevelType w:val="hybridMultilevel"/>
    <w:lvl w:ilvl="0">
      <w:lvlJc w:val="left"/>
      <w:lvlText w:val="(%1)"/>
      <w:numFmt w:val="lowerRoman"/>
      <w:start w:val="1"/>
    </w:lvl>
  </w:abstractNum>
  <w:abstractNum w:abstractNumId="44">
    <w:nsid w:val="5EBE0EAB"/>
    <w:multiLevelType w:val="hybridMultilevel"/>
    <w:lvl w:ilvl="0">
      <w:lvlJc w:val="left"/>
      <w:lvlText w:val="(%1)"/>
      <w:numFmt w:val="lowerRoman"/>
      <w:start w:val="2"/>
    </w:lvl>
  </w:abstractNum>
  <w:abstractNum w:abstractNumId="45">
    <w:nsid w:val="6E9DEAD0"/>
    <w:multiLevelType w:val="hybridMultilevel"/>
    <w:lvl w:ilvl="0">
      <w:lvlJc w:val="left"/>
      <w:lvlText w:val="%1"/>
      <w:numFmt w:val="lowerLetter"/>
      <w:start w:val="1"/>
    </w:lvl>
    <w:lvl w:ilvl="1">
      <w:lvlJc w:val="left"/>
      <w:lvlText w:val="(%2)"/>
      <w:numFmt w:val="lowerLetter"/>
      <w:start w:val="61"/>
    </w:lvl>
  </w:abstractNum>
  <w:abstractNum w:abstractNumId="46">
    <w:nsid w:val="4450AA00"/>
    <w:multiLevelType w:val="hybridMultilevel"/>
    <w:lvl w:ilvl="0">
      <w:lvlJc w:val="left"/>
      <w:lvlText w:val="(%1)"/>
      <w:numFmt w:val="lowerLetter"/>
      <w:start w:val="3"/>
    </w:lvl>
    <w:lvl w:ilvl="1">
      <w:lvlJc w:val="left"/>
      <w:lvlText w:val="%2"/>
      <w:numFmt w:val="lowerLetter"/>
      <w:start w:val="1"/>
    </w:lvl>
  </w:abstractNum>
  <w:abstractNum w:abstractNumId="47">
    <w:nsid w:val="4AC9F3E2"/>
    <w:multiLevelType w:val="hybridMultilevel"/>
    <w:lvl w:ilvl="0">
      <w:lvlJc w:val="left"/>
      <w:lvlText w:val="%1"/>
      <w:numFmt w:val="upperLetter"/>
      <w:start w:val="1"/>
    </w:lvl>
    <w:lvl w:ilvl="1">
      <w:lvlJc w:val="left"/>
      <w:lvlText w:val="(%2)"/>
      <w:numFmt w:val="lowerLetter"/>
      <w:start w:val="5"/>
    </w:lvl>
    <w:lvl w:ilvl="2">
      <w:lvlJc w:val="left"/>
      <w:lvlText w:val="(%3)"/>
      <w:numFmt w:val="lowerLetter"/>
      <w:start w:val="9"/>
    </w:lvl>
  </w:abstractNum>
  <w:abstractNum w:abstractNumId="48">
    <w:nsid w:val="CC0A782"/>
    <w:multiLevelType w:val="hybridMultilevel"/>
    <w:lvl w:ilvl="0">
      <w:lvlJc w:val="left"/>
      <w:lvlText w:val="(%1)"/>
      <w:numFmt w:val="upperLetter"/>
      <w:start w:val="3"/>
    </w:lvl>
    <w:lvl w:ilvl="1">
      <w:lvlJc w:val="left"/>
      <w:lvlText w:val="%2"/>
      <w:numFmt w:val="lowerLetter"/>
      <w:start w:val="1"/>
    </w:lvl>
    <w:lvl w:ilvl="2">
      <w:lvlJc w:val="left"/>
      <w:lvlText w:val="%3"/>
      <w:numFmt w:val="lowerLetter"/>
      <w:start w:val="1"/>
    </w:lvl>
  </w:abstractNum>
  <w:abstractNum w:abstractNumId="49">
    <w:nsid w:val="79B69BC9"/>
    <w:multiLevelType w:val="hybridMultilevel"/>
    <w:lvl w:ilvl="0">
      <w:lvlJc w:val="left"/>
      <w:lvlText w:val="(%1)"/>
      <w:numFmt w:val="lowerRoman"/>
      <w:start w:val="2"/>
    </w:lvl>
  </w:abstractNum>
  <w:abstractNum w:abstractNumId="50">
    <w:nsid w:val="2970CC78"/>
    <w:multiLevelType w:val="hybridMultilevel"/>
    <w:lvl w:ilvl="0">
      <w:lvlJc w:val="left"/>
      <w:lvlText w:val="(%1)"/>
      <w:numFmt w:val="lowerLetter"/>
      <w:start w:val="7"/>
    </w:lvl>
  </w:abstractNum>
  <w:abstractNum w:abstractNumId="51">
    <w:nsid w:val="49CA1341"/>
    <w:multiLevelType w:val="hybridMultilevel"/>
    <w:lvl w:ilvl="0">
      <w:lvlJc w:val="left"/>
      <w:lvlText w:val="%1"/>
      <w:numFmt w:val="decimal"/>
      <w:start w:val="1"/>
    </w:lvl>
    <w:lvl w:ilvl="1">
      <w:lvlJc w:val="left"/>
      <w:lvlText w:val="(%2)"/>
      <w:numFmt w:val="lowerLetter"/>
      <w:start w:val="9"/>
    </w:lvl>
  </w:abstractNum>
  <w:abstractNum w:abstractNumId="52">
    <w:nsid w:val="58D717E"/>
    <w:multiLevelType w:val="hybridMultilevel"/>
    <w:lvl w:ilvl="0">
      <w:lvlJc w:val="left"/>
      <w:lvlText w:val="%1."/>
      <w:numFmt w:val="decimal"/>
      <w:start w:val="6"/>
    </w:lvl>
    <w:lvl w:ilvl="1">
      <w:lvlJc w:val="left"/>
      <w:lvlText w:val="(%2)"/>
      <w:numFmt w:val="lowerLetter"/>
      <w:start w:val="1"/>
    </w:lvl>
  </w:abstractNum>
  <w:abstractNum w:abstractNumId="53">
    <w:nsid w:val="64C2DDD5"/>
    <w:multiLevelType w:val="hybridMultilevel"/>
    <w:lvl w:ilvl="0">
      <w:lvlJc w:val="left"/>
      <w:lvlText w:val="(%1)"/>
      <w:numFmt w:val="lowerLetter"/>
      <w:start w:val="3"/>
    </w:lvl>
  </w:abstractNum>
  <w:abstractNum w:abstractNumId="54">
    <w:nsid w:val="4244B8DE"/>
    <w:multiLevelType w:val="hybridMultilevel"/>
    <w:lvl w:ilvl="0">
      <w:lvlJc w:val="left"/>
      <w:lvlText w:val="(%1)"/>
      <w:numFmt w:val="lowerLetter"/>
      <w:start w:val="4"/>
    </w:lvl>
  </w:abstractNum>
  <w:abstractNum w:abstractNumId="55">
    <w:nsid w:val="76490B01"/>
    <w:multiLevelType w:val="hybridMultilevel"/>
    <w:lvl w:ilvl="0">
      <w:lvlJc w:val="left"/>
      <w:lvlText w:val="(%1)"/>
      <w:numFmt w:val="lowerLetter"/>
      <w:start w:val="5"/>
    </w:lvl>
  </w:abstractNum>
  <w:abstractNum w:abstractNumId="56">
    <w:nsid w:val="36B19CBF"/>
    <w:multiLevelType w:val="hybridMultilevel"/>
    <w:lvl w:ilvl="0">
      <w:lvlJc w:val="left"/>
      <w:lvlText w:val="(%1)"/>
      <w:numFmt w:val="lowerLetter"/>
      <w:start w:val="7"/>
    </w:lvl>
  </w:abstractNum>
  <w:abstractNum w:abstractNumId="57">
    <w:nsid w:val="645EC5AB"/>
    <w:multiLevelType w:val="hybridMultilevel"/>
    <w:lvl w:ilvl="0">
      <w:lvlJc w:val="left"/>
      <w:lvlText w:val="%1"/>
      <w:numFmt w:val="decimal"/>
      <w:start w:val="1"/>
    </w:lvl>
    <w:lvl w:ilvl="1">
      <w:lvlJc w:val="left"/>
      <w:lvlText w:val="(%2)"/>
      <w:numFmt w:val="lowerLetter"/>
      <w:start w:val="8"/>
    </w:lvl>
  </w:abstractNum>
  <w:abstractNum w:abstractNumId="58">
    <w:nsid w:val="11C5ABEF"/>
    <w:multiLevelType w:val="hybridMultilevel"/>
    <w:lvl w:ilvl="0">
      <w:lvlJc w:val="left"/>
      <w:lvlText w:val="%1."/>
      <w:numFmt w:val="decimal"/>
      <w:start w:val="7"/>
    </w:lvl>
    <w:lvl w:ilvl="1">
      <w:lvlJc w:val="left"/>
      <w:lvlText w:val="%2"/>
      <w:numFmt w:val="lowerLetter"/>
      <w:start w:val="1"/>
    </w:lvl>
  </w:abstractNum>
  <w:abstractNum w:abstractNumId="59">
    <w:nsid w:val="5A4744BE"/>
    <w:multiLevelType w:val="hybridMultilevel"/>
    <w:lvl w:ilvl="0">
      <w:lvlJc w:val="left"/>
      <w:lvlText w:val="%1."/>
      <w:numFmt w:val="decimal"/>
      <w:start w:val="8"/>
    </w:lvl>
  </w:abstractNum>
  <w:abstractNum w:abstractNumId="60">
    <w:nsid w:val="1DC4B111"/>
    <w:multiLevelType w:val="hybridMultilevel"/>
    <w:lvl w:ilvl="0">
      <w:lvlJc w:val="left"/>
      <w:lvlText w:val="%1."/>
      <w:numFmt w:val="decimal"/>
      <w:start w:val="9"/>
    </w:lvl>
  </w:abstractNum>
  <w:abstractNum w:abstractNumId="61">
    <w:nsid w:val="4C6E372B"/>
    <w:multiLevelType w:val="hybridMultilevel"/>
    <w:lvl w:ilvl="0">
      <w:lvlJc w:val="left"/>
      <w:lvlText w:val="%1."/>
      <w:numFmt w:val="decimal"/>
      <w:start w:val="10"/>
    </w:lvl>
  </w:abstractNum>
  <w:abstractNum w:abstractNumId="62">
    <w:nsid w:val="10236EF"/>
    <w:multiLevelType w:val="hybridMultilevel"/>
    <w:lvl w:ilvl="0">
      <w:lvlJc w:val="left"/>
      <w:lvlText w:val="%1."/>
      <w:numFmt w:val="decimal"/>
      <w:start w:val="11"/>
    </w:lvl>
  </w:abstractNum>
  <w:abstractNum w:abstractNumId="63">
    <w:nsid w:val="68D8526B"/>
    <w:multiLevelType w:val="hybridMultilevel"/>
    <w:lvl w:ilvl="0">
      <w:lvlJc w:val="left"/>
      <w:lvlText w:val="%1."/>
      <w:numFmt w:val="decimal"/>
      <w:start w:val="12"/>
    </w:lvl>
  </w:abstractNum>
  <w:abstractNum w:abstractNumId="64">
    <w:nsid w:val="3C8CC138"/>
    <w:multiLevelType w:val="hybridMultilevel"/>
    <w:lvl w:ilvl="0">
      <w:lvlJc w:val="left"/>
      <w:lvlText w:val="%1."/>
      <w:numFmt w:val="decimal"/>
      <w:start w:val="13"/>
    </w:lvl>
    <w:lvl w:ilvl="1">
      <w:lvlJc w:val="left"/>
      <w:lvlText w:val="(%2)"/>
      <w:numFmt w:val="lowerLetter"/>
      <w:start w:val="1"/>
    </w:lvl>
  </w:abstractNum>
  <w:abstractNum w:abstractNumId="65">
    <w:nsid w:val="42E8C7BE"/>
    <w:multiLevelType w:val="hybridMultilevel"/>
    <w:lvl w:ilvl="0">
      <w:lvlJc w:val="left"/>
      <w:lvlText w:val="%1"/>
      <w:numFmt w:val="decimal"/>
      <w:start w:val="1"/>
    </w:lvl>
    <w:lvl w:ilvl="1">
      <w:lvlJc w:val="left"/>
      <w:lvlText w:val="(%2)"/>
      <w:numFmt w:val="lowerLetter"/>
      <w:start w:val="2"/>
    </w:lvl>
  </w:abstractNum>
  <w:abstractNum w:abstractNumId="66">
    <w:nsid w:val="653CDC22"/>
    <w:multiLevelType w:val="hybridMultilevel"/>
    <w:lvl w:ilvl="0">
      <w:lvlJc w:val="left"/>
      <w:lvlText w:val="%1."/>
      <w:numFmt w:val="decimal"/>
      <w:start w:val="14"/>
    </w:lvl>
    <w:lvl w:ilvl="1">
      <w:lvlJc w:val="left"/>
      <w:lvlText w:val="%2"/>
      <w:numFmt w:val="lowerLetter"/>
      <w:start w:val="1"/>
    </w:lvl>
  </w:abstractNum>
  <w:abstractNum w:abstractNumId="67">
    <w:nsid w:val="103B2716"/>
    <w:multiLevelType w:val="hybridMultilevel"/>
    <w:lvl w:ilvl="0">
      <w:lvlJc w:val="left"/>
      <w:lvlText w:val="%1."/>
      <w:numFmt w:val="decimal"/>
      <w:start w:val="15"/>
    </w:lvl>
  </w:abstractNum>
  <w:abstractNum w:abstractNumId="68">
    <w:nsid w:val="156827FB"/>
    <w:multiLevelType w:val="hybridMultilevel"/>
    <w:lvl w:ilvl="0">
      <w:lvlJc w:val="left"/>
      <w:lvlText w:val="%1."/>
      <w:numFmt w:val="decimal"/>
      <w:start w:val="16"/>
    </w:lvl>
  </w:abstractNum>
  <w:abstractNum w:abstractNumId="69">
    <w:nsid w:val="6350AC35"/>
    <w:multiLevelType w:val="hybridMultilevel"/>
    <w:lvl w:ilvl="0">
      <w:lvlJc w:val="left"/>
      <w:lvlText w:val="%1."/>
      <w:numFmt w:val="decimal"/>
      <w:start w:val="17"/>
    </w:lvl>
  </w:abstractNum>
  <w:abstractNum w:abstractNumId="70">
    <w:nsid w:val="767725AB"/>
    <w:multiLevelType w:val="hybridMultilevel"/>
    <w:lvl w:ilvl="0">
      <w:lvlJc w:val="left"/>
      <w:lvlText w:val="%1."/>
      <w:numFmt w:val="decimal"/>
      <w:start w:val="18"/>
    </w:lvl>
  </w:abstractNum>
  <w:abstractNum w:abstractNumId="71">
    <w:nsid w:val="4748C06A"/>
    <w:multiLevelType w:val="hybridMultilevel"/>
    <w:lvl w:ilvl="0">
      <w:lvlJc w:val="left"/>
      <w:lvlText w:val="%1."/>
      <w:numFmt w:val="decimal"/>
      <w:start w:val="1"/>
    </w:lvl>
    <w:lvl w:ilvl="1">
      <w:lvlJc w:val="left"/>
      <w:lvlText w:val="(%2)"/>
      <w:numFmt w:val="lowerLetter"/>
      <w:start w:val="1"/>
    </w:lvl>
  </w:abstractNum>
  <w:abstractNum w:abstractNumId="72">
    <w:nsid w:val="254D9EA9"/>
    <w:multiLevelType w:val="hybridMultilevel"/>
    <w:lvl w:ilvl="0">
      <w:lvlJc w:val="left"/>
      <w:lvlText w:val="%1."/>
      <w:numFmt w:val="decimal"/>
      <w:start w:val="3"/>
    </w:lvl>
    <w:lvl w:ilvl="1">
      <w:lvlJc w:val="left"/>
      <w:lvlText w:val="(%2)"/>
      <w:numFmt w:val="lowerLetter"/>
      <w:start w:val="1"/>
    </w:lvl>
  </w:abstractNum>
  <w:abstractNum w:abstractNumId="73">
    <w:nsid w:val="1FBD3AA3"/>
    <w:multiLevelType w:val="hybridMultilevel"/>
    <w:lvl w:ilvl="0">
      <w:lvlJc w:val="left"/>
      <w:lvlText w:val="%1"/>
      <w:numFmt w:val="decimal"/>
      <w:start w:val="1"/>
    </w:lvl>
    <w:lvl w:ilvl="1">
      <w:lvlJc w:val="left"/>
      <w:lvlText w:val="(%2)"/>
      <w:numFmt w:val="lowerLetter"/>
      <w:start w:val="4"/>
    </w:lvl>
  </w:abstractNum>
  <w:abstractNum w:abstractNumId="74">
    <w:nsid w:val="18C6B4F2"/>
    <w:multiLevelType w:val="hybridMultilevel"/>
    <w:lvl w:ilvl="0">
      <w:lvlJc w:val="left"/>
      <w:lvlText w:val="%1."/>
      <w:numFmt w:val="decimal"/>
      <w:start w:val="4"/>
    </w:lvl>
    <w:lvl w:ilvl="1">
      <w:lvlJc w:val="left"/>
      <w:lvlText w:val="(%2)"/>
      <w:numFmt w:val="lowerLetter"/>
      <w:start w:val="1"/>
    </w:lvl>
  </w:abstractNum>
  <w:abstractNum w:abstractNumId="75">
    <w:nsid w:val="40BAD55"/>
    <w:multiLevelType w:val="hybridMultilevel"/>
    <w:lvl w:ilvl="0">
      <w:lvlJc w:val="left"/>
      <w:lvlText w:val="%1."/>
      <w:numFmt w:val="decimal"/>
      <w:start w:val="5"/>
    </w:lvl>
    <w:lvl w:ilvl="1">
      <w:lvlJc w:val="left"/>
      <w:lvlText w:val="(%2)"/>
      <w:numFmt w:val="lowerLetter"/>
      <w:start w:val="1"/>
    </w:lvl>
    <w:lvl w:ilvl="2">
      <w:lvlJc w:val="left"/>
      <w:lvlText w:val="(%3)"/>
      <w:numFmt w:val="upperLetter"/>
      <w:start w:val="1"/>
    </w:lvl>
  </w:abstractNum>
  <w:abstractNum w:abstractNumId="76">
    <w:nsid w:val="E5B2573"/>
    <w:multiLevelType w:val="hybridMultilevel"/>
    <w:lvl w:ilvl="0">
      <w:lvlJc w:val="left"/>
      <w:lvlText w:val="(%1)"/>
      <w:numFmt w:val="lowerLetter"/>
      <w:start w:val="2"/>
    </w:lvl>
    <w:lvl w:ilvl="1">
      <w:lvlJc w:val="left"/>
      <w:lvlText w:val="(%2)"/>
      <w:numFmt w:val="lowerRoman"/>
      <w:start w:val="1"/>
    </w:lvl>
  </w:abstractNum>
  <w:abstractNum w:abstractNumId="77">
    <w:nsid w:val="5D175EF2"/>
    <w:multiLevelType w:val="hybridMultilevel"/>
    <w:lvl w:ilvl="0">
      <w:lvlJc w:val="left"/>
      <w:lvlText w:val="%1"/>
      <w:numFmt w:val="lowerLetter"/>
      <w:start w:val="1"/>
    </w:lvl>
    <w:lvl w:ilvl="1">
      <w:lvlJc w:val="left"/>
      <w:lvlText w:val="(%2)"/>
      <w:numFmt w:val="lowerLetter"/>
      <w:start w:val="61"/>
    </w:lvl>
  </w:abstractNum>
  <w:abstractNum w:abstractNumId="78">
    <w:nsid w:val="4ED5A137"/>
    <w:multiLevelType w:val="hybridMultilevel"/>
    <w:lvl w:ilvl="0">
      <w:lvlJc w:val="left"/>
      <w:lvlText w:val="(%1)"/>
      <w:numFmt w:val="lowerLetter"/>
      <w:start w:val="3"/>
    </w:lvl>
    <w:lvl w:ilvl="1">
      <w:lvlJc w:val="left"/>
      <w:lvlText w:val="%2"/>
      <w:numFmt w:val="lowerLetter"/>
      <w:start w:val="1"/>
    </w:lvl>
  </w:abstractNum>
  <w:abstractNum w:abstractNumId="79">
    <w:nsid w:val="1B1BCCF5"/>
    <w:multiLevelType w:val="hybridMultilevel"/>
    <w:lvl w:ilvl="0">
      <w:lvlJc w:val="left"/>
      <w:lvlText w:val="%1"/>
      <w:numFmt w:val="upperLetter"/>
      <w:start w:val="1"/>
    </w:lvl>
    <w:lvl w:ilvl="1">
      <w:lvlJc w:val="left"/>
      <w:lvlText w:val="(%2)"/>
      <w:numFmt w:val="lowerLetter"/>
      <w:start w:val="5"/>
    </w:lvl>
    <w:lvl w:ilvl="2">
      <w:lvlJc w:val="left"/>
      <w:lvlText w:val="(%3)"/>
      <w:numFmt w:val="lowerRoman"/>
      <w:start w:val="1"/>
    </w:lvl>
  </w:abstractNum>
  <w:abstractNum w:abstractNumId="80">
    <w:nsid w:val="56CDFABB"/>
    <w:multiLevelType w:val="hybridMultilevel"/>
    <w:lvl w:ilvl="0">
      <w:lvlJc w:val="left"/>
      <w:lvlText w:val="(%1)"/>
      <w:numFmt w:val="upperLetter"/>
      <w:start w:val="3"/>
    </w:lvl>
    <w:lvl w:ilvl="1">
      <w:lvlJc w:val="left"/>
      <w:lvlText w:val="%2"/>
      <w:numFmt w:val="lowerLetter"/>
      <w:start w:val="1"/>
    </w:lvl>
    <w:lvl w:ilvl="2">
      <w:lvlJc w:val="left"/>
      <w:lvlText w:val="(%3)"/>
      <w:numFmt w:val="lowerRoman"/>
      <w:start w:val="2"/>
    </w:lvl>
  </w:abstractNum>
  <w:abstractNum w:abstractNumId="81">
    <w:nsid w:val="78466DAF"/>
    <w:multiLevelType w:val="hybridMultilevel"/>
    <w:lvl w:ilvl="0">
      <w:lvlJc w:val="left"/>
      <w:lvlText w:val="(%1)"/>
      <w:numFmt w:val="lowerLetter"/>
      <w:start w:val="7"/>
    </w:lvl>
  </w:abstractNum>
  <w:abstractNum w:abstractNumId="82">
    <w:nsid w:val="64E5E036"/>
    <w:multiLevelType w:val="hybridMultilevel"/>
    <w:lvl w:ilvl="0">
      <w:lvlJc w:val="left"/>
      <w:lvlText w:val="%1"/>
      <w:numFmt w:val="decimal"/>
      <w:start w:val="1"/>
    </w:lvl>
    <w:lvl w:ilvl="1">
      <w:lvlJc w:val="left"/>
      <w:lvlText w:val="(%2)"/>
      <w:numFmt w:val="lowerLetter"/>
      <w:start w:val="9"/>
    </w:lvl>
  </w:abstractNum>
  <w:abstractNum w:abstractNumId="83">
    <w:nsid w:val="5C5B6C3A"/>
    <w:multiLevelType w:val="hybridMultilevel"/>
    <w:lvl w:ilvl="0">
      <w:lvlJc w:val="left"/>
      <w:lvlText w:val="%1."/>
      <w:numFmt w:val="decimal"/>
      <w:start w:val="6"/>
    </w:lvl>
    <w:lvl w:ilvl="1">
      <w:lvlJc w:val="left"/>
      <w:lvlText w:val="(%2)"/>
      <w:numFmt w:val="lowerLetter"/>
      <w:start w:val="1"/>
    </w:lvl>
  </w:abstractNum>
  <w:abstractNum w:abstractNumId="84">
    <w:nsid w:val="5D094B84"/>
    <w:multiLevelType w:val="hybridMultilevel"/>
    <w:lvl w:ilvl="0">
      <w:lvlJc w:val="left"/>
      <w:lvlText w:val="(%1)"/>
      <w:numFmt w:val="lowerLetter"/>
      <w:start w:val="3"/>
    </w:lvl>
  </w:abstractNum>
  <w:abstractNum w:abstractNumId="85">
    <w:nsid w:val="272A9914"/>
    <w:multiLevelType w:val="hybridMultilevel"/>
    <w:lvl w:ilvl="0">
      <w:lvlJc w:val="left"/>
      <w:lvlText w:val="(%1)"/>
      <w:numFmt w:val="lowerLetter"/>
      <w:start w:val="4"/>
    </w:lvl>
  </w:abstractNum>
  <w:abstractNum w:abstractNumId="86">
    <w:nsid w:val="52A4773B"/>
    <w:multiLevelType w:val="hybridMultilevel"/>
    <w:lvl w:ilvl="0">
      <w:lvlJc w:val="left"/>
      <w:lvlText w:val="(%1)"/>
      <w:numFmt w:val="lowerLetter"/>
      <w:start w:val="5"/>
    </w:lvl>
  </w:abstractNum>
  <w:abstractNum w:abstractNumId="87">
    <w:nsid w:val="13BAE843"/>
    <w:multiLevelType w:val="hybridMultilevel"/>
    <w:lvl w:ilvl="0">
      <w:lvlJc w:val="left"/>
      <w:lvlText w:val="(%1)"/>
      <w:numFmt w:val="lowerLetter"/>
      <w:start w:val="6"/>
    </w:lvl>
  </w:abstractNum>
  <w:abstractNum w:abstractNumId="88">
    <w:nsid w:val="B895EBF"/>
    <w:multiLevelType w:val="hybridMultilevel"/>
    <w:lvl w:ilvl="0">
      <w:lvlJc w:val="left"/>
      <w:lvlText w:val="(%1)"/>
      <w:numFmt w:val="lowerLetter"/>
      <w:start w:val="7"/>
    </w:lvl>
  </w:abstractNum>
  <w:abstractNum w:abstractNumId="89">
    <w:nsid w:val="646A232A"/>
    <w:multiLevelType w:val="hybridMultilevel"/>
    <w:lvl w:ilvl="0">
      <w:lvlJc w:val="left"/>
      <w:lvlText w:val="%1."/>
      <w:numFmt w:val="decimal"/>
      <w:start w:val="7"/>
    </w:lvl>
  </w:abstractNum>
  <w:abstractNum w:abstractNumId="90">
    <w:nsid w:val="6E022D01"/>
    <w:multiLevelType w:val="hybridMultilevel"/>
    <w:lvl w:ilvl="0">
      <w:lvlJc w:val="left"/>
      <w:lvlText w:val="%1."/>
      <w:numFmt w:val="decimal"/>
      <w:start w:val="8"/>
    </w:lvl>
  </w:abstractNum>
  <w:abstractNum w:abstractNumId="91">
    <w:nsid w:val="294E0FD0"/>
    <w:multiLevelType w:val="hybridMultilevel"/>
    <w:lvl w:ilvl="0">
      <w:lvlJc w:val="left"/>
      <w:lvlText w:val="%1."/>
      <w:numFmt w:val="decimal"/>
      <w:start w:val="9"/>
    </w:lvl>
  </w:abstractNum>
  <w:abstractNum w:abstractNumId="92">
    <w:nsid w:val="30D85A55"/>
    <w:multiLevelType w:val="hybridMultilevel"/>
    <w:lvl w:ilvl="0">
      <w:lvlJc w:val="left"/>
      <w:lvlText w:val="%1."/>
      <w:numFmt w:val="decimal"/>
      <w:start w:val="10"/>
    </w:lvl>
  </w:abstractNum>
  <w:abstractNum w:abstractNumId="93">
    <w:nsid w:val="6F0463F1"/>
    <w:multiLevelType w:val="hybridMultilevel"/>
    <w:lvl w:ilvl="0">
      <w:lvlJc w:val="left"/>
      <w:lvlText w:val="%1."/>
      <w:numFmt w:val="decimal"/>
      <w:start w:val="11"/>
    </w:lvl>
  </w:abstractNum>
  <w:abstractNum w:abstractNumId="94">
    <w:nsid w:val="1226623C"/>
    <w:multiLevelType w:val="hybridMultilevel"/>
    <w:lvl w:ilvl="0">
      <w:lvlJc w:val="left"/>
      <w:lvlText w:val="%1."/>
      <w:numFmt w:val="decimal"/>
      <w:start w:val="12"/>
    </w:lvl>
  </w:abstractNum>
  <w:abstractNum w:abstractNumId="95">
    <w:nsid w:val="6D651B8D"/>
    <w:multiLevelType w:val="hybridMultilevel"/>
    <w:lvl w:ilvl="0">
      <w:lvlJc w:val="left"/>
      <w:lvlText w:val="%1."/>
      <w:numFmt w:val="decimal"/>
      <w:start w:val="13"/>
    </w:lvl>
    <w:lvl w:ilvl="1">
      <w:lvlJc w:val="left"/>
      <w:lvlText w:val="(%2)"/>
      <w:numFmt w:val="lowerLetter"/>
      <w:start w:val="1"/>
    </w:lvl>
  </w:abstractNum>
  <w:abstractNum w:abstractNumId="96">
    <w:nsid w:val="31ED2BAF"/>
    <w:multiLevelType w:val="hybridMultilevel"/>
    <w:lvl w:ilvl="0">
      <w:lvlJc w:val="left"/>
      <w:lvlText w:val="%1"/>
      <w:numFmt w:val="decimal"/>
      <w:start w:val="1"/>
    </w:lvl>
    <w:lvl w:ilvl="1">
      <w:lvlJc w:val="left"/>
      <w:lvlText w:val="(%2)"/>
      <w:numFmt w:val="lowerLetter"/>
      <w:start w:val="2"/>
    </w:lvl>
  </w:abstractNum>
  <w:abstractNum w:abstractNumId="97">
    <w:nsid w:val="77633E5E"/>
    <w:multiLevelType w:val="hybridMultilevel"/>
    <w:lvl w:ilvl="0">
      <w:lvlJc w:val="left"/>
      <w:lvlText w:val="%1."/>
      <w:numFmt w:val="decimal"/>
      <w:start w:val="14"/>
    </w:lvl>
    <w:lvl w:ilvl="1">
      <w:lvlJc w:val="left"/>
      <w:lvlText w:val="%2"/>
      <w:numFmt w:val="lowerLetter"/>
      <w:start w:val="1"/>
    </w:lvl>
  </w:abstractNum>
  <w:abstractNum w:abstractNumId="98">
    <w:nsid w:val="7DA042A3"/>
    <w:multiLevelType w:val="hybridMultilevel"/>
    <w:lvl w:ilvl="0">
      <w:lvlJc w:val="left"/>
      <w:lvlText w:val="%1."/>
      <w:numFmt w:val="decimal"/>
      <w:start w:val="15"/>
    </w:lvl>
  </w:abstractNum>
  <w:abstractNum w:abstractNumId="99">
    <w:nsid w:val="475553AB"/>
    <w:multiLevelType w:val="hybridMultilevel"/>
    <w:lvl w:ilvl="0">
      <w:lvlJc w:val="left"/>
      <w:lvlText w:val="%1."/>
      <w:numFmt w:val="decimal"/>
      <w:start w:val="16"/>
    </w:lvl>
  </w:abstractNum>
  <w:abstractNum w:abstractNumId="100">
    <w:nsid w:val="5AB3EA93"/>
    <w:multiLevelType w:val="hybridMultilevel"/>
    <w:lvl w:ilvl="0">
      <w:lvlJc w:val="left"/>
      <w:lvlText w:val="%1."/>
      <w:numFmt w:val="decimal"/>
      <w:start w:val="17"/>
    </w:lvl>
  </w:abstractNum>
  <w:abstractNum w:abstractNumId="101">
    <w:nsid w:val="7417684F"/>
    <w:multiLevelType w:val="hybridMultilevel"/>
    <w:lvl w:ilvl="0">
      <w:lvlJc w:val="left"/>
      <w:lvlText w:val="%1."/>
      <w:numFmt w:val="decimal"/>
      <w:start w:val="18"/>
    </w:lvl>
  </w:abstractNum>
  <w:abstractNum w:abstractNumId="102">
    <w:nsid w:val="E9E1415"/>
    <w:multiLevelType w:val="hybridMultilevel"/>
    <w:lvl w:ilvl="0">
      <w:lvlJc w:val="left"/>
      <w:lvlText w:val="[***]"/>
      <w:numFmt w:val="bullet"/>
      <w:start w:val="1"/>
    </w:lvl>
  </w:abstractNum>
  <w:abstractNum w:abstractNumId="103">
    <w:nsid w:val="1893D"/>
    <w:multiLevelType w:val="hybridMultilevel"/>
    <w:lvl w:ilvl="0">
      <w:lvlJc w:val="left"/>
      <w:lvlText w:val="%1"/>
      <w:numFmt w:val="upperLetter"/>
      <w:start w:val="1"/>
    </w:lvl>
    <w:lvl w:ilvl="1">
      <w:lvlJc w:val="left"/>
      <w:lvlText w:val="(%2)"/>
      <w:numFmt w:val="lowerLetter"/>
      <w:start w:val="1"/>
    </w:lvl>
  </w:abstractNum>
  <w:abstractNum w:abstractNumId="104">
    <w:nsid w:val="13D4A2F2"/>
    <w:multiLevelType w:val="hybridMultilevel"/>
    <w:lvl w:ilvl="0">
      <w:lvlJc w:val="left"/>
      <w:lvlText w:val="(%1)"/>
      <w:numFmt w:val="upperLetter"/>
      <w:start w:val="2"/>
    </w:lvl>
    <w:lvl w:ilvl="1">
      <w:lvlJc w:val="left"/>
      <w:lvlText w:val="(%2)"/>
      <w:numFmt w:val="lowerLetter"/>
      <w:start w:val="2"/>
    </w:lvl>
  </w:abstractNum>
  <w:abstractNum w:abstractNumId="105">
    <w:nsid w:val="2764C907"/>
    <w:multiLevelType w:val="hybridMultilevel"/>
    <w:lvl w:ilvl="0">
      <w:lvlJc w:val="left"/>
      <w:lvlText w:val="(%1)"/>
      <w:numFmt w:val="lowerLetter"/>
      <w:start w:val="1"/>
    </w:lvl>
    <w:lvl w:ilvl="1">
      <w:lvlJc w:val="left"/>
      <w:lvlText w:val="(%2)"/>
      <w:numFmt w:val="lowerRoman"/>
      <w:start w:val="1"/>
    </w:lvl>
  </w:abstractNum>
  <w:abstractNum w:abstractNumId="106">
    <w:nsid w:val="40D3692"/>
    <w:multiLevelType w:val="hybridMultilevel"/>
    <w:lvl w:ilvl="0">
      <w:lvlJc w:val="left"/>
      <w:lvlText w:val="%1"/>
      <w:numFmt w:val="lowerLetter"/>
      <w:start w:val="1"/>
    </w:lvl>
    <w:lvl w:ilvl="1">
      <w:lvlJc w:val="left"/>
      <w:lvlText w:val="(%2)"/>
      <w:numFmt w:val="lowerLetter"/>
      <w:start w:val="61"/>
    </w:lvl>
  </w:abstractNum>
  <w:abstractNum w:abstractNumId="107">
    <w:nsid w:val="222FC865"/>
    <w:multiLevelType w:val="hybridMultilevel"/>
    <w:lvl w:ilvl="0">
      <w:lvlJc w:val="left"/>
      <w:lvlText w:val="(%1)"/>
      <w:numFmt w:val="lowerLetter"/>
      <w:start w:val="23"/>
    </w:lvl>
    <w:lvl w:ilvl="1">
      <w:lvlJc w:val="left"/>
      <w:lvlText w:val="%2"/>
      <w:numFmt w:val="lowerLetter"/>
      <w:start w:val="1"/>
    </w:lvl>
  </w:abstractNum>
  <w:abstractNum w:abstractNumId="108">
    <w:nsid w:val="47C27FA"/>
    <w:multiLevelType w:val="hybridMultilevel"/>
    <w:lvl w:ilvl="0">
      <w:lvlJc w:val="left"/>
      <w:lvlText w:val="(%1)"/>
      <w:numFmt w:val="lowerLetter"/>
      <w:start w:val="25"/>
    </w:lvl>
    <w:lvl w:ilvl="1">
      <w:lvlJc w:val="left"/>
      <w:lvlText w:val="%2"/>
      <w:numFmt w:val="lowerLetter"/>
      <w:start w:val="1"/>
    </w:lvl>
  </w:abstractNum>
  <w:abstractNum w:abstractNumId="109">
    <w:nsid w:val="52E2D7C9"/>
    <w:multiLevelType w:val="hybridMultilevel"/>
    <w:lvl w:ilvl="0">
      <w:lvlJc w:val="left"/>
      <w:lvlText w:val="(%1)"/>
      <w:numFmt w:val="lowerRoman"/>
      <w:start w:val="4"/>
    </w:lvl>
  </w:abstractNum>
  <w:abstractNum w:abstractNumId="110">
    <w:nsid w:val="3D4B955A"/>
    <w:multiLevelType w:val="hybridMultilevel"/>
    <w:lvl w:ilvl="0">
      <w:lvlJc w:val="left"/>
      <w:lvlText w:val="%1"/>
      <w:numFmt w:val="lowerLetter"/>
      <w:start w:val="1"/>
    </w:lvl>
    <w:lvl w:ilvl="1">
      <w:lvlJc w:val="left"/>
      <w:lvlText w:val="(%2)"/>
      <w:numFmt w:val="lowerRoman"/>
      <w:start w:val="7"/>
    </w:lvl>
  </w:abstractNum>
  <w:abstractNum w:abstractNumId="111">
    <w:nsid w:val="5B4A22B5"/>
    <w:multiLevelType w:val="hybridMultilevel"/>
    <w:lvl w:ilvl="0">
      <w:lvlJc w:val="left"/>
      <w:lvlText w:val="(%1)"/>
      <w:numFmt w:val="lowerLetter"/>
      <w:start w:val="2"/>
    </w:lvl>
    <w:lvl w:ilvl="1">
      <w:lvlJc w:val="left"/>
      <w:lvlText w:val="%2"/>
      <w:numFmt w:val="lowerRoman"/>
      <w:start w:val="1"/>
    </w:lvl>
  </w:abstractNum>
  <w:abstractNum w:abstractNumId="112">
    <w:nsid w:val="4B294578"/>
    <w:multiLevelType w:val="hybridMultilevel"/>
    <w:lvl w:ilvl="0">
      <w:lvlJc w:val="left"/>
      <w:lvlText w:val="(%1)"/>
      <w:numFmt w:val="decimal"/>
      <w:start w:val="1"/>
    </w:lvl>
  </w:abstractNum>
  <w:abstractNum w:abstractNumId="113">
    <w:nsid w:val="22317590"/>
    <w:multiLevelType w:val="hybridMultilevel"/>
    <w:lvl w:ilvl="0">
      <w:lvlJc w:val="left"/>
      <w:lvlText w:val="(%1)"/>
      <w:numFmt w:val="lowerLetter"/>
      <w:start w:val="1"/>
    </w:lvl>
  </w:abstractNum>
  <w:abstractNum w:abstractNumId="114">
    <w:nsid w:val="37A58EEF"/>
    <w:multiLevelType w:val="hybridMultilevel"/>
    <w:lvl w:ilvl="0">
      <w:lvlJc w:val="left"/>
      <w:lvlText w:val="(%1)"/>
      <w:numFmt w:val="lowerRoman"/>
      <w:start w:val="2"/>
    </w:lvl>
  </w:abstractNum>
  <w:abstractNum w:abstractNumId="115">
    <w:nsid w:val="283290FD"/>
    <w:multiLevelType w:val="hybridMultilevel"/>
    <w:lvl w:ilvl="0">
      <w:lvlJc w:val="left"/>
      <w:lvlText w:val="(%1)"/>
      <w:numFmt w:val="lowerRoman"/>
      <w:start w:val="4"/>
    </w:lvl>
  </w:abstractNum>
  <w:abstractNum w:abstractNumId="116">
    <w:nsid w:val="495C0EA5"/>
    <w:multiLevelType w:val="hybridMultilevel"/>
    <w:lvl w:ilvl="0">
      <w:lvlJc w:val="left"/>
      <w:lvlText w:val="(%1)"/>
      <w:numFmt w:val="lowerLetter"/>
      <w:start w:val="2"/>
    </w:lvl>
  </w:abstractNum>
  <w:abstractNum w:abstractNumId="117">
    <w:nsid w:val="A4A062B"/>
    <w:multiLevelType w:val="hybridMultilevel"/>
    <w:lvl w:ilvl="0">
      <w:lvlJc w:val="left"/>
      <w:lvlText w:val="%1"/>
      <w:numFmt w:val="upperLetter"/>
      <w:start w:val="1"/>
    </w:lvl>
    <w:lvl w:ilvl="1">
      <w:lvlJc w:val="left"/>
      <w:lvlText w:val="(%2)"/>
      <w:numFmt w:val="lowerLetter"/>
      <w:start w:val="1"/>
    </w:lvl>
  </w:abstractNum>
  <w:abstractNum w:abstractNumId="118">
    <w:nsid w:val="3BED7940"/>
    <w:multiLevelType w:val="hybridMultilevel"/>
    <w:lvl w:ilvl="0">
      <w:lvlJc w:val="left"/>
      <w:lvlText w:val="(%1)"/>
      <w:numFmt w:val="upperLetter"/>
      <w:start w:val="3"/>
    </w:lvl>
    <w:lvl w:ilvl="1">
      <w:lvlJc w:val="left"/>
      <w:lvlText w:val="%2"/>
      <w:numFmt w:val="lowerLetter"/>
      <w:start w:val="1"/>
    </w:lvl>
  </w:abstractNum>
  <w:abstractNum w:abstractNumId="119">
    <w:nsid w:val="54E56D64"/>
    <w:multiLevelType w:val="hybridMultilevel"/>
    <w:lvl w:ilvl="0">
      <w:lvlJc w:val="left"/>
      <w:lvlText w:val="(%1)"/>
      <w:numFmt w:val="lowerLetter"/>
      <w:start w:val="2"/>
    </w:lvl>
    <w:lvl w:ilvl="1">
      <w:lvlJc w:val="left"/>
      <w:lvlText w:val="(%2)"/>
      <w:numFmt w:val="lowerRoman"/>
      <w:start w:val="1"/>
    </w:lvl>
  </w:abstractNum>
  <w:abstractNum w:abstractNumId="120">
    <w:nsid w:val="6EB42955"/>
    <w:multiLevelType w:val="hybridMultilevel"/>
    <w:lvl w:ilvl="0">
      <w:lvlJc w:val="left"/>
      <w:lvlText w:val="(%1)"/>
      <w:numFmt w:val="lowerRoman"/>
      <w:start w:val="20"/>
    </w:lvl>
    <w:lvl w:ilvl="1">
      <w:lvlJc w:val="left"/>
      <w:lvlText w:val="(%2)"/>
      <w:numFmt w:val="upperLetter"/>
      <w:start w:val="3"/>
    </w:lvl>
    <w:lvl w:ilvl="2">
      <w:lvlJc w:val="left"/>
      <w:lvlText w:val="(%3)"/>
      <w:numFmt w:val="lowerRoman"/>
      <w:start w:val="1"/>
    </w:lvl>
  </w:abstractNum>
  <w:abstractNum w:abstractNumId="121">
    <w:nsid w:val="29EFA642"/>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122">
    <w:nsid w:val="7E337D35"/>
    <w:multiLevelType w:val="hybridMultilevel"/>
    <w:lvl w:ilvl="0">
      <w:lvlJc w:val="left"/>
      <w:lvlText w:val="%1"/>
      <w:numFmt w:val="upperLetter"/>
      <w:start w:val="1"/>
    </w:lvl>
    <w:lvl w:ilvl="1">
      <w:lvlJc w:val="left"/>
      <w:lvlText w:val="(%2)"/>
      <w:numFmt w:val="lowerRoman"/>
      <w:start w:val="5"/>
    </w:lvl>
  </w:abstractNum>
  <w:abstractNum w:abstractNumId="123">
    <w:nsid w:val="1F8C83AB"/>
    <w:multiLevelType w:val="hybridMultilevel"/>
    <w:lvl w:ilvl="0">
      <w:lvlJc w:val="left"/>
      <w:lvlText w:val="(%1)"/>
      <w:numFmt w:val="upperLetter"/>
      <w:start w:val="1"/>
    </w:lvl>
    <w:lvl w:ilvl="1">
      <w:lvlJc w:val="left"/>
      <w:lvlText w:val="(%2)"/>
      <w:numFmt w:val="lowerRoman"/>
      <w:start w:val="10"/>
    </w:lvl>
  </w:abstractNum>
  <w:abstractNum w:abstractNumId="124">
    <w:nsid w:val="18F40A33"/>
    <w:multiLevelType w:val="hybridMultilevel"/>
    <w:lvl w:ilvl="0">
      <w:lvlJc w:val="left"/>
      <w:lvlText w:val="%1"/>
      <w:numFmt w:val="upperLetter"/>
      <w:start w:val="1"/>
    </w:lvl>
    <w:lvl w:ilvl="1">
      <w:lvlJc w:val="left"/>
      <w:lvlText w:val="(%2)"/>
      <w:numFmt w:val="lowerRoman"/>
      <w:start w:val="11"/>
    </w:lvl>
  </w:abstractNum>
  <w:abstractNum w:abstractNumId="125">
    <w:nsid w:val="1059DF71"/>
    <w:multiLevelType w:val="hybridMultilevel"/>
    <w:lvl w:ilvl="0">
      <w:lvlJc w:val="left"/>
      <w:lvlText w:val="(%1)"/>
      <w:numFmt w:val="lowerRoman"/>
      <w:start w:val="12"/>
    </w:lvl>
  </w:abstractNum>
  <w:abstractNum w:abstractNumId="126">
    <w:nsid w:val="CF19F38"/>
    <w:multiLevelType w:val="hybridMultilevel"/>
    <w:lvl w:ilvl="0">
      <w:lvlJc w:val="left"/>
      <w:lvlText w:val="%1"/>
      <w:numFmt w:val="lowerLetter"/>
      <w:start w:val="1"/>
    </w:lvl>
    <w:lvl w:ilvl="1">
      <w:lvlJc w:val="left"/>
      <w:lvlText w:val="(%2)"/>
      <w:numFmt w:val="lowerRoman"/>
      <w:start w:val="1"/>
    </w:lvl>
  </w:abstractNum>
  <w:abstractNum w:abstractNumId="127">
    <w:nsid w:val="4AE135E2"/>
    <w:multiLevelType w:val="hybridMultilevel"/>
    <w:lvl w:ilvl="0">
      <w:lvlJc w:val="left"/>
      <w:lvlText w:val="(%1)"/>
      <w:numFmt w:val="lowerLetter"/>
      <w:start w:val="4"/>
    </w:lvl>
    <w:lvl w:ilvl="1">
      <w:lvlJc w:val="left"/>
      <w:lvlText w:val="%2"/>
      <w:numFmt w:val="lowerRoman"/>
      <w:start w:val="1"/>
    </w:lvl>
  </w:abstractNum>
  <w:abstractNum w:abstractNumId="128">
    <w:nsid w:val="7BD1DCF"/>
    <w:multiLevelType w:val="hybridMultilevel"/>
    <w:lvl w:ilvl="0">
      <w:lvlJc w:val="left"/>
      <w:lvlText w:val="(%1)"/>
      <w:numFmt w:val="lowerLetter"/>
      <w:start w:val="1"/>
    </w:lvl>
  </w:abstractNum>
  <w:abstractNum w:abstractNumId="129">
    <w:nsid w:val="A91E1DC"/>
    <w:multiLevelType w:val="hybridMultilevel"/>
    <w:lvl w:ilvl="0">
      <w:lvlJc w:val="left"/>
      <w:lvlText w:val="%1"/>
      <w:numFmt w:val="lowerLetter"/>
      <w:start w:val="1"/>
    </w:lvl>
    <w:lvl w:ilvl="1">
      <w:lvlJc w:val="left"/>
      <w:lvlText w:val="(%2)"/>
      <w:numFmt w:val="lowerLetter"/>
      <w:start w:val="4"/>
    </w:lvl>
  </w:abstractNum>
  <w:abstractNum w:abstractNumId="130">
    <w:nsid w:val="1236898D"/>
    <w:multiLevelType w:val="hybridMultilevel"/>
    <w:lvl w:ilvl="0">
      <w:lvlJc w:val="left"/>
      <w:lvlText w:val="(%1)"/>
      <w:numFmt w:val="lowerLetter"/>
      <w:start w:val="35"/>
    </w:lvl>
    <w:lvl w:ilvl="1">
      <w:lvlJc w:val="left"/>
      <w:lvlText w:val="(%2)"/>
      <w:numFmt w:val="lowerLetter"/>
      <w:start w:val="8"/>
    </w:lvl>
  </w:abstractNum>
  <w:abstractNum w:abstractNumId="131">
    <w:nsid w:val="62710862"/>
    <w:multiLevelType w:val="hybridMultilevel"/>
    <w:lvl w:ilvl="0">
      <w:lvlJc w:val="left"/>
      <w:lvlText w:val="(%1)"/>
      <w:numFmt w:val="lowerLetter"/>
      <w:start w:val="61"/>
    </w:lvl>
    <w:lvl w:ilvl="1">
      <w:lvlJc w:val="left"/>
      <w:lvlText w:val="(%2)"/>
      <w:numFmt w:val="lowerLetter"/>
      <w:start w:val="9"/>
    </w:lvl>
  </w:abstractNum>
  <w:abstractNum w:abstractNumId="132">
    <w:nsid w:val="7EA94A2B"/>
    <w:multiLevelType w:val="hybridMultilevel"/>
    <w:lvl w:ilvl="0">
      <w:lvlJc w:val="left"/>
      <w:lvlText w:val="(%1)"/>
      <w:numFmt w:val="lowerLetter"/>
      <w:start w:val="10"/>
    </w:lvl>
  </w:abstractNum>
  <w:abstractNum w:abstractNumId="133">
    <w:nsid w:val="20D49DA3"/>
    <w:multiLevelType w:val="hybridMultilevel"/>
    <w:lvl w:ilvl="0">
      <w:lvlJc w:val="left"/>
      <w:lvlText w:val="(%1)"/>
      <w:numFmt w:val="lowerLetter"/>
      <w:start w:val="17"/>
    </w:lvl>
  </w:abstractNum>
  <w:abstractNum w:abstractNumId="134">
    <w:nsid w:val="6272919F"/>
    <w:multiLevelType w:val="hybridMultilevel"/>
    <w:lvl w:ilvl="0">
      <w:lvlJc w:val="left"/>
      <w:lvlText w:val="(%1)"/>
      <w:numFmt w:val="lowerLetter"/>
      <w:start w:val="19"/>
    </w:lvl>
  </w:abstractNum>
  <w:abstractNum w:abstractNumId="135">
    <w:nsid w:val="127DED1D"/>
    <w:multiLevelType w:val="hybridMultilevel"/>
    <w:lvl w:ilvl="0">
      <w:lvlJc w:val="left"/>
      <w:lvlText w:val="(%1)"/>
      <w:numFmt w:val="lowerRoman"/>
      <w:start w:val="9"/>
    </w:lvl>
  </w:abstractNum>
  <w:abstractNum w:abstractNumId="136">
    <w:nsid w:val="483966AA"/>
    <w:multiLevelType w:val="hybridMultilevel"/>
    <w:lvl w:ilvl="0">
      <w:lvlJc w:val="left"/>
      <w:lvlText w:val="(%1)"/>
      <w:numFmt w:val="lowerRoman"/>
      <w:start w:val="2"/>
    </w:lvl>
  </w:abstractNum>
  <w:abstractNum w:abstractNumId="137">
    <w:nsid w:val="667FC831"/>
    <w:multiLevelType w:val="hybridMultilevel"/>
    <w:lvl w:ilvl="0">
      <w:lvlJc w:val="left"/>
      <w:lvlText w:val="(%1)"/>
      <w:numFmt w:val="lowerLetter"/>
      <w:start w:val="4"/>
    </w:lvl>
  </w:abstractNum>
  <w:abstractNum w:abstractNumId="138">
    <w:nsid w:val="34ADB582"/>
    <w:multiLevelType w:val="hybridMultilevel"/>
    <w:lvl w:ilvl="0">
      <w:lvlJc w:val="left"/>
      <w:lvlText w:val="(%1)"/>
      <w:numFmt w:val="lowerLetter"/>
      <w:start w:val="1"/>
    </w:lvl>
  </w:abstractNum>
  <w:abstractNum w:abstractNumId="139">
    <w:nsid w:val="4CB58EA4"/>
    <w:multiLevelType w:val="hybridMultilevel"/>
    <w:lvl w:ilvl="0">
      <w:lvlJc w:val="left"/>
      <w:lvlText w:val="(%1)"/>
      <w:numFmt w:val="lowerLetter"/>
      <w:start w:val="2"/>
    </w:lvl>
  </w:abstractNum>
  <w:abstractNum w:abstractNumId="140">
    <w:nsid w:val="39629FFA"/>
    <w:multiLevelType w:val="hybridMultilevel"/>
    <w:lvl w:ilvl="0">
      <w:lvlJc w:val="left"/>
      <w:lvlText w:val="(%1)"/>
      <w:numFmt w:val="lowerLetter"/>
      <w:start w:val="1"/>
    </w:lvl>
  </w:abstractNum>
  <w:abstractNum w:abstractNumId="141">
    <w:nsid w:val="71F94ADC"/>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1"/>
    </w:lvl>
  </w:abstractNum>
  <w:abstractNum w:abstractNumId="142">
    <w:nsid w:val="27FFB15A"/>
    <w:multiLevelType w:val="hybridMultilevel"/>
    <w:lvl w:ilvl="0">
      <w:lvlJc w:val="left"/>
      <w:lvlText w:val="(%1)"/>
      <w:numFmt w:val="upperLetter"/>
      <w:start w:val="61"/>
    </w:lvl>
    <w:lvl w:ilvl="1">
      <w:lvlJc w:val="left"/>
      <w:lvlText w:val="(%2)"/>
      <w:numFmt w:val="lowerLetter"/>
      <w:start w:val="4"/>
    </w:lvl>
    <w:lvl w:ilvl="2">
      <w:lvlJc w:val="left"/>
      <w:lvlText w:val="(%3)"/>
      <w:numFmt w:val="lowerRoman"/>
      <w:start w:val="1"/>
    </w:lvl>
  </w:abstractNum>
  <w:abstractNum w:abstractNumId="143">
    <w:nsid w:val="48BE573"/>
    <w:multiLevelType w:val="hybridMultilevel"/>
    <w:lvl w:ilvl="0">
      <w:lvlJc w:val="left"/>
      <w:lvlText w:val="(%1)"/>
      <w:numFmt w:val="lowerRoman"/>
      <w:start w:val="3"/>
    </w:lvl>
  </w:abstractNum>
  <w:abstractNum w:abstractNumId="144">
    <w:nsid w:val="142AC06C"/>
    <w:multiLevelType w:val="hybridMultilevel"/>
    <w:lvl w:ilvl="0">
      <w:lvlJc w:val="left"/>
      <w:lvlText w:val="(%1)"/>
      <w:numFmt w:val="lowerRoman"/>
      <w:start w:val="1"/>
    </w:lvl>
  </w:abstractNum>
  <w:abstractNum w:abstractNumId="145">
    <w:nsid w:val="5FA54049"/>
    <w:multiLevelType w:val="hybridMultilevel"/>
    <w:lvl w:ilvl="0">
      <w:lvlJc w:val="left"/>
      <w:lvlText w:val="(%1)"/>
      <w:numFmt w:val="lowerRoman"/>
      <w:start w:val="1"/>
    </w:lvl>
  </w:abstractNum>
  <w:abstractNum w:abstractNumId="146">
    <w:nsid w:val="2CBE7670"/>
    <w:multiLevelType w:val="hybridMultilevel"/>
    <w:lvl w:ilvl="0">
      <w:lvlJc w:val="left"/>
      <w:lvlText w:val="%1"/>
      <w:numFmt w:val="decimal"/>
      <w:start w:val="1"/>
    </w:lvl>
    <w:lvl w:ilvl="1">
      <w:lvlJc w:val="left"/>
      <w:lvlText w:val="(%2)"/>
      <w:numFmt w:val="decimal"/>
      <w:start w:val="1"/>
    </w:lvl>
  </w:abstractNum>
  <w:abstractNum w:abstractNumId="147">
    <w:nsid w:val="5D86CF11"/>
    <w:multiLevelType w:val="hybridMultilevel"/>
    <w:lvl w:ilvl="0">
      <w:lvlJc w:val="left"/>
      <w:lvlText w:val="(%1)"/>
      <w:numFmt w:val="decimal"/>
      <w:start w:val="1"/>
    </w:lvl>
    <w:lvl w:ilvl="1">
      <w:lvlJc w:val="left"/>
      <w:lvlText w:val="(%2)"/>
      <w:numFmt w:val="decimal"/>
      <w:start w:val="2"/>
    </w:lvl>
  </w:abstractNum>
  <w:abstractNum w:abstractNumId="148">
    <w:nsid w:val="69EF4674"/>
    <w:multiLevelType w:val="hybridMultilevel"/>
    <w:lvl w:ilvl="0">
      <w:lvlJc w:val="left"/>
      <w:lvlText w:val="(%1)"/>
      <w:numFmt w:val="decimal"/>
      <w:start w:val="9"/>
    </w:lvl>
  </w:abstractNum>
  <w:abstractNum w:abstractNumId="149">
    <w:nsid w:val="68ABEFB0"/>
    <w:multiLevelType w:val="hybridMultilevel"/>
    <w:lvl w:ilvl="0">
      <w:lvlJc w:val="left"/>
      <w:lvlText w:val="(%1)"/>
      <w:numFmt w:val="lowerLetter"/>
      <w:start w:val="1"/>
    </w:lvl>
  </w:abstractNum>
  <w:abstractNum w:abstractNumId="150">
    <w:nsid w:val="326C3C76"/>
    <w:multiLevelType w:val="hybridMultilevel"/>
    <w:lvl w:ilvl="0">
      <w:lvlJc w:val="left"/>
      <w:lvlText w:val="(%1)"/>
      <w:numFmt w:val="lowerLetter"/>
      <w:start w:val="3"/>
    </w:lvl>
  </w:abstractNum>
  <w:abstractNum w:abstractNumId="151">
    <w:nsid w:val="58A36FCA"/>
    <w:multiLevelType w:val="hybridMultilevel"/>
    <w:lvl w:ilvl="0">
      <w:lvlJc w:val="left"/>
      <w:lvlText w:val="(%1)"/>
      <w:numFmt w:val="lowerLetter"/>
      <w:start w:val="2"/>
    </w:lvl>
  </w:abstractNum>
  <w:abstractNum w:abstractNumId="152">
    <w:nsid w:val="129B95F2"/>
    <w:multiLevelType w:val="hybridMultilevel"/>
    <w:lvl w:ilvl="0">
      <w:lvlJc w:val="left"/>
      <w:lvlText w:val="(%1)"/>
      <w:numFmt w:val="lowerLetter"/>
      <w:start w:val="2"/>
    </w:lvl>
  </w:abstractNum>
  <w:abstractNum w:abstractNumId="153">
    <w:nsid w:val="309FB9AB"/>
    <w:multiLevelType w:val="hybridMultilevel"/>
    <w:lvl w:ilvl="0">
      <w:lvlJc w:val="left"/>
      <w:lvlText w:val="(%1)"/>
      <w:numFmt w:val="decimal"/>
      <w:start w:val="1"/>
    </w:lvl>
  </w:abstractNum>
  <w:abstractNum w:abstractNumId="154">
    <w:nsid w:val="782FF375"/>
    <w:multiLevelType w:val="hybridMultilevel"/>
    <w:lvl w:ilvl="0">
      <w:lvlJc w:val="left"/>
      <w:lvlText w:val="%1"/>
      <w:numFmt w:val="upperLetter"/>
      <w:start w:val="1"/>
    </w:lvl>
    <w:lvl w:ilvl="1">
      <w:lvlJc w:val="left"/>
      <w:lvlText w:val="(%2)"/>
      <w:numFmt w:val="decimal"/>
      <w:start w:val="2"/>
    </w:lvl>
  </w:abstractNum>
  <w:abstractNum w:abstractNumId="155">
    <w:nsid w:val="2B8FA025"/>
    <w:multiLevelType w:val="hybridMultilevel"/>
    <w:lvl w:ilvl="0">
      <w:lvlJc w:val="left"/>
      <w:lvlText w:val="(%1)"/>
      <w:numFmt w:val="upperLetter"/>
      <w:start w:val="1"/>
    </w:lvl>
    <w:lvl w:ilvl="1">
      <w:lvlJc w:val="left"/>
      <w:lvlText w:val="(%2)"/>
      <w:numFmt w:val="decimal"/>
      <w:start w:val="3"/>
    </w:lvl>
  </w:abstractNum>
  <w:abstractNum w:abstractNumId="156">
    <w:nsid w:val="40F9991C"/>
    <w:multiLevelType w:val="hybridMultilevel"/>
    <w:lvl w:ilvl="0">
      <w:lvlJc w:val="left"/>
      <w:lvlText w:val="(%1)"/>
      <w:numFmt w:val="lowerLetter"/>
      <w:start w:val="1"/>
    </w:lvl>
  </w:abstractNum>
  <w:abstractNum w:abstractNumId="157">
    <w:nsid w:val="52192AD"/>
    <w:multiLevelType w:val="hybridMultilevel"/>
    <w:lvl w:ilvl="0">
      <w:lvlJc w:val="left"/>
      <w:lvlText w:val="(%1)"/>
      <w:numFmt w:val="lowerLetter"/>
      <w:start w:val="4"/>
    </w:lvl>
  </w:abstractNum>
  <w:abstractNum w:abstractNumId="158">
    <w:nsid w:val="7670D608"/>
    <w:multiLevelType w:val="hybridMultilevel"/>
    <w:lvl w:ilvl="0">
      <w:lvlJc w:val="left"/>
      <w:lvlText w:val="(%1)"/>
      <w:numFmt w:val="decimal"/>
      <w:start w:val="1"/>
    </w:lvl>
  </w:abstractNum>
  <w:abstractNum w:abstractNumId="159">
    <w:nsid w:val="48B6B6EB"/>
    <w:multiLevelType w:val="hybridMultilevel"/>
    <w:lvl w:ilvl="0">
      <w:lvlJc w:val="left"/>
      <w:lvlText w:val="(%1)"/>
      <w:numFmt w:val="lowerLetter"/>
      <w:start w:val="1"/>
    </w:lvl>
  </w:abstractNum>
  <w:abstractNum w:abstractNumId="160">
    <w:nsid w:val="FB37489"/>
    <w:multiLevelType w:val="hybridMultilevel"/>
    <w:lvl w:ilvl="0">
      <w:lvlJc w:val="left"/>
      <w:lvlText w:val="(%1)"/>
      <w:numFmt w:val="lowerLetter"/>
      <w:start w:val="5"/>
    </w:lvl>
  </w:abstractNum>
  <w:abstractNum w:abstractNumId="161">
    <w:nsid w:val="8A75F95"/>
    <w:multiLevelType w:val="hybridMultilevel"/>
    <w:lvl w:ilvl="0">
      <w:lvlJc w:val="left"/>
      <w:lvlText w:val="(%1)"/>
      <w:numFmt w:val="lowerRoman"/>
      <w:start w:val="5"/>
    </w:lvl>
  </w:abstractNum>
  <w:abstractNum w:abstractNumId="162">
    <w:nsid w:val="2B27BF4D"/>
    <w:multiLevelType w:val="hybridMultilevel"/>
    <w:lvl w:ilvl="0">
      <w:lvlJc w:val="left"/>
      <w:lvlText w:val="(%1)"/>
      <w:numFmt w:val="lowerLetter"/>
      <w:start w:val="1"/>
    </w:lvl>
  </w:abstractNum>
  <w:abstractNum w:abstractNumId="163">
    <w:nsid w:val="E5CBEB4"/>
    <w:multiLevelType w:val="hybridMultilevel"/>
    <w:lvl w:ilvl="0">
      <w:lvlJc w:val="left"/>
      <w:lvlText w:val="(%1)"/>
      <w:numFmt w:val="lowerLetter"/>
      <w:start w:val="1"/>
    </w:lvl>
  </w:abstractNum>
  <w:abstractNum w:abstractNumId="164">
    <w:nsid w:val="297BFD38"/>
    <w:multiLevelType w:val="hybridMultilevel"/>
    <w:lvl w:ilvl="0">
      <w:lvlJc w:val="left"/>
      <w:lvlText w:val="(%1)"/>
      <w:numFmt w:val="lowerRoman"/>
      <w:start w:val="3"/>
    </w:lvl>
  </w:abstractNum>
  <w:abstractNum w:abstractNumId="165">
    <w:nsid w:val="D9A50ED"/>
    <w:multiLevelType w:val="hybridMultilevel"/>
    <w:lvl w:ilvl="0">
      <w:lvlJc w:val="left"/>
      <w:lvlText w:val="(%1)"/>
      <w:numFmt w:val="lowerRoman"/>
      <w:start w:val="10"/>
    </w:lvl>
  </w:abstractNum>
  <w:abstractNum w:abstractNumId="166">
    <w:nsid w:val="20DAABD1"/>
    <w:multiLevelType w:val="hybridMultilevel"/>
    <w:lvl w:ilvl="0">
      <w:lvlJc w:val="left"/>
      <w:lvlText w:val="(%1)"/>
      <w:numFmt w:val="lowerRoman"/>
      <w:start w:val="1"/>
    </w:lvl>
    <w:lvl w:ilvl="1">
      <w:lvlJc w:val="left"/>
      <w:lvlText w:val="(%2)"/>
      <w:numFmt w:val="upperLetter"/>
      <w:start w:val="1"/>
    </w:lvl>
  </w:abstractNum>
  <w:abstractNum w:abstractNumId="167">
    <w:nsid w:val="71B563E3"/>
    <w:multiLevelType w:val="hybridMultilevel"/>
    <w:lvl w:ilvl="0">
      <w:lvlJc w:val="left"/>
      <w:lvlText w:val="(%1)"/>
      <w:numFmt w:val="lowerLetter"/>
      <w:start w:val="1"/>
    </w:lvl>
  </w:abstractNum>
  <w:abstractNum w:abstractNumId="168">
    <w:nsid w:val="741A191E"/>
    <w:multiLevelType w:val="hybridMultilevel"/>
    <w:lvl w:ilvl="0">
      <w:lvlJc w:val="left"/>
      <w:lvlText w:val="(%1)"/>
      <w:numFmt w:val="lowerLetter"/>
      <w:start w:val="2"/>
    </w:lvl>
  </w:abstractNum>
  <w:abstractNum w:abstractNumId="169">
    <w:nsid w:val="55886153"/>
    <w:multiLevelType w:val="hybridMultilevel"/>
    <w:lvl w:ilvl="0">
      <w:lvlJc w:val="left"/>
      <w:lvlText w:val="(%1)"/>
      <w:numFmt w:val="lowerLetter"/>
      <w:start w:val="1"/>
    </w:lvl>
  </w:abstractNum>
  <w:abstractNum w:abstractNumId="170">
    <w:nsid w:val="3E6AF287"/>
    <w:multiLevelType w:val="hybridMultilevel"/>
    <w:lvl w:ilvl="0">
      <w:lvlJc w:val="left"/>
      <w:lvlText w:val="(%1)"/>
      <w:numFmt w:val="lowerLetter"/>
      <w:start w:val="2"/>
    </w:lvl>
  </w:abstractNum>
  <w:abstractNum w:abstractNumId="171">
    <w:nsid w:val="2D7CB919"/>
    <w:multiLevelType w:val="hybridMultilevel"/>
    <w:lvl w:ilvl="0">
      <w:lvlJc w:val="left"/>
      <w:lvlText w:val="%1"/>
      <w:numFmt w:val="decimal"/>
      <w:start w:val="1"/>
    </w:lvl>
    <w:lvl w:ilvl="1">
      <w:lvlJc w:val="left"/>
      <w:lvlText w:val="(%2)"/>
      <w:numFmt w:val="lowerLetter"/>
      <w:start w:val="1"/>
    </w:lvl>
  </w:abstractNum>
  <w:abstractNum w:abstractNumId="172">
    <w:nsid w:val="4781AC2F"/>
    <w:multiLevelType w:val="hybridMultilevel"/>
    <w:lvl w:ilvl="0">
      <w:lvlJc w:val="left"/>
      <w:lvlText w:val="%1)"/>
      <w:numFmt w:val="decimal"/>
      <w:start w:val="606"/>
    </w:lvl>
    <w:lvl w:ilvl="1">
      <w:lvlJc w:val="left"/>
      <w:lvlText w:val="%2"/>
      <w:numFmt w:val="lowerLetter"/>
      <w:start w:val="1"/>
    </w:lvl>
  </w:abstractNum>
  <w:abstractNum w:abstractNumId="173">
    <w:nsid w:val="666AA3E1"/>
    <w:multiLevelType w:val="hybridMultilevel"/>
    <w:lvl w:ilvl="0">
      <w:lvlJc w:val="left"/>
      <w:lvlText w:val="%1"/>
      <w:numFmt w:val="lowerLetter"/>
      <w:start w:val="1"/>
    </w:lvl>
    <w:lvl w:ilvl="1">
      <w:lvlJc w:val="left"/>
      <w:lvlText w:val="(%2)"/>
      <w:numFmt w:val="lowerLetter"/>
      <w:start w:val="35"/>
    </w:lvl>
  </w:abstractNum>
  <w:abstractNum w:abstractNumId="174">
    <w:nsid w:val="32089E8C"/>
    <w:multiLevelType w:val="hybridMultilevel"/>
    <w:lvl w:ilvl="0">
      <w:lvlJc w:val="left"/>
      <w:lvlText w:val="(%1)"/>
      <w:numFmt w:val="lowerLetter"/>
      <w:start w:val="2"/>
    </w:lvl>
    <w:lvl w:ilvl="1">
      <w:lvlJc w:val="left"/>
      <w:lvlText w:val="%2"/>
      <w:numFmt w:val="lowerLetter"/>
      <w:start w:val="1"/>
    </w:lvl>
  </w:abstractNum>
  <w:abstractNum w:abstractNumId="175">
    <w:nsid w:val="5BAC6C9C"/>
    <w:multiLevelType w:val="hybridMultilevel"/>
    <w:lvl w:ilvl="0">
      <w:lvlJc w:val="left"/>
      <w:lvlText w:val="%1"/>
      <w:numFmt w:val="decimal"/>
      <w:start w:val="1"/>
    </w:lvl>
    <w:lvl w:ilvl="1">
      <w:lvlJc w:val="left"/>
      <w:lvlText w:val="(%2)"/>
      <w:numFmt w:val="lowerLetter"/>
      <w:start w:val="3"/>
    </w:lvl>
  </w:abstractNum>
  <w:abstractNum w:abstractNumId="176">
    <w:nsid w:val="460FE42B"/>
    <w:multiLevelType w:val="hybridMultilevel"/>
    <w:lvl w:ilvl="0">
      <w:lvlJc w:val="left"/>
      <w:lvlText w:val="(%1)"/>
      <w:numFmt w:val="decimal"/>
      <w:start w:val="1"/>
    </w:lvl>
    <w:lvl w:ilvl="1">
      <w:lvlJc w:val="left"/>
      <w:lvlText w:val="%2"/>
      <w:numFmt w:val="lowerLetter"/>
      <w:start w:val="1"/>
    </w:lvl>
  </w:abstractNum>
  <w:abstractNum w:abstractNumId="177">
    <w:nsid w:val="5EC714FC"/>
    <w:multiLevelType w:val="hybridMultilevel"/>
    <w:lvl w:ilvl="0">
      <w:lvlJc w:val="left"/>
      <w:lvlText w:val="(%1)"/>
      <w:numFmt w:val="lowerLetter"/>
      <w:start w:val="6"/>
    </w:lvl>
  </w:abstractNum>
  <w:abstractNum w:abstractNumId="178">
    <w:nsid w:val="39333BAD"/>
    <w:multiLevelType w:val="hybridMultilevel"/>
    <w:lvl w:ilvl="0">
      <w:lvlJc w:val="left"/>
      <w:lvlText w:val="(%1)"/>
      <w:numFmt w:val="lowerLetter"/>
      <w:start w:val="10"/>
    </w:lvl>
  </w:abstractNum>
  <w:abstractNum w:abstractNumId="179">
    <w:nsid w:val="2FFF2A9F"/>
    <w:multiLevelType w:val="hybridMultilevel"/>
    <w:lvl w:ilvl="0">
      <w:lvlJc w:val="left"/>
      <w:lvlText w:val="(%1)"/>
      <w:numFmt w:val="lowerLetter"/>
      <w:start w:val="1"/>
    </w:lvl>
  </w:abstractNum>
  <w:abstractNum w:abstractNumId="180">
    <w:nsid w:val="477304AC"/>
    <w:multiLevelType w:val="hybridMultilevel"/>
    <w:lvl w:ilvl="0">
      <w:lvlJc w:val="left"/>
      <w:lvlText w:val="(%1)"/>
      <w:numFmt w:val="lowerLetter"/>
      <w:start w:val="2"/>
    </w:lvl>
  </w:abstractNum>
  <w:abstractNum w:abstractNumId="181">
    <w:nsid w:val="6B9F7823"/>
    <w:multiLevelType w:val="hybridMultilevel"/>
    <w:lvl w:ilvl="0">
      <w:lvlJc w:val="left"/>
      <w:lvlText w:val="(%1)"/>
      <w:numFmt w:val="lowerLetter"/>
      <w:start w:val="1"/>
    </w:lvl>
  </w:abstractNum>
  <w:abstractNum w:abstractNumId="182">
    <w:nsid w:val="8A29A69"/>
    <w:multiLevelType w:val="hybridMultilevel"/>
    <w:lvl w:ilvl="0">
      <w:lvlJc w:val="left"/>
      <w:lvlText w:val="%1"/>
      <w:numFmt w:val="upperLetter"/>
      <w:start w:val="1"/>
    </w:lvl>
    <w:lvl w:ilvl="1">
      <w:lvlJc w:val="left"/>
      <w:lvlText w:val="(%2)"/>
      <w:numFmt w:val="lowerLetter"/>
      <w:start w:val="1"/>
    </w:lvl>
  </w:abstractNum>
  <w:abstractNum w:abstractNumId="183">
    <w:nsid w:val="5A0E9A9F"/>
    <w:multiLevelType w:val="hybridMultilevel"/>
    <w:lvl w:ilvl="0">
      <w:lvlJc w:val="left"/>
      <w:lvlText w:val="(%1)"/>
      <w:numFmt w:val="upperLetter"/>
      <w:start w:val="2"/>
    </w:lvl>
    <w:lvl w:ilvl="1">
      <w:lvlJc w:val="left"/>
      <w:lvlText w:val="%2"/>
      <w:numFmt w:val="lowerLetter"/>
      <w:start w:val="1"/>
    </w:lvl>
  </w:abstractNum>
  <w:abstractNum w:abstractNumId="184">
    <w:nsid w:val="1C3F31CE"/>
    <w:multiLevelType w:val="hybridMultilevel"/>
    <w:lvl w:ilvl="0">
      <w:lvlJc w:val="left"/>
      <w:lvlText w:val="(%1)"/>
      <w:numFmt w:val="lowerLetter"/>
      <w:start w:val="4"/>
    </w:lvl>
  </w:abstractNum>
  <w:abstractNum w:abstractNumId="185">
    <w:nsid w:val="D28DDE"/>
    <w:multiLevelType w:val="hybridMultilevel"/>
    <w:lvl w:ilvl="0">
      <w:lvlJc w:val="left"/>
      <w:lvlText w:val="(%1)"/>
      <w:numFmt w:val="lowerLetter"/>
      <w:start w:val="1"/>
    </w:lvl>
  </w:abstractNum>
  <w:abstractNum w:abstractNumId="186">
    <w:nsid w:val="59E3AC4"/>
    <w:multiLevelType w:val="hybridMultilevel"/>
    <w:lvl w:ilvl="0">
      <w:lvlJc w:val="left"/>
      <w:lvlText w:val="(%1)"/>
      <w:numFmt w:val="lowerLetter"/>
      <w:start w:val="1"/>
    </w:lvl>
  </w:abstractNum>
  <w:abstractNum w:abstractNumId="187">
    <w:nsid w:val="5D38CAEA"/>
    <w:multiLevelType w:val="hybridMultilevel"/>
    <w:lvl w:ilvl="0">
      <w:lvlJc w:val="left"/>
      <w:lvlText w:val="%1"/>
      <w:numFmt w:val="lowerLetter"/>
      <w:start w:val="1"/>
    </w:lvl>
    <w:lvl w:ilvl="1">
      <w:lvlJc w:val="left"/>
      <w:lvlText w:val="(%2)"/>
      <w:numFmt w:val="lowerLetter"/>
      <w:start w:val="3"/>
    </w:lvl>
  </w:abstractNum>
  <w:abstractNum w:abstractNumId="188">
    <w:nsid w:val="5F4208C"/>
    <w:multiLevelType w:val="hybridMultilevel"/>
    <w:lvl w:ilvl="0">
      <w:lvlJc w:val="left"/>
      <w:lvlText w:val="(%1)"/>
      <w:numFmt w:val="lowerLetter"/>
      <w:start w:val="24"/>
    </w:lvl>
    <w:lvl w:ilvl="1">
      <w:lvlJc w:val="left"/>
      <w:lvlText w:val="%2"/>
      <w:numFmt w:val="lowerLetter"/>
      <w:start w:val="1"/>
    </w:lvl>
  </w:abstractNum>
  <w:abstractNum w:abstractNumId="189">
    <w:nsid w:val="7C0F10CC"/>
    <w:multiLevelType w:val="hybridMultilevel"/>
    <w:lvl w:ilvl="0">
      <w:lvlJc w:val="left"/>
      <w:lvlText w:val="(%1)"/>
      <w:numFmt w:val="lowerLetter"/>
      <w:start w:val="25"/>
    </w:lvl>
    <w:lvl w:ilvl="1">
      <w:lvlJc w:val="left"/>
      <w:lvlText w:val="(%2)"/>
      <w:numFmt w:val="lowerLetter"/>
      <w:start w:val="4"/>
    </w:lvl>
  </w:abstractNum>
  <w:abstractNum w:abstractNumId="190">
    <w:nsid w:val="25EF81D5"/>
    <w:multiLevelType w:val="hybridMultilevel"/>
    <w:lvl w:ilvl="0">
      <w:lvlJc w:val="left"/>
      <w:lvlText w:val="(%1)"/>
      <w:numFmt w:val="lowerLetter"/>
      <w:start w:val="1"/>
    </w:lvl>
  </w:abstractNum>
  <w:abstractNum w:abstractNumId="191">
    <w:nsid w:val="15A79515"/>
    <w:multiLevelType w:val="hybridMultilevel"/>
    <w:lvl w:ilvl="0">
      <w:lvlJc w:val="left"/>
      <w:lvlText w:val="(%1)"/>
      <w:numFmt w:val="lowerLetter"/>
      <w:start w:val="1"/>
    </w:lvl>
  </w:abstractNum>
  <w:abstractNum w:abstractNumId="192">
    <w:nsid w:val="4B67062"/>
    <w:multiLevelType w:val="hybridMultilevel"/>
    <w:lvl w:ilvl="0">
      <w:lvlJc w:val="left"/>
      <w:lvlText w:val="(%1)"/>
      <w:numFmt w:val="lowerLetter"/>
      <w:start w:val="3"/>
    </w:lvl>
  </w:abstractNum>
  <w:abstractNum w:abstractNumId="193">
    <w:nsid w:val="51174123"/>
    <w:multiLevelType w:val="hybridMultilevel"/>
    <w:lvl w:ilvl="0">
      <w:lvlJc w:val="left"/>
      <w:lvlText w:val="(%1)"/>
      <w:numFmt w:val="lowerLetter"/>
      <w:start w:val="1"/>
    </w:lvl>
    <w:lvl w:ilvl="1">
      <w:lvlJc w:val="left"/>
      <w:lvlText w:val="(%2)"/>
      <w:numFmt w:val="lowerLetter"/>
      <w:start w:val="9"/>
    </w:lvl>
  </w:abstractNum>
  <w:abstractNum w:abstractNumId="194">
    <w:nsid w:val="240453CA"/>
    <w:multiLevelType w:val="hybridMultilevel"/>
    <w:lvl w:ilvl="0">
      <w:lvlJc w:val="left"/>
      <w:lvlText w:val="%1"/>
      <w:numFmt w:val="lowerLetter"/>
      <w:start w:val="1"/>
    </w:lvl>
    <w:lvl w:ilvl="1">
      <w:lvlJc w:val="left"/>
      <w:lvlText w:val="(%2)"/>
      <w:numFmt w:val="lowerLetter"/>
      <w:start w:val="35"/>
    </w:lvl>
  </w:abstractNum>
  <w:abstractNum w:abstractNumId="195">
    <w:nsid w:val="2E326D9A"/>
    <w:multiLevelType w:val="hybridMultilevel"/>
    <w:lvl w:ilvl="0">
      <w:lvlJc w:val="left"/>
      <w:lvlText w:val="(%1)"/>
      <w:numFmt w:val="lowerLetter"/>
      <w:start w:val="2"/>
    </w:lvl>
    <w:lvl w:ilvl="1">
      <w:lvlJc w:val="left"/>
      <w:lvlText w:val="%2"/>
      <w:numFmt w:val="lowerLetter"/>
      <w:start w:val="1"/>
    </w:lvl>
  </w:abstractNum>
  <w:abstractNum w:abstractNumId="196">
    <w:nsid w:val="5EB19210"/>
    <w:multiLevelType w:val="hybridMultilevel"/>
    <w:lvl w:ilvl="0">
      <w:lvlJc w:val="left"/>
      <w:lvlText w:val="(%1)"/>
      <w:numFmt w:val="lowerLetter"/>
      <w:start w:val="3"/>
    </w:lvl>
    <w:lvl w:ilvl="1">
      <w:lvlJc w:val="left"/>
      <w:lvlText w:val="(%2)"/>
      <w:numFmt w:val="lowerRoman"/>
      <w:start w:val="1"/>
    </w:lvl>
  </w:abstractNum>
  <w:abstractNum w:abstractNumId="197">
    <w:nsid w:val="44DEFF9B"/>
    <w:multiLevelType w:val="hybridMultilevel"/>
    <w:lvl w:ilvl="0">
      <w:lvlJc w:val="left"/>
      <w:lvlText w:val="(%1)"/>
      <w:numFmt w:val="lowerLetter"/>
      <w:start w:val="5"/>
    </w:lvl>
    <w:lvl w:ilvl="1">
      <w:lvlJc w:val="left"/>
      <w:lvlText w:val="(%2)"/>
      <w:numFmt w:val="lowerRoman"/>
      <w:start w:val="1"/>
    </w:lvl>
  </w:abstractNum>
  <w:abstractNum w:abstractNumId="198">
    <w:nsid w:val="1FE7D17D"/>
    <w:multiLevelType w:val="hybridMultilevel"/>
    <w:lvl w:ilvl="0">
      <w:lvlJc w:val="left"/>
      <w:lvlText w:val="(%1)"/>
      <w:numFmt w:val="lowerLetter"/>
      <w:start w:val="6"/>
    </w:lvl>
  </w:abstractNum>
  <w:abstractNum w:abstractNumId="199">
    <w:nsid w:val="52CBAB2E"/>
    <w:multiLevelType w:val="hybridMultilevel"/>
    <w:lvl w:ilvl="0">
      <w:lvlJc w:val="left"/>
      <w:lvlText w:val="%1"/>
      <w:numFmt w:val="lowerRoman"/>
      <w:start w:val="1"/>
    </w:lvl>
    <w:lvl w:ilvl="1">
      <w:lvlJc w:val="left"/>
      <w:lvlText w:val="(%2)"/>
      <w:numFmt w:val="lowerRoman"/>
      <w:start w:val="1"/>
    </w:lvl>
  </w:abstractNum>
  <w:abstractNum w:abstractNumId="200">
    <w:nsid w:val="1A6760EF"/>
    <w:multiLevelType w:val="hybridMultilevel"/>
    <w:lvl w:ilvl="0">
      <w:lvlJc w:val="left"/>
      <w:lvlText w:val="(%1)"/>
      <w:numFmt w:val="lowerRoman"/>
      <w:start w:val="2"/>
    </w:lvl>
    <w:lvl w:ilvl="1">
      <w:lvlJc w:val="left"/>
      <w:lvlText w:val="%2"/>
      <w:numFmt w:val="lowerRoman"/>
      <w:start w:val="1"/>
    </w:lvl>
  </w:abstractNum>
  <w:abstractNum w:abstractNumId="201">
    <w:nsid w:val="5E52C405"/>
    <w:multiLevelType w:val="hybridMultilevel"/>
    <w:lvl w:ilvl="0">
      <w:lvlJc w:val="left"/>
      <w:lvlText w:val="(%1)"/>
      <w:numFmt w:val="lowerLetter"/>
      <w:start w:val="10"/>
    </w:lvl>
    <w:lvl w:ilvl="1">
      <w:lvlJc w:val="left"/>
      <w:lvlText w:val="(%2)"/>
      <w:numFmt w:val="lowerRoman"/>
      <w:start w:val="1"/>
    </w:lvl>
  </w:abstractNum>
  <w:abstractNum w:abstractNumId="202">
    <w:nsid w:val="486447"/>
    <w:multiLevelType w:val="hybridMultilevel"/>
    <w:lvl w:ilvl="0">
      <w:lvlJc w:val="left"/>
      <w:lvlText w:val="(%1)"/>
      <w:numFmt w:val="lowerLetter"/>
      <w:start w:val="11"/>
    </w:lvl>
  </w:abstractNum>
  <w:abstractNum w:abstractNumId="203">
    <w:nsid w:val="61E90D1E"/>
    <w:multiLevelType w:val="hybridMultilevel"/>
    <w:lvl w:ilvl="0">
      <w:lvlJc w:val="left"/>
      <w:lvlText w:val="(%1)"/>
      <w:numFmt w:val="lowerLetter"/>
      <w:start w:val="1"/>
    </w:lvl>
  </w:abstractNum>
  <w:abstractNum w:abstractNumId="204">
    <w:nsid w:val="44BD67E6"/>
    <w:multiLevelType w:val="hybridMultilevel"/>
    <w:lvl w:ilvl="0">
      <w:lvlJc w:val="left"/>
      <w:lvlText w:val="(%1)"/>
      <w:numFmt w:val="lowerLetter"/>
      <w:start w:val="1"/>
    </w:lvl>
  </w:abstractNum>
  <w:abstractNum w:abstractNumId="205">
    <w:nsid w:val="325102D3"/>
    <w:multiLevelType w:val="hybridMultilevel"/>
    <w:lvl w:ilvl="0">
      <w:lvlJc w:val="left"/>
      <w:lvlText w:val="(%1)"/>
      <w:numFmt w:val="lowerLetter"/>
      <w:start w:val="5"/>
    </w:lvl>
  </w:abstractNum>
  <w:abstractNum w:abstractNumId="206">
    <w:nsid w:val="3D9579BA"/>
    <w:multiLevelType w:val="hybridMultilevel"/>
    <w:lvl w:ilvl="0">
      <w:lvlJc w:val="left"/>
      <w:lvlText w:val="(%1)"/>
      <w:numFmt w:val="lowerLetter"/>
      <w:start w:val="1"/>
    </w:lvl>
  </w:abstractNum>
  <w:abstractNum w:abstractNumId="207">
    <w:nsid w:val="ACD4C11"/>
    <w:multiLevelType w:val="hybridMultilevel"/>
    <w:lvl w:ilvl="0">
      <w:lvlJc w:val="left"/>
      <w:lvlText w:val="(%1)"/>
      <w:numFmt w:val="lowerLetter"/>
      <w:start w:val="1"/>
    </w:lvl>
  </w:abstractNum>
  <w:abstractNum w:abstractNumId="208">
    <w:nsid w:val="111817CF"/>
    <w:multiLevelType w:val="hybridMultilevel"/>
    <w:lvl w:ilvl="0">
      <w:lvlJc w:val="left"/>
      <w:lvlText w:val="(%1)"/>
      <w:numFmt w:val="lowerLetter"/>
      <w:start w:val="25"/>
    </w:lvl>
    <w:lvl w:ilvl="1">
      <w:lvlJc w:val="left"/>
      <w:lvlText w:val="(%2)"/>
      <w:numFmt w:val="lowerLetter"/>
      <w:start w:val="4"/>
    </w:lvl>
  </w:abstractNum>
  <w:abstractNum w:abstractNumId="209">
    <w:nsid w:val="76C8B568"/>
    <w:multiLevelType w:val="hybridMultilevel"/>
    <w:lvl w:ilvl="0">
      <w:lvlJc w:val="left"/>
      <w:lvlText w:val="(%1)"/>
      <w:numFmt w:val="lowerLetter"/>
      <w:start w:val="1"/>
    </w:lvl>
    <w:lvl w:ilvl="1">
      <w:lvlJc w:val="left"/>
      <w:lvlText w:val="(%2)"/>
      <w:numFmt w:val="lowerRoman"/>
      <w:start w:val="1"/>
    </w:lvl>
  </w:abstractNum>
  <w:abstractNum w:abstractNumId="210">
    <w:nsid w:val="3ACC76B1"/>
    <w:multiLevelType w:val="hybridMultilevel"/>
    <w:lvl w:ilvl="0">
      <w:lvlJc w:val="left"/>
      <w:lvlText w:val="(%1)"/>
      <w:numFmt w:val="lowerRoman"/>
      <w:start w:val="2"/>
    </w:lvl>
  </w:abstractNum>
  <w:abstractNum w:abstractNumId="211">
    <w:nsid w:val="588B1C7C"/>
    <w:multiLevelType w:val="hybridMultilevel"/>
    <w:lvl w:ilvl="0">
      <w:lvlJc w:val="left"/>
      <w:lvlText w:val="%1"/>
      <w:numFmt w:val="upperLetter"/>
      <w:start w:val="1"/>
    </w:lvl>
    <w:lvl w:ilvl="1">
      <w:lvlJc w:val="left"/>
      <w:lvlText w:val="(%2)"/>
      <w:numFmt w:val="lowerRoman"/>
      <w:start w:val="3"/>
    </w:lvl>
  </w:abstractNum>
  <w:abstractNum w:abstractNumId="212">
    <w:nsid w:val="62682D8B"/>
    <w:multiLevelType w:val="hybridMultilevel"/>
    <w:lvl w:ilvl="0">
      <w:lvlJc w:val="left"/>
      <w:lvlText w:val="(%1)"/>
      <w:numFmt w:val="upperLetter"/>
      <w:start w:val="1"/>
    </w:lvl>
    <w:lvl w:ilvl="1">
      <w:lvlJc w:val="left"/>
      <w:lvlText w:val="(%2)"/>
      <w:numFmt w:val="lowerRoman"/>
      <w:start w:val="5"/>
    </w:lvl>
  </w:abstractNum>
  <w:abstractNum w:abstractNumId="213">
    <w:nsid w:val="436F111A"/>
    <w:multiLevelType w:val="hybridMultilevel"/>
    <w:lvl w:ilvl="0">
      <w:lvlJc w:val="left"/>
      <w:lvlText w:val="(%1)"/>
      <w:numFmt w:val="lowerRoman"/>
      <w:start w:val="2"/>
    </w:lvl>
  </w:abstractNum>
  <w:abstractNum w:abstractNumId="214">
    <w:nsid w:val="3299B71B"/>
    <w:multiLevelType w:val="hybridMultilevel"/>
    <w:lvl w:ilvl="0">
      <w:lvlJc w:val="left"/>
      <w:lvlText w:val="(%1)"/>
      <w:numFmt w:val="lowerRoman"/>
      <w:start w:val="4"/>
    </w:lvl>
  </w:abstractNum>
  <w:abstractNum w:abstractNumId="215">
    <w:nsid w:val="7EA75F5A"/>
    <w:multiLevelType w:val="hybridMultilevel"/>
    <w:lvl w:ilvl="0">
      <w:lvlJc w:val="left"/>
      <w:lvlText w:val="%1"/>
      <w:numFmt w:val="upperLetter"/>
      <w:start w:val="1"/>
    </w:lvl>
    <w:lvl w:ilvl="1">
      <w:lvlJc w:val="left"/>
      <w:lvlText w:val="(%2)"/>
      <w:numFmt w:val="lowerRoman"/>
      <w:start w:val="6"/>
    </w:lvl>
  </w:abstractNum>
  <w:abstractNum w:abstractNumId="216">
    <w:nsid w:val="44419EF9"/>
    <w:multiLevelType w:val="hybridMultilevel"/>
    <w:lvl w:ilvl="0">
      <w:lvlJc w:val="left"/>
      <w:lvlText w:val="(%1)"/>
      <w:numFmt w:val="upperLetter"/>
      <w:start w:val="2"/>
    </w:lvl>
    <w:lvl w:ilvl="1">
      <w:lvlJc w:val="left"/>
      <w:lvlText w:val="(%2)"/>
      <w:numFmt w:val="lowerRoman"/>
      <w:start w:val="8"/>
    </w:lvl>
  </w:abstractNum>
  <w:abstractNum w:abstractNumId="217">
    <w:nsid w:val="3837F1DF"/>
    <w:multiLevelType w:val="hybridMultilevel"/>
    <w:lvl w:ilvl="0">
      <w:lvlJc w:val="left"/>
      <w:lvlText w:val="(%1)"/>
      <w:numFmt w:val="lowerRoman"/>
      <w:start w:val="9"/>
    </w:lvl>
  </w:abstractNum>
  <w:abstractNum w:abstractNumId="218">
    <w:nsid w:val="5BE02A44"/>
    <w:multiLevelType w:val="hybridMultilevel"/>
    <w:lvl w:ilvl="0">
      <w:lvlJc w:val="left"/>
      <w:lvlText w:val="(%1)"/>
      <w:numFmt w:val="lowerLetter"/>
      <w:start w:val="1"/>
    </w:lvl>
  </w:abstractNum>
  <w:abstractNum w:abstractNumId="219">
    <w:nsid w:val="4A35BF85"/>
    <w:multiLevelType w:val="hybridMultilevel"/>
    <w:lvl w:ilvl="0">
      <w:lvlJc w:val="left"/>
      <w:lvlText w:val="(%1)"/>
      <w:numFmt w:val="lowerLetter"/>
      <w:start w:val="3"/>
    </w:lvl>
  </w:abstractNum>
  <w:abstractNum w:abstractNumId="220">
    <w:nsid w:val="344702AC"/>
    <w:multiLevelType w:val="hybridMultilevel"/>
    <w:lvl w:ilvl="0">
      <w:lvlJc w:val="left"/>
      <w:lvlText w:val="%1"/>
      <w:numFmt w:val="lowerRoman"/>
      <w:start w:val="1"/>
    </w:lvl>
    <w:lvl w:ilvl="1">
      <w:lvlJc w:val="left"/>
      <w:lvlText w:val="(%2)"/>
      <w:numFmt w:val="lowerLetter"/>
      <w:start w:val="2"/>
    </w:lvl>
  </w:abstractNum>
  <w:abstractNum w:abstractNumId="221">
    <w:nsid w:val="1CFAC1A"/>
    <w:multiLevelType w:val="hybridMultilevel"/>
    <w:lvl w:ilvl="0">
      <w:lvlJc w:val="left"/>
      <w:lvlText w:val="(%1)"/>
      <w:numFmt w:val="lowerRoman"/>
      <w:start w:val="2"/>
    </w:lvl>
    <w:lvl w:ilvl="1">
      <w:lvlJc w:val="left"/>
      <w:lvlText w:val="%2"/>
      <w:numFmt w:val="lowerLetter"/>
      <w:start w:val="1"/>
    </w:lvl>
  </w:abstractNum>
  <w:abstractNum w:abstractNumId="222">
    <w:nsid w:val="5FDD549A"/>
    <w:multiLevelType w:val="hybridMultilevel"/>
    <w:lvl w:ilvl="0">
      <w:lvlJc w:val="left"/>
      <w:lvlText w:val="(%1)"/>
      <w:numFmt w:val="lowerLetter"/>
      <w:start w:val="4"/>
    </w:lvl>
  </w:abstractNum>
  <w:abstractNum w:abstractNumId="223">
    <w:nsid w:val="38FD730E"/>
    <w:multiLevelType w:val="hybridMultilevel"/>
    <w:lvl w:ilvl="0">
      <w:lvlJc w:val="left"/>
      <w:lvlText w:val="(%1)"/>
      <w:numFmt w:val="lowerLetter"/>
      <w:start w:val="8"/>
    </w:lvl>
  </w:abstractNum>
  <w:abstractNum w:abstractNumId="224">
    <w:nsid w:val="52E6ED3D"/>
    <w:multiLevelType w:val="hybridMultilevel"/>
    <w:lvl w:ilvl="0">
      <w:lvlJc w:val="left"/>
      <w:lvlText w:val="(%1)"/>
      <w:numFmt w:val="lowerLetter"/>
      <w:start w:val="1"/>
    </w:lvl>
  </w:abstractNum>
  <w:abstractNum w:abstractNumId="225">
    <w:nsid w:val="3E1A864"/>
    <w:multiLevelType w:val="hybridMultilevel"/>
    <w:lvl w:ilvl="0">
      <w:lvlJc w:val="left"/>
      <w:lvlText w:val="(%1)"/>
      <w:numFmt w:val="upperLetter"/>
      <w:start w:val="1"/>
    </w:lvl>
  </w:abstractNum>
  <w:abstractNum w:abstractNumId="226">
    <w:nsid w:val="672FE0A8"/>
    <w:multiLevelType w:val="hybridMultilevel"/>
    <w:lvl w:ilvl="0">
      <w:lvlJc w:val="left"/>
      <w:lvlText w:val="(%1)"/>
      <w:numFmt w:val="lowerLetter"/>
      <w:start w:val="1"/>
    </w:lvl>
    <w:lvl w:ilvl="1">
      <w:lvlJc w:val="left"/>
      <w:lvlText w:val="(%2)"/>
      <w:numFmt w:val="lowerLetter"/>
      <w:start w:val="9"/>
    </w:lvl>
  </w:abstractNum>
  <w:abstractNum w:abstractNumId="227">
    <w:nsid w:val="31987F4D"/>
    <w:multiLevelType w:val="hybridMultilevel"/>
    <w:lvl w:ilvl="0">
      <w:lvlJc w:val="left"/>
      <w:lvlText w:val="(%1)"/>
      <w:numFmt w:val="lowerRoman"/>
      <w:start w:val="2"/>
    </w:lvl>
  </w:abstractNum>
  <w:abstractNum w:abstractNumId="228">
    <w:nsid w:val="48C0A800"/>
    <w:multiLevelType w:val="hybridMultilevel"/>
    <w:lvl w:ilvl="0">
      <w:lvlJc w:val="left"/>
      <w:lvlText w:val="%1"/>
      <w:numFmt w:val="lowerLetter"/>
      <w:start w:val="1"/>
    </w:lvl>
    <w:lvl w:ilvl="1">
      <w:lvlJc w:val="left"/>
      <w:lvlText w:val="(%2)"/>
      <w:numFmt w:val="lowerLetter"/>
      <w:start w:val="2"/>
    </w:lvl>
  </w:abstractNum>
  <w:abstractNum w:abstractNumId="229">
    <w:nsid w:val="717B226"/>
    <w:multiLevelType w:val="hybridMultilevel"/>
    <w:lvl w:ilvl="0">
      <w:lvlJc w:val="left"/>
      <w:lvlText w:val="(%1)"/>
      <w:numFmt w:val="lowerLetter"/>
      <w:start w:val="9"/>
    </w:lvl>
    <w:lvl w:ilvl="1">
      <w:lvlJc w:val="left"/>
      <w:lvlText w:val="%2"/>
      <w:numFmt w:val="lowerLetter"/>
      <w:start w:val="1"/>
    </w:lvl>
  </w:abstractNum>
  <w:abstractNum w:abstractNumId="230">
    <w:nsid w:val="4642A7B"/>
    <w:multiLevelType w:val="hybridMultilevel"/>
    <w:lvl w:ilvl="0">
      <w:lvlJc w:val="left"/>
      <w:lvlText w:val="(%1)"/>
      <w:numFmt w:val="lowerLetter"/>
      <w:start w:val="4"/>
    </w:lvl>
  </w:abstractNum>
  <w:abstractNum w:abstractNumId="231">
    <w:nsid w:val="632808EF"/>
    <w:multiLevelType w:val="hybridMultilevel"/>
    <w:lvl w:ilvl="0">
      <w:lvlJc w:val="left"/>
      <w:lvlText w:val="(%1)"/>
      <w:numFmt w:val="lowerLetter"/>
      <w:start w:val="1"/>
    </w:lvl>
  </w:abstractNum>
  <w:abstractNum w:abstractNumId="232">
    <w:nsid w:val="656A762B"/>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lvl w:ilvl="3">
      <w:lvlJc w:val="left"/>
      <w:lvlText w:val="(%4)"/>
      <w:numFmt w:val="decimal"/>
      <w:start w:val="1"/>
    </w:lvl>
  </w:abstractNum>
  <w:abstractNum w:abstractNumId="233">
    <w:nsid w:val="4AC8EC3"/>
    <w:multiLevelType w:val="hybridMultilevel"/>
    <w:lvl w:ilvl="0">
      <w:lvlJc w:val="left"/>
      <w:lvlText w:val="%1"/>
      <w:numFmt w:val="upperLetter"/>
      <w:start w:val="1"/>
    </w:lvl>
    <w:lvl w:ilvl="1">
      <w:lvlJc w:val="left"/>
      <w:lvlText w:val="(%2)"/>
      <w:numFmt w:val="decimal"/>
      <w:start w:val="3"/>
    </w:lvl>
  </w:abstractNum>
  <w:abstractNum w:abstractNumId="234">
    <w:nsid w:val="4511160D"/>
    <w:multiLevelType w:val="hybridMultilevel"/>
    <w:lvl w:ilvl="0">
      <w:lvlJc w:val="left"/>
      <w:lvlText w:val="(%1)"/>
      <w:numFmt w:val="upperLetter"/>
      <w:start w:val="3"/>
    </w:lvl>
    <w:lvl w:ilvl="1">
      <w:lvlJc w:val="left"/>
      <w:lvlText w:val="%2"/>
      <w:numFmt w:val="decimal"/>
      <w:start w:val="1"/>
    </w:lvl>
  </w:abstractNum>
  <w:abstractNum w:abstractNumId="235">
    <w:nsid w:val="2A27DE11"/>
    <w:multiLevelType w:val="hybridMultilevel"/>
    <w:lvl w:ilvl="0">
      <w:lvlJc w:val="left"/>
      <w:lvlText w:val="%1"/>
      <w:numFmt w:val="lowerLetter"/>
      <w:start w:val="1"/>
    </w:lvl>
    <w:lvl w:ilvl="1">
      <w:lvlJc w:val="left"/>
      <w:lvlText w:val="(%2)"/>
      <w:numFmt w:val="lowerRoman"/>
      <w:start w:val="4"/>
    </w:lvl>
  </w:abstractNum>
  <w:abstractNum w:abstractNumId="236">
    <w:nsid w:val="36FD9196"/>
    <w:multiLevelType w:val="hybridMultilevel"/>
    <w:lvl w:ilvl="0">
      <w:lvlJc w:val="left"/>
      <w:lvlText w:val="(%1)"/>
      <w:numFmt w:val="lowerLetter"/>
      <w:start w:val="7"/>
    </w:lvl>
    <w:lvl w:ilvl="1">
      <w:lvlJc w:val="left"/>
      <w:lvlText w:val="%2"/>
      <w:numFmt w:val="lowerRoman"/>
      <w:start w:val="1"/>
    </w:lvl>
  </w:abstractNum>
  <w:abstractNum w:abstractNumId="237">
    <w:nsid w:val="2A68FC8"/>
    <w:multiLevelType w:val="hybridMultilevel"/>
    <w:lvl w:ilvl="0">
      <w:lvlJc w:val="left"/>
      <w:lvlText w:val="(%1)"/>
      <w:numFmt w:val="lowerLetter"/>
      <w:start w:val="1"/>
    </w:lvl>
  </w:abstractNum>
  <w:abstractNum w:abstractNumId="238">
    <w:nsid w:val="34F52A23"/>
    <w:multiLevelType w:val="hybridMultilevel"/>
    <w:lvl w:ilvl="0">
      <w:lvlJc w:val="left"/>
      <w:lvlText w:val="(%1)"/>
      <w:numFmt w:val="lowerLetter"/>
      <w:start w:val="2"/>
    </w:lvl>
  </w:abstractNum>
  <w:abstractNum w:abstractNumId="239">
    <w:nsid w:val="4815A966"/>
    <w:multiLevelType w:val="hybridMultilevel"/>
    <w:lvl w:ilvl="0">
      <w:lvlJc w:val="left"/>
      <w:lvlText w:val="(%1)"/>
      <w:numFmt w:val="lowerLetter"/>
      <w:start w:val="4"/>
    </w:lvl>
  </w:abstractNum>
  <w:abstractNum w:abstractNumId="240">
    <w:nsid w:val="796F4530"/>
    <w:multiLevelType w:val="hybridMultilevel"/>
    <w:lvl w:ilvl="0">
      <w:lvlJc w:val="left"/>
      <w:lvlText w:val="(%1)"/>
      <w:numFmt w:val="lowerLetter"/>
      <w:start w:val="1"/>
    </w:lvl>
  </w:abstractNum>
  <w:abstractNum w:abstractNumId="241">
    <w:nsid w:val="6FC1A0D4"/>
    <w:multiLevelType w:val="hybridMultilevel"/>
    <w:lvl w:ilvl="0">
      <w:lvlJc w:val="left"/>
      <w:lvlText w:val="(%1)"/>
      <w:numFmt w:val="lowerLetter"/>
      <w:start w:val="2"/>
    </w:lvl>
  </w:abstractNum>
  <w:abstractNum w:abstractNumId="242">
    <w:nsid w:val="20A0C5E2"/>
    <w:multiLevelType w:val="hybridMultilevel"/>
    <w:lvl w:ilvl="0">
      <w:lvlJc w:val="left"/>
      <w:lvlText w:val="(%1)"/>
      <w:numFmt w:val="lowerLetter"/>
      <w:start w:val="1"/>
    </w:lvl>
  </w:abstractNum>
  <w:abstractNum w:abstractNumId="243">
    <w:nsid w:val="5BD772BB"/>
    <w:multiLevelType w:val="hybridMultilevel"/>
    <w:lvl w:ilvl="0">
      <w:lvlJc w:val="left"/>
      <w:lvlText w:val="(%1)"/>
      <w:numFmt w:val="lowerLetter"/>
      <w:start w:val="2"/>
    </w:lvl>
    <w:lvl w:ilvl="1">
      <w:lvlJc w:val="left"/>
      <w:lvlText w:val="(%2)"/>
      <w:numFmt w:val="lowerLetter"/>
      <w:start w:val="9"/>
    </w:lvl>
  </w:abstractNum>
  <w:abstractNum w:abstractNumId="244">
    <w:nsid w:val="3330B1EE"/>
    <w:multiLevelType w:val="hybridMultilevel"/>
    <w:lvl w:ilvl="0">
      <w:lvlJc w:val="left"/>
      <w:lvlText w:val="%1"/>
      <w:numFmt w:val="lowerLetter"/>
      <w:start w:val="1"/>
    </w:lvl>
    <w:lvl w:ilvl="1">
      <w:lvlJc w:val="left"/>
      <w:lvlText w:val="(%2)"/>
      <w:numFmt w:val="lowerRoman"/>
      <w:start w:val="2"/>
    </w:lvl>
  </w:abstractNum>
  <w:abstractNum w:abstractNumId="245">
    <w:nsid w:val="533A7CFD"/>
    <w:multiLevelType w:val="hybridMultilevel"/>
    <w:lvl w:ilvl="0">
      <w:lvlJc w:val="left"/>
      <w:lvlText w:val="(%1)"/>
      <w:numFmt w:val="lowerLetter"/>
      <w:start w:val="5"/>
    </w:lvl>
    <w:lvl w:ilvl="1">
      <w:lvlJc w:val="left"/>
      <w:lvlText w:val="%2"/>
      <w:numFmt w:val="lowerRoman"/>
      <w:start w:val="1"/>
    </w:lvl>
  </w:abstractNum>
  <w:abstractNum w:abstractNumId="246">
    <w:nsid w:val="5A7ED215"/>
    <w:multiLevelType w:val="hybridMultilevel"/>
    <w:lvl w:ilvl="0">
      <w:lvlJc w:val="left"/>
      <w:lvlText w:val="(%1)"/>
      <w:numFmt w:val="lowerLetter"/>
      <w:start w:val="6"/>
    </w:lvl>
  </w:abstractNum>
  <w:abstractNum w:abstractNumId="247">
    <w:nsid w:val="777250E7"/>
    <w:multiLevelType w:val="hybridMultilevel"/>
    <w:lvl w:ilvl="0">
      <w:lvlJc w:val="left"/>
      <w:lvlText w:val="(%1)"/>
      <w:numFmt w:val="lowerLetter"/>
      <w:start w:val="1"/>
    </w:lvl>
    <w:lvl w:ilvl="1">
      <w:lvlJc w:val="left"/>
      <w:lvlText w:val="(%2)"/>
      <w:numFmt w:val="lowerRoman"/>
      <w:start w:val="1"/>
    </w:lvl>
  </w:abstractNum>
  <w:abstractNum w:abstractNumId="248">
    <w:nsid w:val="B726EDC"/>
    <w:multiLevelType w:val="hybridMultilevel"/>
    <w:lvl w:ilvl="0">
      <w:lvlJc w:val="left"/>
      <w:lvlText w:val="%1"/>
      <w:numFmt w:val="upperLetter"/>
      <w:start w:val="1"/>
    </w:lvl>
    <w:lvl w:ilvl="1">
      <w:lvlJc w:val="left"/>
      <w:lvlText w:val="(%2)"/>
      <w:numFmt w:val="lowerRoman"/>
      <w:start w:val="5"/>
    </w:lvl>
  </w:abstractNum>
  <w:abstractNum w:abstractNumId="249">
    <w:nsid w:val="365EFC5A"/>
    <w:multiLevelType w:val="hybridMultilevel"/>
    <w:lvl w:ilvl="0">
      <w:lvlJc w:val="left"/>
      <w:lvlText w:val="(%1)"/>
      <w:numFmt w:val="upperLetter"/>
      <w:start w:val="2"/>
    </w:lvl>
    <w:lvl w:ilvl="1">
      <w:lvlJc w:val="left"/>
      <w:lvlText w:val="%2"/>
      <w:numFmt w:val="lowerRoman"/>
      <w:start w:val="1"/>
    </w:lvl>
  </w:abstractNum>
  <w:abstractNum w:abstractNumId="250">
    <w:nsid w:val="41A8106C"/>
    <w:multiLevelType w:val="hybridMultilevel"/>
    <w:lvl w:ilvl="0">
      <w:lvlJc w:val="left"/>
      <w:lvlText w:val="%1"/>
      <w:numFmt w:val="lowerLetter"/>
      <w:start w:val="1"/>
    </w:lvl>
    <w:lvl w:ilvl="1">
      <w:lvlJc w:val="left"/>
      <w:lvlText w:val="(%2)"/>
      <w:numFmt w:val="lowerRoman"/>
      <w:start w:val="11"/>
    </w:lvl>
  </w:abstractNum>
  <w:abstractNum w:abstractNumId="251">
    <w:nsid w:val="3FB97188"/>
    <w:multiLevelType w:val="hybridMultilevel"/>
    <w:lvl w:ilvl="0">
      <w:lvlJc w:val="left"/>
      <w:lvlText w:val="(%1)"/>
      <w:numFmt w:val="lowerLetter"/>
      <w:start w:val="2"/>
    </w:lvl>
    <w:lvl w:ilvl="1">
      <w:lvlJc w:val="left"/>
      <w:lvlText w:val="%2"/>
      <w:numFmt w:val="lowerRoman"/>
      <w:start w:val="1"/>
    </w:lvl>
  </w:abstractNum>
  <w:abstractNum w:abstractNumId="252">
    <w:nsid w:val="382EA87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253">
    <w:nsid w:val="21856507"/>
    <w:multiLevelType w:val="hybridMultilevel"/>
    <w:lvl w:ilvl="0">
      <w:lvlJc w:val="left"/>
      <w:lvlText w:val="(%1)"/>
      <w:numFmt w:val="lowerLetter"/>
      <w:start w:val="6"/>
    </w:lvl>
  </w:abstractNum>
  <w:abstractNum w:abstractNumId="254">
    <w:nsid w:val="78B6E496"/>
    <w:multiLevelType w:val="hybridMultilevel"/>
    <w:lvl w:ilvl="0">
      <w:lvlJc w:val="left"/>
      <w:lvlText w:val="(%1)"/>
      <w:numFmt w:val="lowerRoman"/>
      <w:start w:val="1"/>
    </w:lvl>
  </w:abstractNum>
  <w:abstractNum w:abstractNumId="255">
    <w:nsid w:val="B1595B1"/>
    <w:multiLevelType w:val="hybridMultilevel"/>
    <w:lvl w:ilvl="0">
      <w:lvlJc w:val="left"/>
      <w:lvlText w:val="(%1)"/>
      <w:numFmt w:val="lowerLetter"/>
      <w:start w:val="1"/>
    </w:lvl>
  </w:abstractNum>
  <w:abstractNum w:abstractNumId="256">
    <w:nsid w:val="25670D6B"/>
    <w:multiLevelType w:val="hybridMultilevel"/>
    <w:lvl w:ilvl="0">
      <w:lvlJc w:val="left"/>
      <w:lvlText w:val="%1"/>
      <w:numFmt w:val="decimal"/>
      <w:start w:val="1"/>
    </w:lvl>
    <w:lvl w:ilvl="1">
      <w:lvlJc w:val="left"/>
      <w:lvlText w:val="(%2)"/>
      <w:numFmt w:val="lowerRoman"/>
      <w:start w:val="1"/>
    </w:lvl>
  </w:abstractNum>
  <w:abstractNum w:abstractNumId="257">
    <w:nsid w:val="5FE6C53F"/>
    <w:multiLevelType w:val="hybridMultilevel"/>
    <w:lvl w:ilvl="0">
      <w:lvlJc w:val="left"/>
      <w:lvlText w:val="(%1)"/>
      <w:numFmt w:val="decimal"/>
      <w:start w:val="3"/>
    </w:lvl>
    <w:lvl w:ilvl="1">
      <w:lvlJc w:val="left"/>
      <w:lvlText w:val="(%2)"/>
      <w:numFmt w:val="lowerRoman"/>
      <w:start w:val="2"/>
    </w:lvl>
  </w:abstractNum>
  <w:abstractNum w:abstractNumId="258">
    <w:nsid w:val="3CAE14FE"/>
    <w:multiLevelType w:val="hybridMultilevel"/>
    <w:lvl w:ilvl="0">
      <w:lvlJc w:val="left"/>
      <w:lvlText w:val="%1"/>
      <w:numFmt w:val="lowerLetter"/>
      <w:start w:val="1"/>
    </w:lvl>
    <w:lvl w:ilvl="1">
      <w:lvlJc w:val="left"/>
      <w:lvlText w:val="(%2)"/>
      <w:numFmt w:val="lowerRoman"/>
      <w:start w:val="3"/>
    </w:lvl>
  </w:abstractNum>
  <w:abstractNum w:abstractNumId="259">
    <w:nsid w:val="6E27B56B"/>
    <w:multiLevelType w:val="hybridMultilevel"/>
    <w:lvl w:ilvl="0">
      <w:lvlJc w:val="left"/>
      <w:lvlText w:val="(%1)"/>
      <w:numFmt w:val="lowerLetter"/>
      <w:start w:val="2"/>
    </w:lvl>
    <w:lvl w:ilvl="1">
      <w:lvlJc w:val="left"/>
      <w:lvlText w:val="%2"/>
      <w:numFmt w:val="lowerRoman"/>
      <w:start w:val="1"/>
    </w:lvl>
  </w:abstractNum>
  <w:abstractNum w:abstractNumId="260">
    <w:nsid w:val="66FE7765"/>
    <w:multiLevelType w:val="hybridMultilevel"/>
    <w:lvl w:ilvl="0">
      <w:lvlJc w:val="left"/>
      <w:lvlText w:val="(%1)"/>
      <w:numFmt w:val="lowerLetter"/>
      <w:start w:val="3"/>
    </w:lvl>
  </w:abstractNum>
  <w:abstractNum w:abstractNumId="261">
    <w:nsid w:val="41123F79"/>
    <w:multiLevelType w:val="hybridMultilevel"/>
    <w:lvl w:ilvl="0">
      <w:lvlJc w:val="left"/>
      <w:lvlText w:val="%1"/>
      <w:numFmt w:val="lowerLetter"/>
      <w:start w:val="1"/>
    </w:lvl>
    <w:lvl w:ilvl="1">
      <w:lvlJc w:val="left"/>
      <w:lvlText w:val="(%2)"/>
      <w:numFmt w:val="lowerLetter"/>
      <w:start w:val="1"/>
    </w:lvl>
  </w:abstractNum>
  <w:abstractNum w:abstractNumId="262">
    <w:nsid w:val="514FBE5A"/>
    <w:multiLevelType w:val="hybridMultilevel"/>
    <w:lvl w:ilvl="0">
      <w:lvlJc w:val="left"/>
      <w:lvlText w:val="(%1)"/>
      <w:numFmt w:val="lowerLetter"/>
      <w:start w:val="24"/>
    </w:lvl>
    <w:lvl w:ilvl="1">
      <w:lvlJc w:val="left"/>
      <w:lvlText w:val="(%2)"/>
      <w:numFmt w:val="lowerLetter"/>
      <w:start w:val="2"/>
    </w:lvl>
  </w:abstractNum>
  <w:abstractNum w:abstractNumId="263">
    <w:nsid w:val="4C68ED90"/>
    <w:multiLevelType w:val="hybridMultilevel"/>
    <w:lvl w:ilvl="0">
      <w:lvlJc w:val="left"/>
      <w:lvlText w:val="(%1)"/>
      <w:numFmt w:val="lowerLetter"/>
      <w:start w:val="3"/>
    </w:lvl>
  </w:abstractNum>
  <w:abstractNum w:abstractNumId="264">
    <w:nsid w:val="45BECE3C"/>
    <w:multiLevelType w:val="hybridMultilevel"/>
    <w:lvl w:ilvl="0">
      <w:lvlJc w:val="left"/>
      <w:lvlText w:val="(%1)"/>
      <w:numFmt w:val="decimal"/>
      <w:start w:val="1"/>
    </w:lvl>
  </w:abstractNum>
  <w:abstractNum w:abstractNumId="265">
    <w:nsid w:val="1660D468"/>
    <w:multiLevelType w:val="hybridMultilevel"/>
    <w:lvl w:ilvl="0">
      <w:lvlJc w:val="left"/>
      <w:lvlText w:val="(%1)"/>
      <w:numFmt w:val="decimal"/>
      <w:start w:val="2"/>
    </w:lvl>
  </w:abstractNum>
  <w:abstractNum w:abstractNumId="266">
    <w:nsid w:val="7690CBA1"/>
    <w:multiLevelType w:val="hybridMultilevel"/>
    <w:lvl w:ilvl="0">
      <w:lvlJc w:val="left"/>
      <w:lvlText w:val="(%1)"/>
      <w:numFmt w:val="decimal"/>
      <w:start w:val="1"/>
    </w:lvl>
  </w:abstractNum>
  <w:abstractNum w:abstractNumId="267">
    <w:nsid w:val="7CBC5FD3"/>
    <w:multiLevelType w:val="hybridMultilevel"/>
    <w:lvl w:ilvl="0">
      <w:lvlJc w:val="left"/>
      <w:lvlText w:val="(%1)"/>
      <w:numFmt w:val="decimal"/>
      <w:start w:val="1"/>
    </w:lvl>
  </w:abstractNum>
  <w:abstractNum w:abstractNumId="268">
    <w:nsid w:val="19076430"/>
    <w:multiLevelType w:val="hybridMultilevel"/>
    <w:lvl w:ilvl="0">
      <w:lvlJc w:val="left"/>
      <w:lvlText w:val="(%1)"/>
      <w:numFmt w:val="decimal"/>
      <w:start w:val="1"/>
    </w:lvl>
  </w:abstractNum>
  <w:abstractNum w:abstractNumId="269">
    <w:nsid w:val="2B85F5C4"/>
    <w:multiLevelType w:val="hybridMultilevel"/>
    <w:lvl w:ilvl="0">
      <w:lvlJc w:val="left"/>
      <w:lvlText w:val="(%1)"/>
      <w:numFmt w:val="decimal"/>
      <w:start w:val="3"/>
    </w:lvl>
  </w:abstractNum>
  <w:abstractNum w:abstractNumId="270">
    <w:nsid w:val="44D20939"/>
    <w:multiLevelType w:val="hybridMultilevel"/>
    <w:lvl w:ilvl="0">
      <w:lvlJc w:val="left"/>
      <w:lvlText w:val="(%1)"/>
      <w:numFmt w:val="decimal"/>
      <w:start w:val="3"/>
    </w:lvl>
  </w:abstractNum>
  <w:abstractNum w:abstractNumId="271">
    <w:nsid w:val="1276A960"/>
    <w:multiLevelType w:val="hybridMultilevel"/>
    <w:lvl w:ilvl="0">
      <w:lvlJc w:val="left"/>
      <w:lvlText w:val="(%1)"/>
      <w:numFmt w:val="lowerRoman"/>
      <w:start w:val="5"/>
    </w:lvl>
  </w:abstractNum>
  <w:abstractNum w:abstractNumId="272">
    <w:nsid w:val="1B479698"/>
    <w:multiLevelType w:val="hybridMultilevel"/>
    <w:lvl w:ilvl="0">
      <w:lvlJc w:val="left"/>
      <w:lvlText w:val="(%1)"/>
      <w:numFmt w:val="lowerLetter"/>
      <w:start w:val="1"/>
    </w:lvl>
  </w:abstractNum>
  <w:abstractNum w:abstractNumId="273">
    <w:nsid w:val="6572CF1B"/>
    <w:multiLevelType w:val="hybridMultilevel"/>
    <w:lvl w:ilvl="0">
      <w:lvlJc w:val="left"/>
      <w:lvlText w:val="(%1)"/>
      <w:numFmt w:val="lowerLetter"/>
      <w:start w:val="1"/>
    </w:lvl>
  </w:abstractNum>
  <w:abstractNum w:abstractNumId="274">
    <w:nsid w:val="6E4E1C1B"/>
    <w:multiLevelType w:val="hybridMultilevel"/>
    <w:lvl w:ilvl="0">
      <w:lvlJc w:val="left"/>
      <w:lvlText w:val="%1"/>
      <w:numFmt w:val="lowerLetter"/>
      <w:start w:val="1"/>
    </w:lvl>
    <w:lvl w:ilvl="1">
      <w:lvlJc w:val="left"/>
      <w:lvlText w:val="(%2)"/>
      <w:numFmt w:val="lowerLetter"/>
      <w:start w:val="1"/>
    </w:lvl>
  </w:abstractNum>
  <w:abstractNum w:abstractNumId="275">
    <w:nsid w:val="4E784887"/>
    <w:multiLevelType w:val="hybridMultilevel"/>
    <w:lvl w:ilvl="0">
      <w:lvlJc w:val="left"/>
      <w:lvlText w:val="(%1)"/>
      <w:numFmt w:val="lowerLetter"/>
      <w:start w:val="9"/>
    </w:lvl>
    <w:lvl w:ilvl="1">
      <w:lvlJc w:val="left"/>
      <w:lvlText w:val="(%2)"/>
      <w:numFmt w:val="lowerLetter"/>
      <w:start w:val="3"/>
    </w:lvl>
  </w:abstractNum>
  <w:abstractNum w:abstractNumId="276">
    <w:nsid w:val="38AD4C18"/>
    <w:multiLevelType w:val="hybridMultilevel"/>
    <w:lvl w:ilvl="0">
      <w:lvlJc w:val="left"/>
      <w:lvlText w:val="(%1)"/>
      <w:numFmt w:val="lowerLetter"/>
      <w:start w:val="1"/>
    </w:lvl>
  </w:abstractNum>
  <w:abstractNum w:abstractNumId="277">
    <w:nsid w:val="48CCEE31"/>
    <w:multiLevelType w:val="hybridMultilevel"/>
    <w:lvl w:ilvl="0">
      <w:lvlJc w:val="left"/>
      <w:lvlText w:val="(%1)"/>
      <w:numFmt w:val="lowerLetter"/>
      <w:start w:val="1"/>
    </w:lvl>
  </w:abstractNum>
  <w:abstractNum w:abstractNumId="278">
    <w:nsid w:val="45EA996E"/>
    <w:multiLevelType w:val="hybridMultilevel"/>
    <w:lvl w:ilvl="0">
      <w:lvlJc w:val="left"/>
      <w:lvlText w:val="(%1)"/>
      <w:numFmt w:val="lowerLetter"/>
      <w:start w:val="1"/>
    </w:lvl>
  </w:abstractNum>
  <w:abstractNum w:abstractNumId="279">
    <w:nsid w:val="441FBAF4"/>
    <w:multiLevelType w:val="hybridMultilevel"/>
    <w:lvl w:ilvl="0">
      <w:lvlJc w:val="left"/>
      <w:lvlText w:val="(%1)"/>
      <w:numFmt w:val="lowerLetter"/>
      <w:start w:val="1"/>
    </w:lvl>
  </w:abstractNum>
  <w:abstractNum w:abstractNumId="280">
    <w:nsid w:val="7F2BEA8B"/>
    <w:multiLevelType w:val="hybridMultilevel"/>
    <w:lvl w:ilvl="0">
      <w:lvlJc w:val="left"/>
      <w:lvlText w:val="(%1)"/>
      <w:numFmt w:val="lowerLetter"/>
      <w:start w:val="4"/>
    </w:lvl>
  </w:abstractNum>
  <w:abstractNum w:abstractNumId="281">
    <w:nsid w:val="792A9DB"/>
    <w:multiLevelType w:val="hybridMultilevel"/>
    <w:lvl w:ilvl="0">
      <w:lvlJc w:val="left"/>
      <w:lvlText w:val="(%1)"/>
      <w:numFmt w:val="lowerLetter"/>
      <w:start w:val="35"/>
    </w:lvl>
    <w:lvl w:ilvl="1">
      <w:lvlJc w:val="left"/>
      <w:lvlText w:val="(%2)"/>
      <w:numFmt w:val="lowerLetter"/>
      <w:start w:val="1"/>
    </w:lvl>
  </w:abstractNum>
  <w:abstractNum w:abstractNumId="282">
    <w:nsid w:val="3D92C7D"/>
    <w:multiLevelType w:val="hybridMultilevel"/>
    <w:lvl w:ilvl="0">
      <w:lvlJc w:val="left"/>
      <w:lvlText w:val="%1"/>
      <w:numFmt w:val="lowerLetter"/>
      <w:start w:val="1"/>
    </w:lvl>
    <w:lvl w:ilvl="1">
      <w:lvlJc w:val="left"/>
      <w:lvlText w:val="(%2)"/>
      <w:numFmt w:val="lowerLetter"/>
      <w:start w:val="4"/>
    </w:lvl>
  </w:abstractNum>
  <w:abstractNum w:abstractNumId="283">
    <w:nsid w:val="375A92FF"/>
    <w:multiLevelType w:val="hybridMultilevel"/>
    <w:lvl w:ilvl="0">
      <w:lvlJc w:val="left"/>
      <w:lvlText w:val="(%1)"/>
      <w:numFmt w:val="lowerLetter"/>
      <w:start w:val="9"/>
    </w:lvl>
    <w:lvl w:ilvl="1">
      <w:lvlJc w:val="left"/>
      <w:lvlText w:val="(%2)"/>
      <w:numFmt w:val="lowerLetter"/>
      <w:start w:val="7"/>
    </w:lvl>
  </w:abstractNum>
  <w:abstractNum w:abstractNumId="284">
    <w:nsid w:val="29180EE2"/>
    <w:multiLevelType w:val="hybridMultilevel"/>
    <w:lvl w:ilvl="0">
      <w:lvlJc w:val="left"/>
      <w:lvlText w:val="(%1)"/>
      <w:numFmt w:val="lowerLetter"/>
      <w:start w:val="9"/>
    </w:lvl>
  </w:abstractNum>
  <w:abstractNum w:abstractNumId="285">
    <w:nsid w:val="7C901113"/>
    <w:multiLevelType w:val="hybridMultilevel"/>
    <w:lvl w:ilvl="0">
      <w:lvlJc w:val="left"/>
      <w:lvlText w:val="(%1)"/>
      <w:numFmt w:val="lowerLetter"/>
      <w:start w:val="1"/>
    </w:lvl>
  </w:abstractNum>
  <w:abstractNum w:abstractNumId="286">
    <w:nsid w:val="427028B0"/>
    <w:multiLevelType w:val="hybridMultilevel"/>
    <w:lvl w:ilvl="0">
      <w:lvlJc w:val="left"/>
      <w:lvlText w:val="(%1)"/>
      <w:numFmt w:val="lowerRoman"/>
      <w:start w:val="10"/>
    </w:lvl>
  </w:abstractNum>
  <w:abstractNum w:abstractNumId="287">
    <w:nsid w:val="4E7F1C4D"/>
    <w:multiLevelType w:val="hybridMultilevel"/>
    <w:lvl w:ilvl="0">
      <w:lvlJc w:val="left"/>
      <w:lvlText w:val="(%1)"/>
      <w:numFmt w:val="lowerLetter"/>
      <w:start w:val="1"/>
    </w:lvl>
  </w:abstractNum>
  <w:abstractNum w:abstractNumId="288">
    <w:nsid w:val="5C76D652"/>
    <w:multiLevelType w:val="hybridMultilevel"/>
    <w:lvl w:ilvl="0">
      <w:lvlJc w:val="left"/>
      <w:lvlText w:val="(%1)"/>
      <w:numFmt w:val="lowerLetter"/>
      <w:start w:val="2"/>
    </w:lvl>
  </w:abstractNum>
  <w:abstractNum w:abstractNumId="289">
    <w:nsid w:val="7F1E3DAE"/>
    <w:multiLevelType w:val="hybridMultilevel"/>
    <w:lvl w:ilvl="0">
      <w:lvlJc w:val="left"/>
      <w:lvlText w:val="(%1)"/>
      <w:numFmt w:val="lowerLetter"/>
      <w:start w:val="4"/>
    </w:lvl>
  </w:abstractNum>
  <w:abstractNum w:abstractNumId="290">
    <w:nsid w:val="3CA6D1B9"/>
    <w:multiLevelType w:val="hybridMultilevel"/>
    <w:lvl w:ilvl="0">
      <w:lvlJc w:val="left"/>
      <w:lvlText w:val="(%1)"/>
      <w:numFmt w:val="lowerLetter"/>
      <w:start w:val="1"/>
    </w:lvl>
    <w:lvl w:ilvl="1">
      <w:lvlJc w:val="left"/>
      <w:lvlText w:val="(%2)"/>
      <w:numFmt w:val="lowerRoman"/>
      <w:start w:val="1"/>
    </w:lvl>
  </w:abstractNum>
  <w:abstractNum w:abstractNumId="291">
    <w:nsid w:val="43754DB7"/>
    <w:multiLevelType w:val="hybridMultilevel"/>
    <w:lvl w:ilvl="0">
      <w:lvlJc w:val="left"/>
      <w:lvlText w:val="(%1)"/>
      <w:numFmt w:val="lowerLetter"/>
      <w:start w:val="1"/>
    </w:lvl>
  </w:abstractNum>
  <w:abstractNum w:abstractNumId="292">
    <w:nsid w:val="40307D27"/>
    <w:multiLevelType w:val="hybridMultilevel"/>
    <w:lvl w:ilvl="0">
      <w:lvlJc w:val="left"/>
      <w:lvlText w:val="%1"/>
      <w:numFmt w:val="lowerLetter"/>
      <w:start w:val="1"/>
    </w:lvl>
    <w:lvl w:ilvl="1">
      <w:lvlJc w:val="left"/>
      <w:lvlText w:val="(%2)"/>
      <w:numFmt w:val="lowerLetter"/>
      <w:start w:val="2"/>
    </w:lvl>
  </w:abstractNum>
  <w:abstractNum w:abstractNumId="293">
    <w:nsid w:val="DF69013"/>
    <w:multiLevelType w:val="hybridMultilevel"/>
    <w:lvl w:ilvl="0">
      <w:lvlJc w:val="left"/>
      <w:lvlText w:val="(%1)"/>
      <w:numFmt w:val="lowerLetter"/>
      <w:start w:val="24"/>
    </w:lvl>
    <w:lvl w:ilvl="1">
      <w:lvlJc w:val="left"/>
      <w:lvlText w:val="%2"/>
      <w:numFmt w:val="lowerLetter"/>
      <w:start w:val="1"/>
    </w:lvl>
  </w:abstractNum>
  <w:abstractNum w:abstractNumId="294">
    <w:nsid w:val="FDE3B47"/>
    <w:multiLevelType w:val="hybridMultilevel"/>
    <w:lvl w:ilvl="0">
      <w:lvlJc w:val="left"/>
      <w:lvlText w:val="(%1)"/>
      <w:numFmt w:val="lowerRoman"/>
      <w:start w:val="7"/>
    </w:lvl>
  </w:abstractNum>
  <w:abstractNum w:abstractNumId="295">
    <w:nsid w:val="5EF4B64"/>
    <w:multiLevelType w:val="hybridMultilevel"/>
    <w:lvl w:ilvl="0">
      <w:lvlJc w:val="left"/>
      <w:lvlText w:val="(%1)"/>
      <w:numFmt w:val="upperLetter"/>
      <w:start w:val="2"/>
    </w:lvl>
  </w:abstractNum>
  <w:abstractNum w:abstractNumId="296">
    <w:nsid w:val="2457647B"/>
    <w:multiLevelType w:val="hybridMultilevel"/>
    <w:lvl w:ilvl="0">
      <w:lvlJc w:val="left"/>
      <w:lvlText w:val="(%1)"/>
      <w:numFmt w:val="lowerLetter"/>
      <w:start w:val="1"/>
    </w:lvl>
  </w:abstractNum>
  <w:abstractNum w:abstractNumId="297">
    <w:nsid w:val="66F06E9"/>
    <w:multiLevelType w:val="hybridMultilevel"/>
    <w:lvl w:ilvl="0">
      <w:lvlJc w:val="left"/>
      <w:lvlText w:val="(%1)"/>
      <w:numFmt w:val="lowerLetter"/>
      <w:start w:val="1"/>
    </w:lvl>
  </w:abstractNum>
  <w:abstractNum w:abstractNumId="298">
    <w:nsid w:val="2ABAB37"/>
    <w:multiLevelType w:val="hybridMultilevel"/>
    <w:lvl w:ilvl="0">
      <w:lvlJc w:val="left"/>
      <w:lvlText w:val="(%1)"/>
      <w:numFmt w:val="lowerLetter"/>
      <w:start w:val="6"/>
    </w:lvl>
  </w:abstractNum>
  <w:abstractNum w:abstractNumId="299">
    <w:nsid w:val="3D5EC8AB"/>
    <w:multiLevelType w:val="hybridMultilevel"/>
    <w:lvl w:ilvl="0">
      <w:lvlJc w:val="left"/>
      <w:lvlText w:val="(%1)"/>
      <w:numFmt w:val="lowerLetter"/>
      <w:start w:val="13"/>
    </w:lvl>
  </w:abstractNum>
  <w:abstractNum w:abstractNumId="300">
    <w:nsid w:val="31F4FCAD"/>
    <w:multiLevelType w:val="hybridMultilevel"/>
    <w:lvl w:ilvl="0">
      <w:lvlJc w:val="left"/>
      <w:lvlText w:val="(%1)"/>
      <w:numFmt w:val="lowerLetter"/>
      <w:start w:val="25"/>
    </w:lvl>
  </w:abstractNum>
  <w:abstractNum w:abstractNumId="301">
    <w:nsid w:val="477DB470"/>
    <w:multiLevelType w:val="hybridMultilevel"/>
    <w:lvl w:ilvl="0">
      <w:lvlJc w:val="left"/>
      <w:lvlText w:val="(%1)"/>
      <w:numFmt w:val="lowerLetter"/>
      <w:start w:val="1"/>
    </w:lvl>
  </w:abstractNum>
  <w:abstractNum w:abstractNumId="302">
    <w:nsid w:val="4FD5720B"/>
    <w:multiLevelType w:val="hybridMultilevel"/>
    <w:lvl w:ilvl="0">
      <w:lvlJc w:val="left"/>
      <w:lvlText w:val="(%1)"/>
      <w:numFmt w:val="lowerLetter"/>
      <w:start w:val="17"/>
    </w:lvl>
  </w:abstractNum>
  <w:abstractNum w:abstractNumId="303">
    <w:nsid w:val="4D3C9346"/>
    <w:multiLevelType w:val="hybridMultilevel"/>
    <w:lvl w:ilvl="0">
      <w:lvlJc w:val="left"/>
      <w:lvlText w:val="(%1)"/>
      <w:numFmt w:val="lowerLetter"/>
      <w:start w:val="27"/>
    </w:lvl>
  </w:abstractNum>
  <w:abstractNum w:abstractNumId="304">
    <w:nsid w:val="2CF0838B"/>
    <w:multiLevelType w:val="hybridMultilevel"/>
    <w:lvl w:ilvl="0">
      <w:lvlJc w:val="left"/>
      <w:lvlText w:val="(%1)"/>
      <w:numFmt w:val="lowerLetter"/>
      <w:start w:val="39"/>
    </w:lvl>
  </w:abstractNum>
  <w:abstractNum w:abstractNumId="305">
    <w:nsid w:val="3E238E27"/>
    <w:multiLevelType w:val="hybridMultilevel"/>
    <w:lvl w:ilvl="0">
      <w:lvlJc w:val="left"/>
      <w:lvlText w:val="%1"/>
      <w:numFmt w:val="lowerLetter"/>
      <w:start w:val="1"/>
    </w:lvl>
    <w:lvl w:ilvl="1">
      <w:lvlJc w:val="left"/>
      <w:lvlText w:val="(%2)"/>
      <w:numFmt w:val="lowerLetter"/>
      <w:start w:val="1"/>
    </w:lvl>
  </w:abstractNum>
  <w:abstractNum w:abstractNumId="306">
    <w:nsid w:val="1BB4DBCD"/>
    <w:multiLevelType w:val="hybridMultilevel"/>
    <w:lvl w:ilvl="0">
      <w:lvlJc w:val="left"/>
      <w:lvlText w:val="(%1)"/>
      <w:numFmt w:val="lowerLetter"/>
      <w:start w:val="26"/>
    </w:lvl>
    <w:lvl w:ilvl="1">
      <w:lvlJc w:val="left"/>
      <w:lvlText w:val="%2"/>
      <w:numFmt w:val="lowerLetter"/>
      <w:start w:val="1"/>
    </w:lvl>
  </w:abstractNum>
  <w:abstractNum w:abstractNumId="307">
    <w:nsid w:val="659DCFA3"/>
    <w:multiLevelType w:val="hybridMultilevel"/>
    <w:lvl w:ilvl="0">
      <w:lvlJc w:val="left"/>
      <w:lvlText w:val="%1"/>
      <w:numFmt w:val="lowerLetter"/>
      <w:start w:val="1"/>
    </w:lvl>
    <w:lvl w:ilvl="1">
      <w:lvlJc w:val="left"/>
      <w:lvlText w:val="(%2)"/>
      <w:numFmt w:val="lowerLetter"/>
      <w:start w:val="5"/>
    </w:lvl>
  </w:abstractNum>
  <w:abstractNum w:abstractNumId="308">
    <w:nsid w:val="6F07C58"/>
    <w:multiLevelType w:val="hybridMultilevel"/>
    <w:lvl w:ilvl="0">
      <w:lvlJc w:val="left"/>
      <w:lvlText w:val="(%1)"/>
      <w:numFmt w:val="lowerLetter"/>
      <w:start w:val="25"/>
    </w:lvl>
    <w:lvl w:ilvl="1">
      <w:lvlJc w:val="left"/>
      <w:lvlText w:val="(%2)"/>
      <w:numFmt w:val="lowerLetter"/>
      <w:start w:val="6"/>
    </w:lvl>
  </w:abstractNum>
  <w:abstractNum w:abstractNumId="309">
    <w:nsid w:val="619F753B"/>
    <w:multiLevelType w:val="hybridMultilevel"/>
    <w:lvl w:ilvl="0">
      <w:lvlJc w:val="left"/>
      <w:lvlText w:val="(%1)"/>
      <w:numFmt w:val="lowerLetter"/>
      <w:start w:val="10"/>
    </w:lvl>
  </w:abstractNum>
  <w:abstractNum w:abstractNumId="310">
    <w:nsid w:val="29BD8A97"/>
    <w:multiLevelType w:val="hybridMultilevel"/>
    <w:lvl w:ilvl="0">
      <w:lvlJc w:val="left"/>
      <w:lvlText w:val="%1"/>
      <w:numFmt w:val="lowerRoman"/>
      <w:start w:val="1"/>
    </w:lvl>
    <w:lvl w:ilvl="1">
      <w:lvlJc w:val="left"/>
      <w:lvlText w:val="(%2)"/>
      <w:numFmt w:val="lowerLetter"/>
      <w:start w:val="16"/>
    </w:lvl>
  </w:abstractNum>
  <w:abstractNum w:abstractNumId="311">
    <w:nsid w:val="61C66E3"/>
    <w:multiLevelType w:val="hybridMultilevel"/>
    <w:lvl w:ilvl="0">
      <w:lvlJc w:val="left"/>
      <w:lvlText w:val="(%1)"/>
      <w:numFmt w:val="lowerRoman"/>
      <w:start w:val="4"/>
    </w:lvl>
    <w:lvl w:ilvl="1">
      <w:lvlJc w:val="left"/>
      <w:lvlText w:val="(%2)"/>
      <w:numFmt w:val="lowerLetter"/>
      <w:start w:val="17"/>
    </w:lvl>
  </w:abstractNum>
  <w:abstractNum w:abstractNumId="312">
    <w:nsid w:val="69321F16"/>
    <w:multiLevelType w:val="hybridMultilevel"/>
    <w:lvl w:ilvl="0">
      <w:lvlJc w:val="left"/>
      <w:lvlText w:val="(%1)"/>
      <w:numFmt w:val="lowerLetter"/>
      <w:start w:val="22"/>
    </w:lvl>
  </w:abstractNum>
  <w:abstractNum w:abstractNumId="313">
    <w:nsid w:val="2D96B714"/>
    <w:multiLevelType w:val="hybridMultilevel"/>
    <w:lvl w:ilvl="0">
      <w:lvlJc w:val="left"/>
      <w:lvlText w:val="(%1)"/>
      <w:numFmt w:val="lowerLetter"/>
      <w:start w:val="27"/>
    </w:lvl>
  </w:abstractNum>
  <w:abstractNum w:abstractNumId="314">
    <w:nsid w:val="3D76F9E2"/>
    <w:multiLevelType w:val="hybridMultilevel"/>
    <w:lvl w:ilvl="0">
      <w:lvlJc w:val="left"/>
      <w:lvlText w:val="%1"/>
      <w:numFmt w:val="lowerLetter"/>
      <w:start w:val="1"/>
    </w:lvl>
    <w:lvl w:ilvl="1">
      <w:lvlJc w:val="left"/>
      <w:lvlText w:val="(%2)"/>
      <w:numFmt w:val="lowerLetter"/>
      <w:start w:val="31"/>
    </w:lvl>
  </w:abstractNum>
  <w:abstractNum w:abstractNumId="315">
    <w:nsid w:val="124A2DF8"/>
    <w:multiLevelType w:val="hybridMultilevel"/>
    <w:lvl w:ilvl="0">
      <w:lvlJc w:val="left"/>
      <w:lvlText w:val="(%1)"/>
      <w:numFmt w:val="lowerLetter"/>
      <w:start w:val="35"/>
    </w:lvl>
    <w:lvl w:ilvl="1">
      <w:lvlJc w:val="left"/>
      <w:lvlText w:val="(%2)"/>
      <w:numFmt w:val="lowerLetter"/>
      <w:start w:val="32"/>
    </w:lvl>
  </w:abstractNum>
  <w:abstractNum w:abstractNumId="316">
    <w:nsid w:val="2A26C828"/>
    <w:multiLevelType w:val="hybridMultilevel"/>
    <w:lvl w:ilvl="0">
      <w:lvlJc w:val="left"/>
      <w:lvlText w:val="(%1)"/>
      <w:numFmt w:val="lowerLetter"/>
      <w:start w:val="44"/>
    </w:lvl>
  </w:abstractNum>
  <w:abstractNum w:abstractNumId="317">
    <w:nsid w:val="7FE72292"/>
    <w:multiLevelType w:val="hybridMultilevel"/>
    <w:lvl w:ilvl="0">
      <w:lvlJc w:val="left"/>
      <w:lvlText w:val="(%1)"/>
      <w:numFmt w:val="lowerLetter"/>
      <w:start w:val="1"/>
    </w:lvl>
  </w:abstractNum>
  <w:abstractNum w:abstractNumId="318">
    <w:nsid w:val="60C94A46"/>
    <w:multiLevelType w:val="hybridMultilevel"/>
    <w:lvl w:ilvl="0">
      <w:lvlJc w:val="left"/>
      <w:lvlText w:val="(%1)"/>
      <w:numFmt w:val="lowerLetter"/>
      <w:start w:val="4"/>
    </w:lvl>
  </w:abstractNum>
  <w:abstractNum w:abstractNumId="319">
    <w:nsid w:val="69D9E7A"/>
    <w:multiLevelType w:val="hybridMultilevel"/>
    <w:lvl w:ilvl="0">
      <w:lvlJc w:val="left"/>
      <w:lvlText w:val="(%1)"/>
      <w:numFmt w:val="lowerLetter"/>
      <w:start w:val="13"/>
    </w:lvl>
  </w:abstractNum>
  <w:abstractNum w:abstractNumId="320">
    <w:nsid w:val="7F05604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321">
    <w:nsid w:val="1D701BFF"/>
    <w:multiLevelType w:val="hybridMultilevel"/>
    <w:lvl w:ilvl="0">
      <w:lvlJc w:val="left"/>
      <w:lvlText w:val="%1"/>
      <w:numFmt w:val="lowerRoman"/>
      <w:start w:val="1"/>
    </w:lvl>
    <w:lvl w:ilvl="1">
      <w:lvlJc w:val="left"/>
      <w:lvlText w:val="(%2)"/>
      <w:numFmt w:val="upperLetter"/>
      <w:start w:val="2"/>
    </w:lvl>
  </w:abstractNum>
  <w:abstractNum w:abstractNumId="322">
    <w:nsid w:val="4A12EC32"/>
    <w:multiLevelType w:val="hybridMultilevel"/>
    <w:lvl w:ilvl="0">
      <w:lvlJc w:val="left"/>
      <w:lvlText w:val="(%1)"/>
      <w:numFmt w:val="lowerRoman"/>
      <w:start w:val="3"/>
    </w:lvl>
    <w:lvl w:ilvl="1">
      <w:lvlJc w:val="left"/>
      <w:lvlText w:val="%2"/>
      <w:numFmt w:val="upperLetter"/>
      <w:start w:val="1"/>
    </w:lvl>
  </w:abstractNum>
  <w:abstractNum w:abstractNumId="323">
    <w:nsid w:val="3F35DD67"/>
    <w:multiLevelType w:val="hybridMultilevel"/>
    <w:lvl w:ilvl="0">
      <w:lvlJc w:val="left"/>
      <w:lvlText w:val="(%1)"/>
      <w:numFmt w:val="lowerRoman"/>
      <w:start w:val="7"/>
    </w:lvl>
  </w:abstractNum>
  <w:abstractNum w:abstractNumId="324">
    <w:nsid w:val="2B66AC12"/>
    <w:multiLevelType w:val="hybridMultilevel"/>
    <w:lvl w:ilvl="0">
      <w:lvlJc w:val="left"/>
      <w:lvlText w:val="%1"/>
      <w:numFmt w:val="lowerLetter"/>
      <w:start w:val="1"/>
    </w:lvl>
    <w:lvl w:ilvl="1">
      <w:lvlJc w:val="left"/>
      <w:lvlText w:val="(%2)"/>
      <w:numFmt w:val="lowerRoman"/>
      <w:start w:val="16"/>
    </w:lvl>
  </w:abstractNum>
  <w:abstractNum w:abstractNumId="325">
    <w:nsid w:val="59F12779"/>
    <w:multiLevelType w:val="hybridMultilevel"/>
    <w:lvl w:ilvl="0">
      <w:lvlJc w:val="left"/>
      <w:lvlText w:val="(%1)"/>
      <w:numFmt w:val="lowerLetter"/>
      <w:start w:val="2"/>
    </w:lvl>
    <w:lvl w:ilvl="1">
      <w:lvlJc w:val="left"/>
      <w:lvlText w:val="(%2)"/>
      <w:numFmt w:val="lowerRoman"/>
      <w:start w:val="1"/>
    </w:lvl>
  </w:abstractNum>
  <w:abstractNum w:abstractNumId="326">
    <w:nsid w:val="452528CB"/>
    <w:multiLevelType w:val="hybridMultilevel"/>
    <w:lvl w:ilvl="0">
      <w:lvlJc w:val="left"/>
      <w:lvlText w:val="%1"/>
      <w:numFmt w:val="upperLetter"/>
      <w:start w:val="1"/>
    </w:lvl>
    <w:lvl w:ilvl="1">
      <w:lvlJc w:val="left"/>
      <w:lvlText w:val="(%2)"/>
      <w:numFmt w:val="lowerRoman"/>
      <w:start w:val="4"/>
    </w:lvl>
  </w:abstractNum>
  <w:abstractNum w:abstractNumId="327">
    <w:nsid w:val="4FBE108E"/>
    <w:multiLevelType w:val="hybridMultilevel"/>
    <w:lvl w:ilvl="0">
      <w:lvlJc w:val="left"/>
      <w:lvlText w:val="(%1)"/>
      <w:numFmt w:val="upperLetter"/>
      <w:start w:val="2"/>
    </w:lvl>
    <w:lvl w:ilvl="1">
      <w:lvlJc w:val="left"/>
      <w:lvlText w:val="(%2)"/>
      <w:numFmt w:val="lowerRoman"/>
      <w:start w:val="6"/>
    </w:lvl>
  </w:abstractNum>
  <w:abstractNum w:abstractNumId="328">
    <w:nsid w:val="60602E62"/>
    <w:multiLevelType w:val="hybridMultilevel"/>
    <w:lvl w:ilvl="0">
      <w:lvlJc w:val="left"/>
      <w:lvlText w:val="(%1)"/>
      <w:numFmt w:val="lowerLetter"/>
      <w:start w:val="1"/>
    </w:lvl>
  </w:abstractNum>
  <w:abstractNum w:abstractNumId="329">
    <w:nsid w:val="47D0D402"/>
    <w:multiLevelType w:val="hybridMultilevel"/>
    <w:lvl w:ilvl="0">
      <w:lvlJc w:val="left"/>
      <w:lvlText w:val="(%1)"/>
      <w:numFmt w:val="lowerLetter"/>
      <w:start w:val="9"/>
    </w:lvl>
  </w:abstractNum>
  <w:abstractNum w:abstractNumId="330">
    <w:nsid w:val="D1CD939"/>
    <w:multiLevelType w:val="hybridMultilevel"/>
    <w:lvl w:ilvl="0">
      <w:lvlJc w:val="left"/>
      <w:lvlText w:val="%1"/>
      <w:numFmt w:val="lowerLetter"/>
      <w:start w:val="1"/>
    </w:lvl>
    <w:lvl w:ilvl="1">
      <w:lvlJc w:val="left"/>
      <w:lvlText w:val="(%2)"/>
      <w:numFmt w:val="lowerLetter"/>
      <w:start w:val="17"/>
    </w:lvl>
    <w:lvl w:ilvl="2">
      <w:lvlJc w:val="left"/>
      <w:lvlText w:val="(%3)"/>
      <w:numFmt w:val="lowerRoman"/>
      <w:start w:val="1"/>
    </w:lvl>
  </w:abstractNum>
  <w:abstractNum w:abstractNumId="331">
    <w:nsid w:val="12552B10"/>
    <w:multiLevelType w:val="hybridMultilevel"/>
    <w:lvl w:ilvl="0">
      <w:lvlJc w:val="left"/>
      <w:lvlText w:val="(%1)"/>
      <w:numFmt w:val="lowerLetter"/>
      <w:start w:val="35"/>
    </w:lvl>
    <w:lvl w:ilvl="1">
      <w:lvlJc w:val="left"/>
      <w:lvlText w:val="(%2)"/>
      <w:numFmt w:val="lowerLetter"/>
      <w:start w:val="20"/>
    </w:lvl>
    <w:lvl w:ilvl="2">
      <w:lvlJc w:val="left"/>
      <w:lvlText w:val="%3"/>
      <w:numFmt w:val="lowerRoman"/>
      <w:start w:val="1"/>
    </w:lvl>
  </w:abstractNum>
  <w:abstractNum w:abstractNumId="332">
    <w:nsid w:val="F4E8872"/>
    <w:multiLevelType w:val="hybridMultilevel"/>
    <w:lvl w:ilvl="0">
      <w:lvlJc w:val="left"/>
      <w:lvlText w:val="(%1)"/>
      <w:numFmt w:val="lowerLetter"/>
      <w:start w:val="23"/>
    </w:lvl>
  </w:abstractNum>
  <w:abstractNum w:abstractNumId="333">
    <w:nsid w:val="5CF24B45"/>
    <w:multiLevelType w:val="hybridMultilevel"/>
    <w:lvl w:ilvl="0">
      <w:lvlJc w:val="left"/>
      <w:lvlText w:val="(%1)"/>
      <w:numFmt w:val="lowerLetter"/>
      <w:start w:val="25"/>
    </w:lvl>
  </w:abstractNum>
  <w:abstractNum w:abstractNumId="334">
    <w:nsid w:val="5F91BE56"/>
    <w:multiLevelType w:val="hybridMultilevel"/>
    <w:lvl w:ilvl="0">
      <w:lvlJc w:val="left"/>
      <w:lvlText w:val="(%1)"/>
      <w:numFmt w:val="lowerLetter"/>
      <w:start w:val="27"/>
    </w:lvl>
  </w:abstractNum>
  <w:abstractNum w:abstractNumId="335">
    <w:nsid w:val="3C3F0BFD"/>
    <w:multiLevelType w:val="hybridMultilevel"/>
    <w:lvl w:ilvl="0">
      <w:lvlJc w:val="left"/>
      <w:lvlText w:val="(%1)"/>
      <w:numFmt w:val="lowerLetter"/>
      <w:start w:val="34"/>
    </w:lvl>
  </w:abstractNum>
  <w:abstractNum w:abstractNumId="336">
    <w:nsid w:val="1B15D96C"/>
    <w:multiLevelType w:val="hybridMultilevel"/>
    <w:lvl w:ilvl="0">
      <w:lvlJc w:val="left"/>
      <w:lvlText w:val="(%1)"/>
      <w:numFmt w:val="lowerLetter"/>
      <w:start w:val="35"/>
    </w:lvl>
  </w:abstractNum>
  <w:abstractNum w:abstractNumId="337">
    <w:nsid w:val="7B469A23"/>
    <w:multiLevelType w:val="hybridMultilevel"/>
    <w:lvl w:ilvl="0">
      <w:lvlJc w:val="left"/>
      <w:lvlText w:val="(%1)"/>
      <w:numFmt w:val="lowerLetter"/>
      <w:start w:val="1"/>
    </w:lvl>
  </w:abstractNum>
  <w:abstractNum w:abstractNumId="338">
    <w:nsid w:val="21DCDBA0"/>
    <w:multiLevelType w:val="hybridMultilevel"/>
    <w:lvl w:ilvl="0">
      <w:lvlJc w:val="left"/>
      <w:lvlText w:val="%1"/>
      <w:numFmt w:val="lowerLetter"/>
      <w:start w:val="1"/>
    </w:lvl>
    <w:lvl w:ilvl="1">
      <w:lvlJc w:val="left"/>
      <w:lvlText w:val="(%2)"/>
      <w:numFmt w:val="lowerLetter"/>
      <w:start w:val="4"/>
    </w:lvl>
  </w:abstractNum>
  <w:abstractNum w:abstractNumId="339">
    <w:nsid w:val="220655C4"/>
    <w:multiLevelType w:val="hybridMultilevel"/>
    <w:lvl w:ilvl="0">
      <w:lvlJc w:val="left"/>
      <w:lvlText w:val="(%1)"/>
      <w:numFmt w:val="lowerLetter"/>
      <w:start w:val="35"/>
    </w:lvl>
    <w:lvl w:ilvl="1">
      <w:lvlJc w:val="left"/>
      <w:lvlText w:val="%2"/>
      <w:numFmt w:val="lowerLetter"/>
      <w:start w:val="1"/>
    </w:lvl>
  </w:abstractNum>
  <w:abstractNum w:abstractNumId="340">
    <w:nsid w:val="5CE60F5E"/>
    <w:multiLevelType w:val="hybridMultilevel"/>
    <w:lvl w:ilvl="0">
      <w:lvlJc w:val="left"/>
      <w:lvlText w:val="%1"/>
      <w:numFmt w:val="lowerLetter"/>
      <w:start w:val="1"/>
    </w:lvl>
    <w:lvl w:ilvl="1">
      <w:lvlJc w:val="left"/>
      <w:lvlText w:val="(%2)"/>
      <w:numFmt w:val="lowerLetter"/>
      <w:start w:val="9"/>
    </w:lvl>
  </w:abstractNum>
  <w:abstractNum w:abstractNumId="341">
    <w:nsid w:val="4B9A6638"/>
    <w:multiLevelType w:val="hybridMultilevel"/>
    <w:lvl w:ilvl="0">
      <w:lvlJc w:val="left"/>
      <w:lvlText w:val="(%1)"/>
      <w:numFmt w:val="lowerLetter"/>
      <w:start w:val="61"/>
    </w:lvl>
    <w:lvl w:ilvl="1">
      <w:lvlJc w:val="left"/>
      <w:lvlText w:val="(%2)"/>
      <w:numFmt w:val="lowerLetter"/>
      <w:start w:val="14"/>
    </w:lvl>
  </w:abstractNum>
  <w:abstractNum w:abstractNumId="342">
    <w:nsid w:val="2822BCA7"/>
    <w:multiLevelType w:val="hybridMultilevel"/>
    <w:lvl w:ilvl="0">
      <w:lvlJc w:val="left"/>
      <w:lvlText w:val="(%1)"/>
      <w:numFmt w:val="lowerLetter"/>
      <w:start w:val="18"/>
    </w:lvl>
  </w:abstractNum>
  <w:abstractNum w:abstractNumId="343">
    <w:nsid w:val="46182E75"/>
    <w:multiLevelType w:val="hybridMultilevel"/>
    <w:lvl w:ilvl="0">
      <w:lvlJc w:val="left"/>
      <w:lvlText w:val="(%1)"/>
      <w:numFmt w:val="lowerLetter"/>
      <w:start w:val="20"/>
    </w:lvl>
  </w:abstractNum>
  <w:abstractNum w:abstractNumId="344">
    <w:nsid w:val="79311D4C"/>
    <w:multiLevelType w:val="hybridMultilevel"/>
    <w:lvl w:ilvl="0">
      <w:lvlJc w:val="left"/>
      <w:lvlText w:val="(%1)"/>
      <w:numFmt w:val="lowerLetter"/>
      <w:start w:val="27"/>
    </w:lvl>
  </w:abstractNum>
  <w:abstractNum w:abstractNumId="345">
    <w:nsid w:val="6599B689"/>
    <w:multiLevelType w:val="hybridMultilevel"/>
    <w:lvl w:ilvl="0">
      <w:lvlJc w:val="left"/>
      <w:lvlText w:val="(%1)"/>
      <w:numFmt w:val="lowerLetter"/>
      <w:start w:val="28"/>
    </w:lvl>
  </w:abstractNum>
  <w:abstractNum w:abstractNumId="346">
    <w:nsid w:val="58625C6D"/>
    <w:multiLevelType w:val="hybridMultilevel"/>
    <w:lvl w:ilvl="0">
      <w:lvlJc w:val="left"/>
      <w:lvlText w:val="(%1)"/>
      <w:numFmt w:val="lowerLetter"/>
      <w:start w:val="1"/>
    </w:lvl>
  </w:abstractNum>
  <w:abstractNum w:abstractNumId="347">
    <w:nsid w:val="2357E574"/>
    <w:multiLevelType w:val="hybridMultilevel"/>
    <w:lvl w:ilvl="0">
      <w:lvlJc w:val="left"/>
      <w:lvlText w:val="(%1)"/>
      <w:numFmt w:val="lowerLetter"/>
      <w:start w:val="3"/>
    </w:lvl>
  </w:abstractNum>
  <w:abstractNum w:abstractNumId="348">
    <w:nsid w:val="6580D91B"/>
    <w:multiLevelType w:val="hybridMultilevel"/>
    <w:lvl w:ilvl="0">
      <w:lvlJc w:val="left"/>
      <w:lvlText w:val="(%1)"/>
      <w:numFmt w:val="lowerLetter"/>
      <w:start w:val="14"/>
    </w:lvl>
  </w:abstractNum>
  <w:abstractNum w:abstractNumId="349">
    <w:nsid w:val="392BA6B3"/>
    <w:multiLevelType w:val="hybridMultilevel"/>
    <w:lvl w:ilvl="0">
      <w:lvlJc w:val="left"/>
      <w:lvlText w:val="(%1)"/>
      <w:numFmt w:val="lowerLetter"/>
      <w:start w:val="1"/>
    </w:lvl>
  </w:abstractNum>
  <w:abstractNum w:abstractNumId="350">
    <w:nsid w:val="29F583EF"/>
    <w:multiLevelType w:val="hybridMultilevel"/>
    <w:lvl w:ilvl="0">
      <w:lvlJc w:val="left"/>
      <w:lvlText w:val="(%1)"/>
      <w:numFmt w:val="lowerLetter"/>
      <w:start w:val="1"/>
    </w:lvl>
  </w:abstractNum>
  <w:abstractNum w:abstractNumId="351">
    <w:nsid w:val="6486395B"/>
    <w:multiLevelType w:val="hybridMultilevel"/>
    <w:lvl w:ilvl="0">
      <w:lvlJc w:val="left"/>
      <w:lvlText w:val="(%1)"/>
      <w:numFmt w:val="lowerLetter"/>
      <w:start w:val="3"/>
    </w:lvl>
  </w:abstractNum>
  <w:abstractNum w:abstractNumId="352">
    <w:nsid w:val="569BC2B2"/>
    <w:multiLevelType w:val="hybridMultilevel"/>
    <w:lvl w:ilvl="0">
      <w:lvlJc w:val="left"/>
      <w:lvlText w:val="(%1)"/>
      <w:numFmt w:val="lowerLetter"/>
      <w:start w:val="1"/>
    </w:lvl>
  </w:abstractNum>
  <w:abstractNum w:abstractNumId="353">
    <w:nsid w:val="74087021"/>
    <w:multiLevelType w:val="hybridMultilevel"/>
    <w:lvl w:ilvl="0">
      <w:lvlJc w:val="left"/>
      <w:lvlText w:val="%1"/>
      <w:numFmt w:val="lowerRoman"/>
      <w:start w:val="1"/>
    </w:lvl>
    <w:lvl w:ilvl="1">
      <w:lvlJc w:val="left"/>
      <w:lvlText w:val="(%2)"/>
      <w:numFmt w:val="lowerLetter"/>
      <w:start w:val="5"/>
    </w:lvl>
  </w:abstractNum>
  <w:abstractNum w:abstractNumId="354">
    <w:nsid w:val="23BC16C2"/>
    <w:multiLevelType w:val="hybridMultilevel"/>
    <w:lvl w:ilvl="0">
      <w:lvlJc w:val="left"/>
      <w:lvlText w:val="(%1)"/>
      <w:numFmt w:val="lowerRoman"/>
      <w:start w:val="1"/>
    </w:lvl>
    <w:lvl w:ilvl="1">
      <w:lvlJc w:val="left"/>
      <w:lvlText w:val="%2"/>
      <w:numFmt w:val="lowerLetter"/>
      <w:start w:val="1"/>
    </w:lvl>
  </w:abstractNum>
  <w:abstractNum w:abstractNumId="355">
    <w:nsid w:val="2026EC5"/>
    <w:multiLevelType w:val="hybridMultilevel"/>
    <w:lvl w:ilvl="0">
      <w:lvlJc w:val="left"/>
      <w:lvlText w:val="(%1)"/>
      <w:numFmt w:val="lowerRoman"/>
      <w:start w:val="3"/>
    </w:lvl>
    <w:lvl w:ilvl="1">
      <w:lvlJc w:val="left"/>
      <w:lvlText w:val="(%2)"/>
      <w:numFmt w:val="lowerLetter"/>
      <w:start w:val="6"/>
    </w:lvl>
  </w:abstractNum>
  <w:abstractNum w:abstractNumId="356">
    <w:nsid w:val="4DF9979A"/>
    <w:multiLevelType w:val="hybridMultilevel"/>
    <w:lvl w:ilvl="0">
      <w:lvlJc w:val="left"/>
      <w:lvlText w:val="(%1)"/>
      <w:numFmt w:val="lowerLetter"/>
      <w:start w:val="1"/>
    </w:lvl>
  </w:abstractNum>
  <w:abstractNum w:abstractNumId="357">
    <w:nsid w:val="68E13F8E"/>
    <w:multiLevelType w:val="hybridMultilevel"/>
    <w:lvl w:ilvl="0">
      <w:lvlJc w:val="left"/>
      <w:lvlText w:val="(%1)"/>
      <w:numFmt w:val="lowerLetter"/>
      <w:start w:val="3"/>
    </w:lvl>
  </w:abstractNum>
  <w:abstractNum w:abstractNumId="358">
    <w:nsid w:val="51C07F53"/>
    <w:multiLevelType w:val="hybridMultilevel"/>
    <w:lvl w:ilvl="0">
      <w:lvlJc w:val="left"/>
      <w:lvlText w:val="(%1)"/>
      <w:numFmt w:val="lowerLetter"/>
      <w:start w:val="1"/>
    </w:lvl>
  </w:abstractNum>
  <w:abstractNum w:abstractNumId="359">
    <w:nsid w:val="2E59C5FD"/>
    <w:multiLevelType w:val="hybridMultilevel"/>
    <w:lvl w:ilvl="0">
      <w:lvlJc w:val="left"/>
      <w:lvlText w:val="(%1)"/>
      <w:numFmt w:val="lowerLetter"/>
      <w:start w:val="24"/>
    </w:lvl>
    <w:lvl w:ilvl="1">
      <w:lvlJc w:val="left"/>
      <w:lvlText w:val="(%2)"/>
      <w:numFmt w:val="lowerLetter"/>
      <w:start w:val="2"/>
    </w:lvl>
  </w:abstractNum>
  <w:abstractNum w:abstractNumId="360">
    <w:nsid w:val="30B21390"/>
    <w:multiLevelType w:val="hybridMultilevel"/>
    <w:lvl w:ilvl="0">
      <w:lvlJc w:val="left"/>
      <w:lvlText w:val="(%1)"/>
      <w:numFmt w:val="lowerLetter"/>
      <w:start w:val="2"/>
    </w:lvl>
    <w:lvl w:ilvl="1">
      <w:lvlJc w:val="left"/>
      <w:lvlText w:val="(%2)"/>
      <w:numFmt w:val="lowerLetter"/>
      <w:start w:val="3"/>
    </w:lvl>
  </w:abstractNum>
  <w:abstractNum w:abstractNumId="361">
    <w:nsid w:val="5EDD588C"/>
    <w:multiLevelType w:val="hybridMultilevel"/>
    <w:lvl w:ilvl="0">
      <w:lvlJc w:val="left"/>
      <w:lvlText w:val="(%1)"/>
      <w:numFmt w:val="lowerLetter"/>
      <w:start w:val="4"/>
    </w:lvl>
  </w:abstractNum>
  <w:abstractNum w:abstractNumId="362">
    <w:nsid w:val="40AEF10D"/>
    <w:multiLevelType w:val="hybridMultilevel"/>
    <w:lvl w:ilvl="0">
      <w:lvlJc w:val="left"/>
      <w:lvlText w:val="(%1)"/>
      <w:numFmt w:val="lowerLetter"/>
      <w:start w:val="8"/>
    </w:lvl>
  </w:abstractNum>
  <w:abstractNum w:abstractNumId="363">
    <w:nsid w:val="40009C03"/>
    <w:multiLevelType w:val="hybridMultilevel"/>
    <w:lvl w:ilvl="0">
      <w:lvlJc w:val="left"/>
      <w:lvlText w:val="(%1)"/>
      <w:numFmt w:val="decimal"/>
      <w:start w:val="1"/>
    </w:lvl>
  </w:abstractNum>
  <w:abstractNum w:abstractNumId="364">
    <w:nsid w:val="3BCFA3D1"/>
    <w:multiLevelType w:val="hybridMultilevel"/>
    <w:lvl w:ilvl="0">
      <w:lvlJc w:val="left"/>
      <w:lvlText w:val="(%1)"/>
      <w:numFmt w:val="lowerLetter"/>
      <w:start w:val="2"/>
    </w:lvl>
  </w:abstractNum>
  <w:abstractNum w:abstractNumId="365">
    <w:nsid w:val="2040AF63"/>
    <w:multiLevelType w:val="hybridMultilevel"/>
    <w:lvl w:ilvl="0">
      <w:lvlJc w:val="left"/>
      <w:lvlText w:val="(%1)"/>
      <w:numFmt w:val="decimal"/>
      <w:start w:val="2"/>
    </w:lvl>
  </w:abstractNum>
  <w:abstractNum w:abstractNumId="366">
    <w:nsid w:val="7C3FA800"/>
    <w:multiLevelType w:val="hybridMultilevel"/>
    <w:lvl w:ilvl="0">
      <w:lvlJc w:val="left"/>
      <w:lvlText w:val="(%1)"/>
      <w:numFmt w:val="lowerLetter"/>
      <w:start w:val="1"/>
    </w:lvl>
  </w:abstractNum>
  <w:abstractNum w:abstractNumId="367">
    <w:nsid w:val="56E57D3D"/>
    <w:multiLevelType w:val="hybridMultilevel"/>
    <w:lvl w:ilvl="0">
      <w:lvlJc w:val="left"/>
      <w:lvlText w:val="(%1)"/>
      <w:numFmt w:val="lowerRoman"/>
      <w:start w:val="1"/>
    </w:lvl>
  </w:abstractNum>
  <w:abstractNum w:abstractNumId="368">
    <w:nsid w:val="1B874986"/>
    <w:multiLevelType w:val="hybridMultilevel"/>
    <w:lvl w:ilvl="0">
      <w:lvlJc w:val="left"/>
      <w:lvlText w:val="(%1)"/>
      <w:numFmt w:val="lowerLetter"/>
      <w:start w:val="1"/>
    </w:lvl>
  </w:abstractNum>
  <w:abstractNum w:abstractNumId="369">
    <w:nsid w:val="1E1C83A1"/>
    <w:multiLevelType w:val="hybridMultilevel"/>
    <w:lvl w:ilvl="0">
      <w:lvlJc w:val="left"/>
      <w:lvlText w:val="%1"/>
      <w:numFmt w:val="upperLetter"/>
      <w:start w:val="1"/>
    </w:lvl>
    <w:lvl w:ilvl="1">
      <w:lvlJc w:val="left"/>
      <w:lvlText w:val="(%2)"/>
      <w:numFmt w:val="lowerLetter"/>
      <w:start w:val="2"/>
    </w:lvl>
  </w:abstractNum>
  <w:abstractNum w:abstractNumId="370">
    <w:nsid w:val="78EBD301"/>
    <w:multiLevelType w:val="hybridMultilevel"/>
    <w:lvl w:ilvl="0">
      <w:lvlJc w:val="left"/>
      <w:lvlText w:val="(%1)"/>
      <w:numFmt w:val="upperLetter"/>
      <w:start w:val="2"/>
    </w:lvl>
    <w:lvl w:ilvl="1">
      <w:lvlJc w:val="left"/>
      <w:lvlText w:val="(%2)"/>
      <w:numFmt w:val="lowerLetter"/>
      <w:start w:val="3"/>
    </w:lvl>
  </w:abstractNum>
  <w:abstractNum w:abstractNumId="371">
    <w:nsid w:val="786D58E4"/>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372">
    <w:nsid w:val="69B6E9D9"/>
    <w:multiLevelType w:val="hybridMultilevel"/>
    <w:lvl w:ilvl="0">
      <w:lvlJc w:val="left"/>
      <w:lvlText w:val="%1"/>
      <w:numFmt w:val="lowerRoman"/>
      <w:start w:val="1"/>
    </w:lvl>
    <w:lvl w:ilvl="1">
      <w:lvlJc w:val="left"/>
      <w:lvlText w:val="(%2)"/>
      <w:numFmt w:val="lowerLetter"/>
      <w:start w:val="9"/>
    </w:lvl>
    <w:lvl w:ilvl="2">
      <w:lvlJc w:val="left"/>
      <w:lvlText w:val="(%3)"/>
      <w:numFmt w:val="lowerRoman"/>
      <w:start w:val="2"/>
    </w:lvl>
  </w:abstractNum>
  <w:abstractNum w:abstractNumId="373">
    <w:nsid w:val="210E8FA8"/>
    <w:multiLevelType w:val="hybridMultilevel"/>
    <w:lvl w:ilvl="0">
      <w:lvlJc w:val="left"/>
      <w:lvlText w:val="%1"/>
      <w:numFmt w:val="lowerLetter"/>
      <w:start w:val="1"/>
    </w:lvl>
    <w:lvl w:ilvl="1">
      <w:lvlJc w:val="left"/>
      <w:lvlText w:val="(%2)"/>
      <w:numFmt w:val="lowerLetter"/>
      <w:start w:val="2"/>
    </w:lvl>
  </w:abstractNum>
  <w:abstractNum w:abstractNumId="374">
    <w:nsid w:val="3E858759"/>
    <w:multiLevelType w:val="hybridMultilevel"/>
    <w:lvl w:ilvl="0">
      <w:lvlJc w:val="left"/>
      <w:lvlText w:val="(%1)"/>
      <w:numFmt w:val="lowerLetter"/>
      <w:start w:val="9"/>
    </w:lvl>
    <w:lvl w:ilvl="1">
      <w:lvlJc w:val="left"/>
      <w:lvlText w:val="(%2)"/>
      <w:numFmt w:val="lowerLetter"/>
      <w:start w:val="3"/>
    </w:lvl>
  </w:abstractNum>
  <w:abstractNum w:abstractNumId="375">
    <w:nsid w:val="62E80725"/>
    <w:multiLevelType w:val="hybridMultilevel"/>
    <w:lvl w:ilvl="0">
      <w:lvlJc w:val="left"/>
      <w:lvlText w:val="(%1)"/>
      <w:numFmt w:val="lowerLetter"/>
      <w:start w:val="1"/>
    </w:lvl>
  </w:abstractNum>
  <w:abstractNum w:abstractNumId="376">
    <w:nsid w:val="6A84631"/>
    <w:multiLevelType w:val="hybridMultilevel"/>
    <w:lvl w:ilvl="0">
      <w:lvlJc w:val="left"/>
      <w:lvlText w:val="(%1)"/>
      <w:numFmt w:val="upperLetter"/>
      <w:start w:val="1"/>
    </w:lvl>
    <w:lvl w:ilvl="1">
      <w:lvlJc w:val="left"/>
      <w:lvlText w:val="(%2)"/>
      <w:numFmt w:val="decimal"/>
      <w:start w:val="1"/>
    </w:lvl>
  </w:abstractNum>
  <w:abstractNum w:abstractNumId="377">
    <w:nsid w:val="16E7E3C7"/>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
    </w:lvl>
  </w:abstractNum>
  <w:abstractNum w:abstractNumId="378">
    <w:nsid w:val="63FEC9A"/>
    <w:multiLevelType w:val="hybridMultilevel"/>
    <w:lvl w:ilvl="0">
      <w:lvlJc w:val="left"/>
      <w:lvlText w:val="%1"/>
      <w:numFmt w:val="upperLetter"/>
      <w:start w:val="1"/>
    </w:lvl>
    <w:lvl w:ilvl="1">
      <w:lvlJc w:val="left"/>
      <w:lvlText w:val="(%2)"/>
      <w:numFmt w:val="lowerLetter"/>
      <w:start w:val="25"/>
    </w:lvl>
    <w:lvl w:ilvl="2">
      <w:lvlJc w:val="left"/>
      <w:lvlText w:val="%3"/>
      <w:numFmt w:val="decimal"/>
      <w:start w:val="1"/>
    </w:lvl>
  </w:abstractNum>
  <w:abstractNum w:abstractNumId="379">
    <w:nsid w:val="6C291F4C"/>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380">
    <w:nsid w:val="50138A7A"/>
    <w:multiLevelType w:val="hybridMultilevel"/>
    <w:lvl w:ilvl="0">
      <w:lvlJc w:val="left"/>
      <w:lvlText w:val="%1"/>
      <w:numFmt w:val="lowerRoman"/>
      <w:start w:val="1"/>
    </w:lvl>
    <w:lvl w:ilvl="1">
      <w:lvlJc w:val="left"/>
      <w:lvlText w:val="(%2)"/>
      <w:numFmt w:val="upperLetter"/>
      <w:start w:val="3"/>
    </w:lvl>
  </w:abstractNum>
  <w:abstractNum w:abstractNumId="381">
    <w:nsid w:val="30357089"/>
    <w:multiLevelType w:val="hybridMultilevel"/>
    <w:lvl w:ilvl="0">
      <w:lvlJc w:val="left"/>
      <w:lvlText w:val="(%1)"/>
      <w:numFmt w:val="lowerRoman"/>
      <w:start w:val="10"/>
    </w:lvl>
    <w:lvl w:ilvl="1">
      <w:lvlJc w:val="left"/>
      <w:lvlText w:val="(%2)"/>
      <w:numFmt w:val="upperLetter"/>
      <w:start w:val="5"/>
    </w:lvl>
  </w:abstractNum>
  <w:abstractNum w:abstractNumId="382">
    <w:nsid w:val="50AF58A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4"/>
    </w:lvl>
    <w:lvl w:ilvl="3">
      <w:lvlJc w:val="left"/>
      <w:lvlText w:val="(%4)"/>
      <w:numFmt w:val="upperLetter"/>
      <w:start w:val="1"/>
    </w:lvl>
  </w:abstractNum>
  <w:abstractNum w:abstractNumId="383">
    <w:nsid w:val="26AF4D2D"/>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3"/>
    </w:lvl>
  </w:abstractNum>
  <w:abstractNum w:abstractNumId="384">
    <w:nsid w:val="243DE0AA"/>
    <w:multiLevelType w:val="hybridMultilevel"/>
    <w:lvl w:ilvl="0">
      <w:lvlJc w:val="left"/>
      <w:lvlText w:val="(%1)"/>
      <w:numFmt w:val="upperLetter"/>
      <w:start w:val="1"/>
    </w:lvl>
    <w:lvl w:ilvl="1">
      <w:lvlJc w:val="left"/>
      <w:lvlText w:val="(%2)"/>
      <w:numFmt w:val="upperLetter"/>
      <w:start w:val="7"/>
    </w:lvl>
  </w:abstractNum>
  <w:abstractNum w:abstractNumId="385">
    <w:nsid w:val="746B6F6A"/>
    <w:multiLevelType w:val="hybridMultilevel"/>
    <w:lvl w:ilvl="0">
      <w:lvlJc w:val="left"/>
      <w:lvlText w:val="%1"/>
      <w:numFmt w:val="lowerRoman"/>
      <w:start w:val="1"/>
    </w:lvl>
    <w:lvl w:ilvl="1">
      <w:lvlJc w:val="left"/>
      <w:lvlText w:val="(%2)"/>
      <w:numFmt w:val="upperLetter"/>
      <w:start w:val="8"/>
    </w:lvl>
  </w:abstractNum>
  <w:abstractNum w:abstractNumId="386">
    <w:nsid w:val="28B1BBF2"/>
    <w:multiLevelType w:val="hybridMultilevel"/>
    <w:lvl w:ilvl="0">
      <w:lvlJc w:val="left"/>
      <w:lvlText w:val="(%1)"/>
      <w:numFmt w:val="lowerRoman"/>
      <w:start w:val="2"/>
    </w:lvl>
    <w:lvl w:ilvl="1">
      <w:lvlJc w:val="left"/>
      <w:lvlText w:val="(%2)"/>
      <w:numFmt w:val="upperLetter"/>
      <w:start w:val="1"/>
    </w:lvl>
  </w:abstractNum>
  <w:abstractNum w:abstractNumId="387">
    <w:nsid w:val="72377844"/>
    <w:multiLevelType w:val="hybridMultilevel"/>
    <w:lvl w:ilvl="0">
      <w:lvlJc w:val="left"/>
      <w:lvlText w:val="%1"/>
      <w:numFmt w:val="lowerRoman"/>
      <w:start w:val="1"/>
    </w:lvl>
    <w:lvl w:ilvl="1">
      <w:lvlJc w:val="left"/>
      <w:lvlText w:val="(%2)"/>
      <w:numFmt w:val="upperLetter"/>
      <w:start w:val="5"/>
    </w:lvl>
  </w:abstractNum>
  <w:abstractNum w:abstractNumId="388">
    <w:nsid w:val="5D4CAEF8"/>
    <w:multiLevelType w:val="hybridMultilevel"/>
    <w:lvl w:ilvl="0">
      <w:lvlJc w:val="left"/>
      <w:lvlText w:val="(%1)"/>
      <w:numFmt w:val="lowerRoman"/>
      <w:start w:val="1"/>
    </w:lvl>
    <w:lvl w:ilvl="1">
      <w:lvlJc w:val="left"/>
      <w:lvlText w:val="%2"/>
      <w:numFmt w:val="upperLetter"/>
      <w:start w:val="1"/>
    </w:lvl>
  </w:abstractNum>
  <w:abstractNum w:abstractNumId="389">
    <w:nsid w:val="7A723B45"/>
    <w:multiLevelType w:val="hybridMultilevel"/>
    <w:lvl w:ilvl="0">
      <w:lvlJc w:val="left"/>
      <w:lvlText w:val="(%1)"/>
      <w:numFmt w:val="lowerRoman"/>
      <w:start w:val="3"/>
    </w:lvl>
    <w:lvl w:ilvl="1">
      <w:lvlJc w:val="left"/>
      <w:lvlText w:val="(%2)"/>
      <w:numFmt w:val="upperLetter"/>
      <w:start w:val="9"/>
    </w:lvl>
  </w:abstractNum>
  <w:abstractNum w:abstractNumId="390">
    <w:nsid w:val="20913E41"/>
    <w:multiLevelType w:val="hybridMultilevel"/>
    <w:lvl w:ilvl="0">
      <w:lvlJc w:val="left"/>
      <w:lvlText w:val="(%1)"/>
      <w:numFmt w:val="lowerLetter"/>
      <w:start w:val="4"/>
    </w:lvl>
  </w:abstractNum>
  <w:abstractNum w:abstractNumId="391">
    <w:nsid w:val="DFEC288"/>
    <w:multiLevelType w:val="hybridMultilevel"/>
    <w:lvl w:ilvl="0">
      <w:lvlJc w:val="left"/>
      <w:lvlText w:val="(%1)"/>
      <w:numFmt w:val="lowerRoman"/>
      <w:start w:val="2"/>
    </w:lvl>
  </w:abstractNum>
  <w:abstractNum w:abstractNumId="392">
    <w:nsid w:val="594F93D1"/>
    <w:multiLevelType w:val="hybridMultilevel"/>
    <w:lvl w:ilvl="0">
      <w:lvlJc w:val="left"/>
      <w:lvlText w:val="(%1)"/>
      <w:numFmt w:val="lowerRoman"/>
      <w:start w:val="4"/>
    </w:lvl>
  </w:abstractNum>
  <w:abstractNum w:abstractNumId="393">
    <w:nsid w:val="61402F4E"/>
    <w:multiLevelType w:val="hybridMultilevel"/>
    <w:lvl w:ilvl="0">
      <w:lvlJc w:val="left"/>
      <w:lvlText w:val="(%1)"/>
      <w:numFmt w:val="lowerLetter"/>
      <w:start w:val="1"/>
    </w:lvl>
  </w:abstractNum>
  <w:abstractNum w:abstractNumId="394">
    <w:nsid w:val="4DFF5E8B"/>
    <w:multiLevelType w:val="hybridMultilevel"/>
    <w:lvl w:ilvl="0">
      <w:lvlJc w:val="left"/>
      <w:lvlText w:val="(%1)"/>
      <w:numFmt w:val="lowerLetter"/>
      <w:start w:val="3"/>
    </w:lvl>
  </w:abstractNum>
  <w:abstractNum w:abstractNumId="395">
    <w:nsid w:val="151F37A3"/>
    <w:multiLevelType w:val="hybridMultilevel"/>
    <w:lvl w:ilvl="0">
      <w:lvlJc w:val="left"/>
      <w:lvlText w:val="(%1)"/>
      <w:numFmt w:val="lowerLetter"/>
      <w:start w:val="1"/>
    </w:lvl>
  </w:abstractNum>
  <w:abstractNum w:abstractNumId="396">
    <w:nsid w:val="180DEB1"/>
    <w:multiLevelType w:val="hybridMultilevel"/>
    <w:lvl w:ilvl="0">
      <w:lvlJc w:val="left"/>
      <w:lvlText w:val="(%1)"/>
      <w:numFmt w:val="lowerLetter"/>
      <w:start w:val="2"/>
    </w:lvl>
    <w:lvl w:ilvl="1">
      <w:lvlJc w:val="left"/>
      <w:lvlText w:val="(%2)"/>
      <w:numFmt w:val="lowerRoman"/>
      <w:start w:val="9"/>
    </w:lvl>
    <w:lvl w:ilvl="2">
      <w:lvlJc w:val="left"/>
      <w:lvlText w:val="(%3)"/>
      <w:numFmt w:val="upperLetter"/>
      <w:start w:val="1"/>
    </w:lvl>
  </w:abstractNum>
  <w:abstractNum w:abstractNumId="397">
    <w:nsid w:val="4A3F068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398">
    <w:nsid w:val="6C04B4E0"/>
    <w:multiLevelType w:val="hybridMultilevel"/>
    <w:lvl w:ilvl="0">
      <w:lvlJc w:val="left"/>
      <w:lvlText w:val="(%1)"/>
      <w:numFmt w:val="lowerRoman"/>
      <w:start w:val="2"/>
    </w:lvl>
    <w:lvl w:ilvl="1">
      <w:lvlJc w:val="left"/>
      <w:lvlText w:val="(%2)"/>
      <w:numFmt w:val="upperLetter"/>
      <w:start w:val="1"/>
    </w:lvl>
  </w:abstractNum>
  <w:abstractNum w:abstractNumId="399">
    <w:nsid w:val="1D082837"/>
    <w:multiLevelType w:val="hybridMultilevel"/>
    <w:lvl w:ilvl="0">
      <w:lvlJc w:val="left"/>
      <w:lvlText w:val="%1"/>
      <w:numFmt w:val="lowerRoman"/>
      <w:start w:val="1"/>
    </w:lvl>
    <w:lvl w:ilvl="1">
      <w:lvlJc w:val="left"/>
      <w:lvlText w:val="(%2)"/>
      <w:numFmt w:val="upperLetter"/>
      <w:start w:val="2"/>
    </w:lvl>
  </w:abstractNum>
  <w:abstractNum w:abstractNumId="400">
    <w:nsid w:val="685B8A2D"/>
    <w:multiLevelType w:val="hybridMultilevel"/>
    <w:lvl w:ilvl="0">
      <w:lvlJc w:val="left"/>
      <w:lvlText w:val="(%1)"/>
      <w:numFmt w:val="lowerRoman"/>
      <w:start w:val="3"/>
    </w:lvl>
    <w:lvl w:ilvl="1">
      <w:lvlJc w:val="left"/>
      <w:lvlText w:val="%2"/>
      <w:numFmt w:val="upperLetter"/>
      <w:start w:val="1"/>
    </w:lvl>
  </w:abstractNum>
  <w:abstractNum w:abstractNumId="401">
    <w:nsid w:val="64F087E2"/>
    <w:multiLevelType w:val="hybridMultilevel"/>
    <w:lvl w:ilvl="0">
      <w:lvlJc w:val="left"/>
      <w:lvlText w:val="%1"/>
      <w:numFmt w:val="lowerLetter"/>
      <w:start w:val="1"/>
    </w:lvl>
    <w:lvl w:ilvl="1">
      <w:lvlJc w:val="left"/>
      <w:lvlText w:val="(%2)"/>
      <w:numFmt w:val="lowerRoman"/>
      <w:start w:val="5"/>
    </w:lvl>
  </w:abstractNum>
  <w:abstractNum w:abstractNumId="402">
    <w:nsid w:val="1575811C"/>
    <w:multiLevelType w:val="hybridMultilevel"/>
    <w:lvl w:ilvl="0">
      <w:lvlJc w:val="left"/>
      <w:lvlText w:val="(%1)"/>
      <w:numFmt w:val="lowerLetter"/>
      <w:start w:val="3"/>
    </w:lvl>
    <w:lvl w:ilvl="1">
      <w:lvlJc w:val="left"/>
      <w:lvlText w:val="%2"/>
      <w:numFmt w:val="lowerRoman"/>
      <w:start w:val="1"/>
    </w:lvl>
  </w:abstractNum>
  <w:abstractNum w:abstractNumId="403">
    <w:nsid w:val="52127406"/>
    <w:multiLevelType w:val="hybridMultilevel"/>
    <w:lvl w:ilvl="0">
      <w:lvlJc w:val="left"/>
      <w:lvlText w:val="(%1)"/>
      <w:numFmt w:val="decimal"/>
      <w:start w:val="3"/>
    </w:lvl>
    <w:lvl w:ilvl="1">
      <w:lvlJc w:val="left"/>
      <w:lvlText w:val="(%2)"/>
      <w:numFmt w:val="lowerRoman"/>
      <w:start w:val="1"/>
    </w:lvl>
  </w:abstractNum>
  <w:abstractNum w:abstractNumId="404">
    <w:nsid w:val="5FF178A"/>
    <w:multiLevelType w:val="hybridMultilevel"/>
    <w:lvl w:ilvl="0">
      <w:lvlJc w:val="left"/>
      <w:lvlText w:val="(%1)"/>
      <w:numFmt w:val="lowerLetter"/>
      <w:start w:val="4"/>
    </w:lvl>
  </w:abstractNum>
  <w:abstractNum w:abstractNumId="405">
    <w:nsid w:val="53FB0875"/>
    <w:multiLevelType w:val="hybridMultilevel"/>
    <w:lvl w:ilvl="0">
      <w:lvlJc w:val="left"/>
      <w:lvlText w:val="(%1)"/>
      <w:numFmt w:val="lowerLetter"/>
      <w:start w:val="6"/>
    </w:lvl>
    <w:lvl w:ilvl="1">
      <w:lvlJc w:val="left"/>
      <w:lvlText w:val="(%2)"/>
      <w:numFmt w:val="lowerLetter"/>
      <w:start w:val="35"/>
    </w:lvl>
  </w:abstractNum>
  <w:abstractNum w:abstractNumId="406">
    <w:nsid w:val="34FA7B2B"/>
    <w:multiLevelType w:val="hybridMultilevel"/>
    <w:lvl w:ilvl="0">
      <w:lvlJc w:val="left"/>
      <w:lvlText w:val="(%1)"/>
      <w:numFmt w:val="lowerRoman"/>
      <w:start w:val="3"/>
    </w:lvl>
  </w:abstractNum>
  <w:abstractNum w:abstractNumId="407">
    <w:nsid w:val="CA75DBC"/>
    <w:multiLevelType w:val="hybridMultilevel"/>
    <w:lvl w:ilvl="0">
      <w:lvlJc w:val="left"/>
      <w:lvlText w:val="(%1)"/>
      <w:numFmt w:val="lowerLetter"/>
      <w:start w:val="7"/>
    </w:lvl>
    <w:lvl w:ilvl="1">
      <w:lvlJc w:val="left"/>
      <w:lvlText w:val="(%2)"/>
      <w:numFmt w:val="lowerRoman"/>
      <w:start w:val="1"/>
    </w:lvl>
  </w:abstractNum>
  <w:abstractNum w:abstractNumId="408">
    <w:nsid w:val="6AE2EC3C"/>
    <w:multiLevelType w:val="hybridMultilevel"/>
    <w:lvl w:ilvl="0">
      <w:lvlJc w:val="left"/>
      <w:lvlText w:val="(%1)"/>
      <w:numFmt w:val="lowerLetter"/>
      <w:start w:val="1"/>
    </w:lvl>
  </w:abstractNum>
  <w:abstractNum w:abstractNumId="409">
    <w:nsid w:val="3B3A67C5"/>
    <w:multiLevelType w:val="hybridMultilevel"/>
    <w:lvl w:ilvl="0">
      <w:lvlJc w:val="left"/>
      <w:lvlText w:val="(%1)"/>
      <w:numFmt w:val="lowerRoman"/>
      <w:start w:val="3"/>
    </w:lvl>
  </w:abstractNum>
  <w:abstractNum w:abstractNumId="410">
    <w:nsid w:val="78D07D08"/>
    <w:multiLevelType w:val="hybridMultilevel"/>
    <w:lvl w:ilvl="0">
      <w:lvlJc w:val="left"/>
      <w:lvlText w:val="(%1)"/>
      <w:numFmt w:val="lowerRoman"/>
      <w:start w:val="10"/>
    </w:lvl>
  </w:abstractNum>
  <w:abstractNum w:abstractNumId="411">
    <w:nsid w:val="3AF676B7"/>
    <w:multiLevelType w:val="hybridMultilevel"/>
    <w:lvl w:ilvl="0">
      <w:lvlJc w:val="left"/>
      <w:lvlText w:val="(%1)"/>
      <w:numFmt w:val="lowerLetter"/>
      <w:start w:val="1"/>
    </w:lvl>
  </w:abstractNum>
  <w:abstractNum w:abstractNumId="412">
    <w:nsid w:val="6B6FD84E"/>
    <w:multiLevelType w:val="hybridMultilevel"/>
    <w:lvl w:ilvl="0">
      <w:lvlJc w:val="left"/>
      <w:lvlText w:val="(%1)"/>
      <w:numFmt w:val="lowerLetter"/>
      <w:start w:val="1"/>
    </w:lvl>
  </w:abstractNum>
  <w:abstractNum w:abstractNumId="413">
    <w:nsid w:val="497FD5B0"/>
    <w:multiLevelType w:val="hybridMultilevel"/>
    <w:lvl w:ilvl="0">
      <w:lvlJc w:val="left"/>
      <w:lvlText w:val="%1"/>
      <w:numFmt w:val="lowerLetter"/>
      <w:start w:val="1"/>
    </w:lvl>
    <w:lvl w:ilvl="1">
      <w:lvlJc w:val="left"/>
      <w:lvlText w:val="(%2)"/>
      <w:numFmt w:val="lowerLetter"/>
      <w:start w:val="1"/>
    </w:lvl>
  </w:abstractNum>
  <w:abstractNum w:abstractNumId="414">
    <w:nsid w:val="61A5C3E4"/>
    <w:multiLevelType w:val="hybridMultilevel"/>
    <w:lvl w:ilvl="0">
      <w:lvlJc w:val="left"/>
      <w:lvlText w:val="(%1)"/>
      <w:numFmt w:val="lowerLetter"/>
      <w:start w:val="1"/>
    </w:lvl>
    <w:lvl w:ilvl="1">
      <w:lvlJc w:val="left"/>
      <w:lvlText w:val="(%2)"/>
      <w:numFmt w:val="lowerLetter"/>
      <w:start w:val="2"/>
    </w:lvl>
  </w:abstractNum>
  <w:abstractNum w:abstractNumId="415">
    <w:nsid w:val="FADB8F8"/>
    <w:multiLevelType w:val="hybridMultilevel"/>
    <w:lvl w:ilvl="0">
      <w:lvlJc w:val="left"/>
      <w:lvlText w:val="(%1)"/>
      <w:numFmt w:val="lowerLetter"/>
      <w:start w:val="1"/>
    </w:lvl>
    <w:lvl w:ilvl="1">
      <w:lvlJc w:val="left"/>
      <w:lvlText w:val="(%2)"/>
      <w:numFmt w:val="lowerRoman"/>
      <w:start w:val="1"/>
    </w:lvl>
  </w:abstractNum>
  <w:abstractNum w:abstractNumId="416">
    <w:nsid w:val="3DEB451A"/>
    <w:multiLevelType w:val="hybridMultilevel"/>
    <w:lvl w:ilvl="0">
      <w:lvlJc w:val="left"/>
      <w:lvlText w:val="(%1)"/>
      <w:numFmt w:val="lowerLetter"/>
      <w:start w:val="1"/>
    </w:lvl>
    <w:lvl w:ilvl="1">
      <w:lvlJc w:val="left"/>
      <w:lvlText w:val="(%2)"/>
      <w:numFmt w:val="lowerLetter"/>
      <w:start w:val="9"/>
    </w:lvl>
  </w:abstractNum>
  <w:abstractNum w:abstractNumId="417">
    <w:nsid w:val="A577FD6"/>
    <w:multiLevelType w:val="hybridMultilevel"/>
    <w:lvl w:ilvl="0">
      <w:lvlJc w:val="left"/>
      <w:lvlText w:val="%1"/>
      <w:numFmt w:val="lowerLetter"/>
      <w:start w:val="1"/>
    </w:lvl>
    <w:lvl w:ilvl="1">
      <w:lvlJc w:val="left"/>
      <w:lvlText w:val="(%2)"/>
      <w:numFmt w:val="lowerRoman"/>
      <w:start w:val="2"/>
    </w:lvl>
  </w:abstractNum>
  <w:abstractNum w:abstractNumId="418">
    <w:nsid w:val="1E5313D"/>
    <w:multiLevelType w:val="hybridMultilevel"/>
    <w:lvl w:ilvl="0">
      <w:lvlJc w:val="left"/>
      <w:lvlText w:val="(%1)"/>
      <w:numFmt w:val="lowerLetter"/>
      <w:start w:val="2"/>
    </w:lvl>
    <w:lvl w:ilvl="1">
      <w:lvlJc w:val="left"/>
      <w:lvlText w:val="%2"/>
      <w:numFmt w:val="lowerRoman"/>
      <w:start w:val="1"/>
    </w:lvl>
  </w:abstractNum>
  <w:abstractNum w:abstractNumId="419">
    <w:nsid w:val="1B37F412"/>
    <w:multiLevelType w:val="hybridMultilevel"/>
    <w:lvl w:ilvl="0">
      <w:lvlJc w:val="left"/>
      <w:lvlText w:val="(%1)"/>
      <w:numFmt w:val="lowerLetter"/>
      <w:start w:val="1"/>
    </w:lvl>
  </w:abstractNum>
  <w:abstractNum w:abstractNumId="420">
    <w:nsid w:val="4C9BB1B"/>
    <w:multiLevelType w:val="hybridMultilevel"/>
    <w:lvl w:ilvl="0">
      <w:lvlJc w:val="left"/>
      <w:lvlText w:val="(%1)"/>
      <w:numFmt w:val="lowerRoman"/>
      <w:start w:val="1"/>
    </w:lvl>
  </w:abstractNum>
  <w:abstractNum w:abstractNumId="421">
    <w:nsid w:val="22766F7E"/>
    <w:multiLevelType w:val="hybridMultilevel"/>
    <w:lvl w:ilvl="0">
      <w:lvlJc w:val="left"/>
      <w:lvlText w:val="(%1)"/>
      <w:numFmt w:val="lowerLetter"/>
      <w:start w:val="2"/>
    </w:lvl>
  </w:abstractNum>
  <w:abstractNum w:abstractNumId="422">
    <w:nsid w:val="2936B69A"/>
    <w:multiLevelType w:val="hybridMultilevel"/>
    <w:lvl w:ilvl="0">
      <w:lvlJc w:val="left"/>
      <w:lvlText w:val="(%1)"/>
      <w:numFmt w:val="lowerRoman"/>
      <w:start w:val="1"/>
    </w:lvl>
  </w:abstractNum>
  <w:abstractNum w:abstractNumId="423">
    <w:nsid w:val="5E194EEC"/>
    <w:multiLevelType w:val="hybridMultilevel"/>
    <w:lvl w:ilvl="0">
      <w:lvlJc w:val="left"/>
      <w:lvlText w:val="(%1)"/>
      <w:numFmt w:val="lowerRoman"/>
      <w:start w:val="2"/>
    </w:lvl>
    <w:lvl w:ilvl="1">
      <w:lvlJc w:val="left"/>
      <w:lvlText w:val="(%2)"/>
      <w:numFmt w:val="upperLetter"/>
      <w:start w:val="1"/>
    </w:lvl>
  </w:abstractNum>
  <w:abstractNum w:abstractNumId="424">
    <w:nsid w:val="3B69ECD"/>
    <w:multiLevelType w:val="hybridMultilevel"/>
    <w:lvl w:ilvl="0">
      <w:lvlJc w:val="left"/>
      <w:lvlText w:val="(%1)"/>
      <w:numFmt w:val="lowerRoman"/>
      <w:start w:val="3"/>
    </w:lvl>
  </w:abstractNum>
  <w:abstractNum w:abstractNumId="425">
    <w:nsid w:val="77361526"/>
    <w:multiLevelType w:val="hybridMultilevel"/>
    <w:lvl w:ilvl="0">
      <w:lvlJc w:val="left"/>
      <w:lvlText w:val="(%1)"/>
      <w:numFmt w:val="lowerRoman"/>
      <w:start w:val="4"/>
    </w:lvl>
    <w:lvl w:ilvl="1">
      <w:lvlJc w:val="left"/>
      <w:lvlText w:val="(%2)"/>
      <w:numFmt w:val="decimal"/>
      <w:start w:val="2"/>
    </w:lvl>
  </w:abstractNum>
  <w:abstractNum w:abstractNumId="426">
    <w:nsid w:val="7338868F"/>
    <w:multiLevelType w:val="hybridMultilevel"/>
    <w:lvl w:ilvl="0">
      <w:lvlJc w:val="left"/>
      <w:lvlText w:val="(%1)"/>
      <w:numFmt w:val="lowerRoman"/>
      <w:start w:val="5"/>
    </w:lvl>
  </w:abstractNum>
  <w:abstractNum w:abstractNumId="427">
    <w:nsid w:val="5377D7E"/>
    <w:multiLevelType w:val="hybridMultilevel"/>
    <w:lvl w:ilvl="0">
      <w:lvlJc w:val="left"/>
      <w:lvlText w:val="[***]"/>
      <w:numFmt w:val="bullet"/>
      <w:start w:val="1"/>
    </w:lvl>
  </w:abstractNum>
  <w:abstractNum w:abstractNumId="428">
    <w:nsid w:val="41751BB2"/>
    <w:multiLevelType w:val="hybridMultilevel"/>
    <w:lvl w:ilvl="0">
      <w:lvlJc w:val="left"/>
      <w:lvlText w:val="(%1)"/>
      <w:numFmt w:val="lowerRoman"/>
      <w:start w:val="2"/>
    </w:lvl>
    <w:lvl w:ilvl="1">
      <w:lvlJc w:val="left"/>
      <w:lvlText w:val="%2."/>
      <w:numFmt w:val="upperLetter"/>
      <w:start w:val="3"/>
    </w:lvl>
  </w:abstractNum>
  <w:abstractNum w:abstractNumId="429">
    <w:nsid w:val="5F3D3B70"/>
    <w:multiLevelType w:val="hybridMultilevel"/>
    <w:lvl w:ilvl="0">
      <w:lvlJc w:val="left"/>
      <w:lvlText w:val="%1"/>
      <w:numFmt w:val="upperLetter"/>
      <w:start w:val="1"/>
    </w:lvl>
    <w:lvl w:ilvl="1">
      <w:lvlJc w:val="left"/>
      <w:lvlText w:val="(%2)"/>
      <w:numFmt w:val="lowerLetter"/>
      <w:start w:val="1"/>
    </w:lvl>
  </w:abstractNum>
  <w:abstractNum w:abstractNumId="430">
    <w:nsid w:val="223FA5B6"/>
    <w:multiLevelType w:val="hybridMultilevel"/>
    <w:lvl w:ilvl="0">
      <w:lvlJc w:val="left"/>
      <w:lvlText w:val="(%1)"/>
      <w:numFmt w:val="upperLetter"/>
      <w:start w:val="2"/>
    </w:lvl>
    <w:lvl w:ilvl="1">
      <w:lvlJc w:val="left"/>
      <w:lvlText w:val="(%2)"/>
      <w:numFmt w:val="lowerLetter"/>
      <w:start w:val="2"/>
    </w:lvl>
  </w:abstractNum>
  <w:abstractNum w:abstractNumId="431">
    <w:nsid w:val="29D0A5DF"/>
    <w:multiLevelType w:val="hybridMultilevel"/>
    <w:lvl w:ilvl="0">
      <w:lvlJc w:val="left"/>
      <w:lvlText w:val="(%1)"/>
      <w:numFmt w:val="lowerRoman"/>
      <w:start w:val="1"/>
    </w:lvl>
  </w:abstractNum>
  <w:abstractNum w:abstractNumId="432">
    <w:nsid w:val="442DC352"/>
    <w:multiLevelType w:val="hybridMultilevel"/>
    <w:lvl w:ilvl="0">
      <w:lvlJc w:val="left"/>
      <w:lvlText w:val="(%1)"/>
      <w:numFmt w:val="lowerLetter"/>
      <w:start w:val="1"/>
    </w:lvl>
    <w:lvl w:ilvl="1">
      <w:lvlJc w:val="left"/>
      <w:lvlText w:val="(%2)"/>
      <w:numFmt w:val="lowerRoman"/>
      <w:start w:val="1"/>
    </w:lvl>
  </w:abstractNum>
  <w:abstractNum w:abstractNumId="433">
    <w:nsid w:val="37B526D2"/>
    <w:multiLevelType w:val="hybridMultilevel"/>
    <w:lvl w:ilvl="0">
      <w:lvlJc w:val="left"/>
      <w:lvlText w:val="%1"/>
      <w:numFmt w:val="lowerLetter"/>
      <w:start w:val="1"/>
    </w:lvl>
    <w:lvl w:ilvl="1">
      <w:lvlJc w:val="left"/>
      <w:lvlText w:val="(%2)"/>
      <w:numFmt w:val="lowerLetter"/>
      <w:start w:val="61"/>
    </w:lvl>
  </w:abstractNum>
  <w:abstractNum w:abstractNumId="434">
    <w:nsid w:val="7BE319E5"/>
    <w:multiLevelType w:val="hybridMultilevel"/>
    <w:lvl w:ilvl="0">
      <w:lvlJc w:val="left"/>
      <w:lvlText w:val="(%1)"/>
      <w:numFmt w:val="lowerLetter"/>
      <w:start w:val="23"/>
    </w:lvl>
    <w:lvl w:ilvl="1">
      <w:lvlJc w:val="left"/>
      <w:lvlText w:val="%2"/>
      <w:numFmt w:val="lowerLetter"/>
      <w:start w:val="1"/>
    </w:lvl>
  </w:abstractNum>
  <w:abstractNum w:abstractNumId="435">
    <w:nsid w:val="4A2CDADC"/>
    <w:multiLevelType w:val="hybridMultilevel"/>
    <w:lvl w:ilvl="0">
      <w:lvlJc w:val="left"/>
      <w:lvlText w:val="(%1)"/>
      <w:numFmt w:val="lowerLetter"/>
      <w:start w:val="25"/>
    </w:lvl>
    <w:lvl w:ilvl="1">
      <w:lvlJc w:val="left"/>
      <w:lvlText w:val="%2"/>
      <w:numFmt w:val="lowerLetter"/>
      <w:start w:val="1"/>
    </w:lvl>
  </w:abstractNum>
  <w:abstractNum w:abstractNumId="436">
    <w:nsid w:val="BB02F47"/>
    <w:multiLevelType w:val="hybridMultilevel"/>
    <w:lvl w:ilvl="0">
      <w:lvlJc w:val="left"/>
      <w:lvlText w:val="(%1)"/>
      <w:numFmt w:val="lowerRoman"/>
      <w:start w:val="4"/>
    </w:lvl>
  </w:abstractNum>
  <w:abstractNum w:abstractNumId="437">
    <w:nsid w:val="30DD9510"/>
    <w:multiLevelType w:val="hybridMultilevel"/>
    <w:lvl w:ilvl="0">
      <w:lvlJc w:val="left"/>
      <w:lvlText w:val="(%1)"/>
      <w:numFmt w:val="lowerRoman"/>
      <w:start w:val="5"/>
    </w:lvl>
  </w:abstractNum>
  <w:abstractNum w:abstractNumId="438">
    <w:nsid w:val="56D43898"/>
    <w:multiLevelType w:val="hybridMultilevel"/>
    <w:lvl w:ilvl="0">
      <w:lvlJc w:val="left"/>
      <w:lvlText w:val="(%1)"/>
      <w:numFmt w:val="lowerLetter"/>
      <w:start w:val="2"/>
    </w:lvl>
  </w:abstractNum>
  <w:abstractNum w:abstractNumId="439">
    <w:nsid w:val="76931B84"/>
    <w:multiLevelType w:val="hybridMultilevel"/>
    <w:lvl w:ilvl="0">
      <w:lvlJc w:val="left"/>
      <w:lvlText w:val="(%1)"/>
      <w:numFmt w:val="decimal"/>
      <w:start w:val="1"/>
    </w:lvl>
  </w:abstractNum>
  <w:abstractNum w:abstractNumId="440">
    <w:nsid w:val="6C17FCD6"/>
    <w:multiLevelType w:val="hybridMultilevel"/>
    <w:lvl w:ilvl="0">
      <w:lvlJc w:val="left"/>
      <w:lvlText w:val="(%1)"/>
      <w:numFmt w:val="lowerLetter"/>
      <w:start w:val="1"/>
    </w:lvl>
  </w:abstractNum>
  <w:abstractNum w:abstractNumId="441">
    <w:nsid w:val="4FA4B5A1"/>
    <w:multiLevelType w:val="hybridMultilevel"/>
    <w:lvl w:ilvl="0">
      <w:lvlJc w:val="left"/>
      <w:lvlText w:val="(%1)"/>
      <w:numFmt w:val="lowerRoman"/>
      <w:start w:val="2"/>
    </w:lvl>
  </w:abstractNum>
  <w:abstractNum w:abstractNumId="442">
    <w:nsid w:val="3189923B"/>
    <w:multiLevelType w:val="hybridMultilevel"/>
    <w:lvl w:ilvl="0">
      <w:lvlJc w:val="left"/>
      <w:lvlText w:val="(%1)"/>
      <w:numFmt w:val="lowerRoman"/>
      <w:start w:val="4"/>
    </w:lvl>
  </w:abstractNum>
  <w:abstractNum w:abstractNumId="443">
    <w:nsid w:val="5787D524"/>
    <w:multiLevelType w:val="hybridMultilevel"/>
    <w:lvl w:ilvl="0">
      <w:lvlJc w:val="left"/>
      <w:lvlText w:val="(%1)"/>
      <w:numFmt w:val="lowerLetter"/>
      <w:start w:val="4"/>
    </w:lvl>
  </w:abstractNum>
  <w:abstractNum w:abstractNumId="444">
    <w:nsid w:val="19248B51"/>
    <w:multiLevelType w:val="hybridMultilevel"/>
    <w:lvl w:ilvl="0">
      <w:lvlJc w:val="left"/>
      <w:lvlText w:val="%1"/>
      <w:numFmt w:val="upperLetter"/>
      <w:start w:val="1"/>
    </w:lvl>
    <w:lvl w:ilvl="1">
      <w:lvlJc w:val="left"/>
      <w:lvlText w:val="(%2)"/>
      <w:numFmt w:val="lowerLetter"/>
      <w:start w:val="1"/>
    </w:lvl>
  </w:abstractNum>
  <w:abstractNum w:abstractNumId="445">
    <w:nsid w:val="132F561F"/>
    <w:multiLevelType w:val="hybridMultilevel"/>
    <w:lvl w:ilvl="0">
      <w:lvlJc w:val="left"/>
      <w:lvlText w:val="(%1)"/>
      <w:numFmt w:val="upperLetter"/>
      <w:start w:val="3"/>
    </w:lvl>
    <w:lvl w:ilvl="1">
      <w:lvlJc w:val="left"/>
      <w:lvlText w:val="%2"/>
      <w:numFmt w:val="lowerLetter"/>
      <w:start w:val="1"/>
    </w:lvl>
  </w:abstractNum>
  <w:abstractNum w:abstractNumId="446">
    <w:nsid w:val="67358E1D"/>
    <w:multiLevelType w:val="hybridMultilevel"/>
    <w:lvl w:ilvl="0">
      <w:lvlJc w:val="left"/>
      <w:lvlText w:val="(%1)"/>
      <w:numFmt w:val="lowerLetter"/>
      <w:start w:val="2"/>
    </w:lvl>
    <w:lvl w:ilvl="1">
      <w:lvlJc w:val="left"/>
      <w:lvlText w:val="(%2)"/>
      <w:numFmt w:val="lowerRoman"/>
      <w:start w:val="1"/>
    </w:lvl>
  </w:abstractNum>
  <w:abstractNum w:abstractNumId="447">
    <w:nsid w:val="570FD06B"/>
    <w:multiLevelType w:val="hybridMultilevel"/>
    <w:lvl w:ilvl="0">
      <w:lvlJc w:val="left"/>
      <w:lvlText w:val="(%1)"/>
      <w:numFmt w:val="lowerRoman"/>
      <w:start w:val="4"/>
    </w:lvl>
  </w:abstractNum>
  <w:abstractNum w:abstractNumId="448">
    <w:nsid w:val="1D86D5F5"/>
    <w:multiLevelType w:val="hybridMultilevel"/>
    <w:lvl w:ilvl="0">
      <w:lvlJc w:val="left"/>
      <w:lvlText w:val="(%1)"/>
      <w:numFmt w:val="lowerRoman"/>
      <w:start w:val="20"/>
    </w:lvl>
    <w:lvl w:ilvl="1">
      <w:lvlJc w:val="left"/>
      <w:lvlText w:val="(%2)"/>
      <w:numFmt w:val="upperLetter"/>
      <w:start w:val="3"/>
    </w:lvl>
    <w:lvl w:ilvl="2">
      <w:lvlJc w:val="left"/>
      <w:lvlText w:val="(%3)"/>
      <w:numFmt w:val="lowerRoman"/>
      <w:start w:val="1"/>
    </w:lvl>
  </w:abstractNum>
  <w:abstractNum w:abstractNumId="449">
    <w:nsid w:val="691ABF5A"/>
    <w:multiLevelType w:val="hybridMultilevel"/>
    <w:lvl w:ilvl="0">
      <w:lvlJc w:val="left"/>
      <w:lvlText w:val="%1"/>
      <w:numFmt w:val="lowerRoman"/>
      <w:start w:val="1"/>
    </w:lvl>
    <w:lvl w:ilvl="1">
      <w:lvlJc w:val="left"/>
      <w:lvlText w:val="%2"/>
      <w:numFmt w:val="upperLetter"/>
      <w:start w:val="1"/>
    </w:lvl>
    <w:lvl w:ilvl="2">
      <w:lvlJc w:val="left"/>
      <w:lvlText w:val="(%3)"/>
      <w:numFmt w:val="lowerRoman"/>
      <w:start w:val="2"/>
    </w:lvl>
  </w:abstractNum>
  <w:abstractNum w:abstractNumId="450">
    <w:nsid w:val="7247C47D"/>
    <w:multiLevelType w:val="hybridMultilevel"/>
    <w:lvl w:ilvl="0">
      <w:lvlJc w:val="left"/>
      <w:lvlText w:val="%1"/>
      <w:numFmt w:val="upperLetter"/>
      <w:start w:val="1"/>
    </w:lvl>
    <w:lvl w:ilvl="1">
      <w:lvlJc w:val="left"/>
      <w:lvlText w:val="(%2)"/>
      <w:numFmt w:val="lowerRoman"/>
      <w:start w:val="6"/>
    </w:lvl>
  </w:abstractNum>
  <w:abstractNum w:abstractNumId="451">
    <w:nsid w:val="22509110"/>
    <w:multiLevelType w:val="hybridMultilevel"/>
    <w:lvl w:ilvl="0">
      <w:lvlJc w:val="left"/>
      <w:lvlText w:val="(%1)"/>
      <w:numFmt w:val="upperLetter"/>
      <w:start w:val="1"/>
    </w:lvl>
    <w:lvl w:ilvl="1">
      <w:lvlJc w:val="left"/>
      <w:lvlText w:val="(%2)"/>
      <w:numFmt w:val="lowerRoman"/>
      <w:start w:val="10"/>
    </w:lvl>
  </w:abstractNum>
  <w:abstractNum w:abstractNumId="452">
    <w:nsid w:val="B912ED8"/>
    <w:multiLevelType w:val="hybridMultilevel"/>
    <w:lvl w:ilvl="0">
      <w:lvlJc w:val="left"/>
      <w:lvlText w:val="%1"/>
      <w:numFmt w:val="upperLetter"/>
      <w:start w:val="1"/>
    </w:lvl>
    <w:lvl w:ilvl="1">
      <w:lvlJc w:val="left"/>
      <w:lvlText w:val="(%2)"/>
      <w:numFmt w:val="lowerRoman"/>
      <w:start w:val="11"/>
    </w:lvl>
  </w:abstractNum>
  <w:abstractNum w:abstractNumId="453">
    <w:nsid w:val="1B7E7B17"/>
    <w:multiLevelType w:val="hybridMultilevel"/>
    <w:lvl w:ilvl="0">
      <w:lvlJc w:val="left"/>
      <w:lvlText w:val="(%1)"/>
      <w:numFmt w:val="lowerRoman"/>
      <w:start w:val="12"/>
    </w:lvl>
  </w:abstractNum>
  <w:abstractNum w:abstractNumId="454">
    <w:nsid w:val="69DFFC"/>
    <w:multiLevelType w:val="hybridMultilevel"/>
    <w:lvl w:ilvl="0">
      <w:lvlJc w:val="left"/>
      <w:lvlText w:val="%1"/>
      <w:numFmt w:val="lowerLetter"/>
      <w:start w:val="1"/>
    </w:lvl>
    <w:lvl w:ilvl="1">
      <w:lvlJc w:val="left"/>
      <w:lvlText w:val="(%2)"/>
      <w:numFmt w:val="lowerRoman"/>
      <w:start w:val="1"/>
    </w:lvl>
  </w:abstractNum>
  <w:abstractNum w:abstractNumId="455">
    <w:nsid w:val="F47CDA5"/>
    <w:multiLevelType w:val="hybridMultilevel"/>
    <w:lvl w:ilvl="0">
      <w:lvlJc w:val="left"/>
      <w:lvlText w:val="(%1)"/>
      <w:numFmt w:val="lowerLetter"/>
      <w:start w:val="4"/>
    </w:lvl>
    <w:lvl w:ilvl="1">
      <w:lvlJc w:val="left"/>
      <w:lvlText w:val="%2"/>
      <w:numFmt w:val="lowerRoman"/>
      <w:start w:val="1"/>
    </w:lvl>
  </w:abstractNum>
  <w:abstractNum w:abstractNumId="456">
    <w:nsid w:val="12B4903D"/>
    <w:multiLevelType w:val="hybridMultilevel"/>
    <w:lvl w:ilvl="0">
      <w:lvlJc w:val="left"/>
      <w:lvlText w:val="%1"/>
      <w:numFmt w:val="lowerLetter"/>
      <w:start w:val="1"/>
    </w:lvl>
    <w:lvl w:ilvl="1">
      <w:lvlJc w:val="left"/>
      <w:lvlText w:val="(%2)"/>
      <w:numFmt w:val="lowerLetter"/>
      <w:start w:val="1"/>
    </w:lvl>
  </w:abstractNum>
  <w:abstractNum w:abstractNumId="457">
    <w:nsid w:val="73A2668C"/>
    <w:multiLevelType w:val="hybridMultilevel"/>
    <w:lvl w:ilvl="0">
      <w:lvlJc w:val="left"/>
      <w:lvlText w:val="(%1)"/>
      <w:numFmt w:val="lowerLetter"/>
      <w:start w:val="25"/>
    </w:lvl>
    <w:lvl w:ilvl="1">
      <w:lvlJc w:val="left"/>
      <w:lvlText w:val="(%2)"/>
      <w:numFmt w:val="lowerLetter"/>
      <w:start w:val="2"/>
    </w:lvl>
  </w:abstractNum>
  <w:abstractNum w:abstractNumId="458">
    <w:nsid w:val="147F4B24"/>
    <w:multiLevelType w:val="hybridMultilevel"/>
    <w:lvl w:ilvl="0">
      <w:lvlJc w:val="left"/>
      <w:lvlText w:val="%1"/>
      <w:numFmt w:val="lowerLetter"/>
      <w:start w:val="1"/>
    </w:lvl>
    <w:lvl w:ilvl="1">
      <w:lvlJc w:val="left"/>
      <w:lvlText w:val="(%2)"/>
      <w:numFmt w:val="lowerLetter"/>
      <w:start w:val="4"/>
    </w:lvl>
  </w:abstractNum>
  <w:abstractNum w:abstractNumId="459">
    <w:nsid w:val="5429ABEF"/>
    <w:multiLevelType w:val="hybridMultilevel"/>
    <w:lvl w:ilvl="0">
      <w:lvlJc w:val="left"/>
      <w:lvlText w:val="(%1)"/>
      <w:numFmt w:val="lowerLetter"/>
      <w:start w:val="35"/>
    </w:lvl>
    <w:lvl w:ilvl="1">
      <w:lvlJc w:val="left"/>
      <w:lvlText w:val="(%2)"/>
      <w:numFmt w:val="lowerLetter"/>
      <w:start w:val="8"/>
    </w:lvl>
  </w:abstractNum>
  <w:abstractNum w:abstractNumId="460">
    <w:nsid w:val="52DFA1FC"/>
    <w:multiLevelType w:val="hybridMultilevel"/>
    <w:lvl w:ilvl="0">
      <w:lvlJc w:val="left"/>
      <w:lvlText w:val="(%1)"/>
      <w:numFmt w:val="lowerLetter"/>
      <w:start w:val="61"/>
    </w:lvl>
    <w:lvl w:ilvl="1">
      <w:lvlJc w:val="left"/>
      <w:lvlText w:val="(%2)"/>
      <w:numFmt w:val="lowerLetter"/>
      <w:start w:val="9"/>
    </w:lvl>
  </w:abstractNum>
  <w:abstractNum w:abstractNumId="461">
    <w:nsid w:val="36BEF0DA"/>
    <w:multiLevelType w:val="hybridMultilevel"/>
    <w:lvl w:ilvl="0">
      <w:lvlJc w:val="left"/>
      <w:lvlText w:val="(%1)"/>
      <w:numFmt w:val="lowerLetter"/>
      <w:start w:val="10"/>
    </w:lvl>
  </w:abstractNum>
  <w:abstractNum w:abstractNumId="462">
    <w:nsid w:val="7DFA51CE"/>
    <w:multiLevelType w:val="hybridMultilevel"/>
    <w:lvl w:ilvl="0">
      <w:lvlJc w:val="left"/>
      <w:lvlText w:val="(%1)"/>
      <w:numFmt w:val="lowerLetter"/>
      <w:start w:val="17"/>
    </w:lvl>
  </w:abstractNum>
  <w:abstractNum w:abstractNumId="463">
    <w:nsid w:val="170D654E"/>
    <w:multiLevelType w:val="hybridMultilevel"/>
    <w:lvl w:ilvl="0">
      <w:lvlJc w:val="left"/>
      <w:lvlText w:val="(%1)"/>
      <w:numFmt w:val="lowerLetter"/>
      <w:start w:val="20"/>
    </w:lvl>
  </w:abstractNum>
  <w:abstractNum w:abstractNumId="464">
    <w:nsid w:val="6E7417AC"/>
    <w:multiLevelType w:val="hybridMultilevel"/>
    <w:lvl w:ilvl="0">
      <w:lvlJc w:val="left"/>
      <w:lvlText w:val="(%1)"/>
      <w:numFmt w:val="lowerRoman"/>
      <w:start w:val="9"/>
    </w:lvl>
  </w:abstractNum>
  <w:abstractNum w:abstractNumId="465">
    <w:nsid w:val="79DD6BB3"/>
    <w:multiLevelType w:val="hybridMultilevel"/>
    <w:lvl w:ilvl="0">
      <w:lvlJc w:val="left"/>
      <w:lvlText w:val="(%1)"/>
      <w:numFmt w:val="lowerRoman"/>
      <w:start w:val="2"/>
    </w:lvl>
  </w:abstractNum>
  <w:abstractNum w:abstractNumId="466">
    <w:nsid w:val="613A402A"/>
    <w:multiLevelType w:val="hybridMultilevel"/>
    <w:lvl w:ilvl="0">
      <w:lvlJc w:val="left"/>
      <w:lvlText w:val="(%1)"/>
      <w:numFmt w:val="lowerLetter"/>
      <w:start w:val="4"/>
    </w:lvl>
  </w:abstractNum>
  <w:abstractNum w:abstractNumId="467">
    <w:nsid w:val="7A2446F3"/>
    <w:multiLevelType w:val="hybridMultilevel"/>
    <w:lvl w:ilvl="0">
      <w:lvlJc w:val="left"/>
      <w:lvlText w:val="%1"/>
      <w:numFmt w:val="lowerLetter"/>
      <w:start w:val="1"/>
    </w:lvl>
    <w:lvl w:ilvl="1">
      <w:lvlJc w:val="left"/>
      <w:lvlText w:val="(%2)"/>
      <w:numFmt w:val="lowerLetter"/>
      <w:start w:val="1"/>
    </w:lvl>
  </w:abstractNum>
  <w:abstractNum w:abstractNumId="468">
    <w:nsid w:val="2ABB00C4"/>
    <w:multiLevelType w:val="hybridMultilevel"/>
    <w:lvl w:ilvl="0">
      <w:lvlJc w:val="left"/>
      <w:lvlText w:val="(%1)"/>
      <w:numFmt w:val="lowerLetter"/>
      <w:start w:val="9"/>
    </w:lvl>
    <w:lvl w:ilvl="1">
      <w:lvlJc w:val="left"/>
      <w:lvlText w:val="(%2)"/>
      <w:numFmt w:val="lowerLetter"/>
      <w:start w:val="2"/>
    </w:lvl>
  </w:abstractNum>
  <w:abstractNum w:abstractNumId="469">
    <w:nsid w:val="380E78C3"/>
    <w:multiLevelType w:val="hybridMultilevel"/>
    <w:lvl w:ilvl="0">
      <w:lvlJc w:val="left"/>
      <w:lvlText w:val="(%1)"/>
      <w:numFmt w:val="lowerLetter"/>
      <w:start w:val="1"/>
    </w:lvl>
  </w:abstractNum>
  <w:abstractNum w:abstractNumId="470">
    <w:nsid w:val="70B76277"/>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471">
    <w:nsid w:val="16D2FD9A"/>
    <w:multiLevelType w:val="hybridMultilevel"/>
    <w:lvl w:ilvl="0">
      <w:lvlJc w:val="left"/>
      <w:lvlText w:val="(%1)"/>
      <w:numFmt w:val="upperLetter"/>
      <w:start w:val="61"/>
    </w:lvl>
    <w:lvl w:ilvl="1">
      <w:lvlJc w:val="left"/>
      <w:lvlText w:val="(%2)"/>
      <w:numFmt w:val="lowerLetter"/>
      <w:start w:val="4"/>
    </w:lvl>
    <w:lvl w:ilvl="2">
      <w:lvlJc w:val="left"/>
      <w:lvlText w:val="(%3)"/>
      <w:numFmt w:val="lowerLetter"/>
      <w:start w:val="9"/>
    </w:lvl>
  </w:abstractNum>
  <w:abstractNum w:abstractNumId="472">
    <w:nsid w:val="7B32E64"/>
    <w:multiLevelType w:val="hybridMultilevel"/>
    <w:lvl w:ilvl="0">
      <w:lvlJc w:val="left"/>
      <w:lvlText w:val="(%1)"/>
      <w:numFmt w:val="lowerRoman"/>
      <w:start w:val="2"/>
    </w:lvl>
  </w:abstractNum>
  <w:abstractNum w:abstractNumId="473">
    <w:nsid w:val="2240F4B2"/>
    <w:multiLevelType w:val="hybridMultilevel"/>
    <w:lvl w:ilvl="0">
      <w:lvlJc w:val="left"/>
      <w:lvlText w:val="(%1)"/>
      <w:numFmt w:val="lowerRoman"/>
      <w:start w:val="1"/>
    </w:lvl>
  </w:abstractNum>
  <w:abstractNum w:abstractNumId="474">
    <w:nsid w:val="6E5AD2BE"/>
    <w:multiLevelType w:val="hybridMultilevel"/>
    <w:lvl w:ilvl="0">
      <w:lvlJc w:val="left"/>
      <w:lvlText w:val="(%1)"/>
      <w:numFmt w:val="lowerLetter"/>
      <w:start w:val="1"/>
    </w:lvl>
    <w:lvl w:ilvl="1">
      <w:lvlJc w:val="left"/>
      <w:lvlText w:val="(%2)"/>
      <w:numFmt w:val="lowerRoman"/>
      <w:start w:val="1"/>
    </w:lvl>
  </w:abstractNum>
  <w:abstractNum w:abstractNumId="475">
    <w:nsid w:val="20D7B9B5"/>
    <w:multiLevelType w:val="hybridMultilevel"/>
    <w:lvl w:ilvl="0">
      <w:lvlJc w:val="left"/>
      <w:lvlText w:val="(%1)"/>
      <w:numFmt w:val="lowerRoman"/>
      <w:start w:val="4"/>
    </w:lvl>
  </w:abstractNum>
  <w:abstractNum w:abstractNumId="476">
    <w:nsid w:val="35704AD1"/>
    <w:multiLevelType w:val="hybridMultilevel"/>
    <w:lvl w:ilvl="0">
      <w:lvlJc w:val="left"/>
      <w:lvlText w:val="(%1)"/>
      <w:numFmt w:val="lowerRoman"/>
      <w:start w:val="13"/>
    </w:lvl>
  </w:abstractNum>
  <w:abstractNum w:abstractNumId="477">
    <w:nsid w:val="559060DB"/>
    <w:multiLevelType w:val="hybridMultilevel"/>
    <w:lvl w:ilvl="0">
      <w:lvlJc w:val="left"/>
      <w:lvlText w:val="%1"/>
      <w:numFmt w:val="decimal"/>
      <w:start w:val="1"/>
    </w:lvl>
    <w:lvl w:ilvl="1">
      <w:lvlJc w:val="left"/>
      <w:lvlText w:val="(%2)"/>
      <w:numFmt w:val="decimal"/>
      <w:start w:val="1"/>
    </w:lvl>
  </w:abstractNum>
  <w:abstractNum w:abstractNumId="478">
    <w:nsid w:val="77E78A20"/>
    <w:multiLevelType w:val="hybridMultilevel"/>
    <w:lvl w:ilvl="0">
      <w:lvlJc w:val="left"/>
      <w:lvlText w:val="(%1)"/>
      <w:numFmt w:val="decimal"/>
      <w:start w:val="1"/>
    </w:lvl>
    <w:lvl w:ilvl="1">
      <w:lvlJc w:val="left"/>
      <w:lvlText w:val="(%2)"/>
      <w:numFmt w:val="decimal"/>
      <w:start w:val="2"/>
    </w:lvl>
  </w:abstractNum>
  <w:abstractNum w:abstractNumId="479">
    <w:nsid w:val="52F720C6"/>
    <w:multiLevelType w:val="hybridMultilevel"/>
    <w:lvl w:ilvl="0">
      <w:lvlJc w:val="left"/>
      <w:lvlText w:val="(%1)"/>
      <w:numFmt w:val="decimal"/>
      <w:start w:val="5"/>
    </w:lvl>
  </w:abstractNum>
  <w:abstractNum w:abstractNumId="480">
    <w:nsid w:val="3EAB2035"/>
    <w:multiLevelType w:val="hybridMultilevel"/>
    <w:lvl w:ilvl="0">
      <w:lvlJc w:val="left"/>
      <w:lvlText w:val="(%1)"/>
      <w:numFmt w:val="lowerRoman"/>
      <w:start w:val="5"/>
    </w:lvl>
  </w:abstractNum>
  <w:abstractNum w:abstractNumId="481">
    <w:nsid w:val="6A2F4E9D"/>
    <w:multiLevelType w:val="hybridMultilevel"/>
    <w:lvl w:ilvl="0">
      <w:lvlJc w:val="left"/>
      <w:lvlText w:val="(%1)"/>
      <w:numFmt w:val="lowerLetter"/>
      <w:start w:val="1"/>
    </w:lvl>
  </w:abstractNum>
  <w:abstractNum w:abstractNumId="482">
    <w:nsid w:val="7547B1D6"/>
    <w:multiLevelType w:val="hybridMultilevel"/>
    <w:lvl w:ilvl="0">
      <w:lvlJc w:val="left"/>
      <w:lvlText w:val="(%1)"/>
      <w:numFmt w:val="lowerLetter"/>
      <w:start w:val="12"/>
    </w:lvl>
  </w:abstractNum>
  <w:abstractNum w:abstractNumId="483">
    <w:nsid w:val="4A3C4F0E"/>
    <w:multiLevelType w:val="hybridMultilevel"/>
    <w:lvl w:ilvl="0">
      <w:lvlJc w:val="left"/>
      <w:lvlText w:val="(%1)"/>
      <w:numFmt w:val="lowerLetter"/>
      <w:start w:val="2"/>
    </w:lvl>
  </w:abstractNum>
  <w:abstractNum w:abstractNumId="484">
    <w:nsid w:val="5ADC9B4"/>
    <w:multiLevelType w:val="hybridMultilevel"/>
    <w:lvl w:ilvl="0">
      <w:lvlJc w:val="left"/>
      <w:lvlText w:val="1"/>
      <w:numFmt w:val="bullet"/>
      <w:start w:val="1"/>
    </w:lvl>
  </w:abstractNum>
  <w:abstractNum w:abstractNumId="485">
    <w:nsid w:val="75B191D3"/>
    <w:multiLevelType w:val="hybridMultilevel"/>
    <w:lvl w:ilvl="0">
      <w:lvlJc w:val="left"/>
      <w:lvlText w:val="(%1)"/>
      <w:numFmt w:val="lowerLetter"/>
      <w:start w:val="1"/>
    </w:lvl>
  </w:abstractNum>
  <w:abstractNum w:abstractNumId="486">
    <w:nsid w:val="59841CB3"/>
    <w:multiLevelType w:val="hybridMultilevel"/>
    <w:lvl w:ilvl="0">
      <w:lvlJc w:val="left"/>
      <w:lvlText w:val="%1"/>
      <w:numFmt w:val="upperLetter"/>
      <w:start w:val="1"/>
    </w:lvl>
    <w:lvl w:ilvl="1">
      <w:lvlJc w:val="left"/>
      <w:lvlText w:val="(%2)"/>
      <w:numFmt w:val="decimal"/>
      <w:start w:val="1"/>
    </w:lvl>
  </w:abstractNum>
  <w:abstractNum w:abstractNumId="487">
    <w:nsid w:val="186259F2"/>
    <w:multiLevelType w:val="hybridMultilevel"/>
    <w:lvl w:ilvl="0">
      <w:lvlJc w:val="left"/>
      <w:lvlText w:val="(%1)"/>
      <w:numFmt w:val="upperLetter"/>
      <w:start w:val="1"/>
    </w:lvl>
    <w:lvl w:ilvl="1">
      <w:lvlJc w:val="left"/>
      <w:lvlText w:val="(%2)"/>
      <w:numFmt w:val="decimal"/>
      <w:start w:val="3"/>
    </w:lvl>
  </w:abstractNum>
  <w:abstractNum w:abstractNumId="488">
    <w:nsid w:val="6953F85F"/>
    <w:multiLevelType w:val="hybridMultilevel"/>
    <w:lvl w:ilvl="0">
      <w:lvlJc w:val="left"/>
      <w:lvlText w:val="(%1)"/>
      <w:numFmt w:val="decimal"/>
      <w:start w:val="5"/>
    </w:lvl>
  </w:abstractNum>
  <w:abstractNum w:abstractNumId="489">
    <w:nsid w:val="6E0367D7"/>
    <w:multiLevelType w:val="hybridMultilevel"/>
    <w:lvl w:ilvl="0">
      <w:lvlJc w:val="left"/>
      <w:lvlText w:val="(%1)"/>
      <w:numFmt w:val="lowerLetter"/>
      <w:start w:val="1"/>
    </w:lvl>
  </w:abstractNum>
  <w:abstractNum w:abstractNumId="490">
    <w:nsid w:val="6C8C05E1"/>
    <w:multiLevelType w:val="hybridMultilevel"/>
    <w:lvl w:ilvl="0">
      <w:lvlJc w:val="left"/>
      <w:lvlText w:val="(%1)"/>
      <w:numFmt w:val="lowerLetter"/>
      <w:start w:val="4"/>
    </w:lvl>
  </w:abstractNum>
  <w:abstractNum w:abstractNumId="491">
    <w:nsid w:val="3C339A5B"/>
    <w:multiLevelType w:val="hybridMultilevel"/>
    <w:lvl w:ilvl="0">
      <w:lvlJc w:val="left"/>
      <w:lvlText w:val="(%1)"/>
      <w:numFmt w:val="lowerRoman"/>
      <w:start w:val="5"/>
    </w:lvl>
  </w:abstractNum>
  <w:abstractNum w:abstractNumId="492">
    <w:nsid w:val="24C258B1"/>
    <w:multiLevelType w:val="hybridMultilevel"/>
    <w:lvl w:ilvl="0">
      <w:lvlJc w:val="left"/>
      <w:lvlText w:val="(%1)"/>
      <w:numFmt w:val="decimal"/>
      <w:start w:val="1"/>
    </w:lvl>
  </w:abstractNum>
  <w:abstractNum w:abstractNumId="493">
    <w:nsid w:val="6A8657B0"/>
    <w:multiLevelType w:val="hybridMultilevel"/>
    <w:lvl w:ilvl="0">
      <w:lvlJc w:val="left"/>
      <w:lvlText w:val="(%1)"/>
      <w:numFmt w:val="lowerLetter"/>
      <w:start w:val="1"/>
    </w:lvl>
  </w:abstractNum>
  <w:abstractNum w:abstractNumId="494">
    <w:nsid w:val="5340FFA9"/>
    <w:multiLevelType w:val="hybridMultilevel"/>
    <w:lvl w:ilvl="0">
      <w:lvlJc w:val="left"/>
      <w:lvlText w:val="(%1)"/>
      <w:numFmt w:val="lowerLetter"/>
      <w:start w:val="2"/>
    </w:lvl>
  </w:abstractNum>
  <w:abstractNum w:abstractNumId="495">
    <w:nsid w:val="1336705D"/>
    <w:multiLevelType w:val="hybridMultilevel"/>
    <w:lvl w:ilvl="0">
      <w:lvlJc w:val="left"/>
      <w:lvlText w:val="(%1)"/>
      <w:numFmt w:val="lowerRoman"/>
      <w:start w:val="5"/>
    </w:lvl>
  </w:abstractNum>
  <w:abstractNum w:abstractNumId="496">
    <w:nsid w:val="6463C363"/>
    <w:multiLevelType w:val="hybridMultilevel"/>
    <w:lvl w:ilvl="0">
      <w:lvlJc w:val="left"/>
      <w:lvlText w:val="(%1)"/>
      <w:numFmt w:val="lowerRoman"/>
      <w:start w:val="2"/>
    </w:lvl>
  </w:abstractNum>
  <w:abstractNum w:abstractNumId="497">
    <w:nsid w:val="347B3FD3"/>
    <w:multiLevelType w:val="hybridMultilevel"/>
    <w:lvl w:ilvl="0">
      <w:lvlJc w:val="left"/>
      <w:lvlText w:val="(%1)"/>
      <w:numFmt w:val="lowerLetter"/>
      <w:start w:val="1"/>
    </w:lvl>
  </w:abstractNum>
  <w:abstractNum w:abstractNumId="498">
    <w:nsid w:val="D5AB751"/>
    <w:multiLevelType w:val="hybridMultilevel"/>
    <w:lvl w:ilvl="0">
      <w:lvlJc w:val="left"/>
      <w:lvlText w:val="(%1)"/>
      <w:numFmt w:val="lowerLetter"/>
      <w:start w:val="1"/>
    </w:lvl>
  </w:abstractNum>
  <w:abstractNum w:abstractNumId="499">
    <w:nsid w:val="F1EC427"/>
    <w:multiLevelType w:val="hybridMultilevel"/>
    <w:lvl w:ilvl="0">
      <w:lvlJc w:val="left"/>
      <w:lvlText w:val="(%1)"/>
      <w:numFmt w:val="lowerRoman"/>
      <w:start w:val="3"/>
    </w:lvl>
  </w:abstractNum>
  <w:abstractNum w:abstractNumId="500">
    <w:nsid w:val="6C89B896"/>
    <w:multiLevelType w:val="hybridMultilevel"/>
    <w:lvl w:ilvl="0">
      <w:lvlJc w:val="left"/>
      <w:lvlText w:val="(%1)"/>
      <w:numFmt w:val="lowerRoman"/>
      <w:start w:val="10"/>
    </w:lvl>
  </w:abstractNum>
  <w:abstractNum w:abstractNumId="501">
    <w:nsid w:val="7E1219C8"/>
    <w:multiLevelType w:val="hybridMultilevel"/>
    <w:lvl w:ilvl="0">
      <w:lvlJc w:val="left"/>
      <w:lvlText w:val="(%1)"/>
      <w:numFmt w:val="lowerRoman"/>
      <w:start w:val="1"/>
    </w:lvl>
    <w:lvl w:ilvl="1">
      <w:lvlJc w:val="left"/>
      <w:lvlText w:val="(%2)"/>
      <w:numFmt w:val="upperLetter"/>
      <w:start w:val="1"/>
    </w:lvl>
  </w:abstractNum>
  <w:abstractNum w:abstractNumId="502">
    <w:nsid w:val="25F1C1C1"/>
    <w:multiLevelType w:val="hybridMultilevel"/>
    <w:lvl w:ilvl="0">
      <w:lvlJc w:val="left"/>
      <w:lvlText w:val="(%1)"/>
      <w:numFmt w:val="upperLetter"/>
      <w:start w:val="2"/>
    </w:lvl>
  </w:abstractNum>
  <w:abstractNum w:abstractNumId="503">
    <w:nsid w:val="743CE6FA"/>
    <w:multiLevelType w:val="hybridMultilevel"/>
    <w:lvl w:ilvl="0">
      <w:lvlJc w:val="left"/>
      <w:lvlText w:val="(%1)"/>
      <w:numFmt w:val="lowerLetter"/>
      <w:start w:val="1"/>
    </w:lvl>
  </w:abstractNum>
  <w:abstractNum w:abstractNumId="504">
    <w:nsid w:val="20530E7B"/>
    <w:multiLevelType w:val="hybridMultilevel"/>
    <w:lvl w:ilvl="0">
      <w:lvlJc w:val="left"/>
      <w:lvlText w:val="(%1)"/>
      <w:numFmt w:val="lowerLetter"/>
      <w:start w:val="2"/>
    </w:lvl>
  </w:abstractNum>
  <w:abstractNum w:abstractNumId="505">
    <w:nsid w:val="144C9480"/>
    <w:multiLevelType w:val="hybridMultilevel"/>
    <w:lvl w:ilvl="0">
      <w:lvlJc w:val="left"/>
      <w:lvlText w:val="(%1)"/>
      <w:numFmt w:val="lowerLetter"/>
      <w:start w:val="3"/>
    </w:lvl>
  </w:abstractNum>
  <w:abstractNum w:abstractNumId="506">
    <w:nsid w:val="1514A0AF"/>
    <w:multiLevelType w:val="hybridMultilevel"/>
    <w:lvl w:ilvl="0">
      <w:lvlJc w:val="left"/>
      <w:lvlText w:val="(%1)"/>
      <w:numFmt w:val="lowerLetter"/>
      <w:start w:val="1"/>
    </w:lvl>
  </w:abstractNum>
  <w:abstractNum w:abstractNumId="507">
    <w:nsid w:val="55C3594C"/>
    <w:multiLevelType w:val="hybridMultilevel"/>
    <w:lvl w:ilvl="0">
      <w:lvlJc w:val="left"/>
      <w:lvlText w:val="%1"/>
      <w:numFmt w:val="lowerLetter"/>
      <w:start w:val="1"/>
    </w:lvl>
    <w:lvl w:ilvl="1">
      <w:lvlJc w:val="left"/>
      <w:lvlText w:val="(%2)"/>
      <w:numFmt w:val="lowerLetter"/>
      <w:start w:val="2"/>
    </w:lvl>
  </w:abstractNum>
  <w:abstractNum w:abstractNumId="508">
    <w:nsid w:val="69DCF55B"/>
    <w:multiLevelType w:val="hybridMultilevel"/>
    <w:lvl w:ilvl="0">
      <w:lvlJc w:val="left"/>
      <w:lvlText w:val="(%1)"/>
      <w:numFmt w:val="lowerLetter"/>
      <w:start w:val="25"/>
    </w:lvl>
    <w:lvl w:ilvl="1">
      <w:lvlJc w:val="left"/>
      <w:lvlText w:val="%2"/>
      <w:numFmt w:val="lowerLetter"/>
      <w:start w:val="1"/>
    </w:lvl>
  </w:abstractNum>
  <w:abstractNum w:abstractNumId="509">
    <w:nsid w:val="CFC2ACF"/>
    <w:multiLevelType w:val="hybridMultilevel"/>
    <w:lvl w:ilvl="0">
      <w:lvlJc w:val="left"/>
      <w:lvlText w:val="(%1)"/>
      <w:numFmt w:val="lowerLetter"/>
      <w:start w:val="1"/>
    </w:lvl>
    <w:lvl w:ilvl="1">
      <w:lvlJc w:val="left"/>
      <w:lvlText w:val="(%2)"/>
      <w:numFmt w:val="lowerLetter"/>
      <w:start w:val="35"/>
    </w:lvl>
  </w:abstractNum>
  <w:abstractNum w:abstractNumId="510">
    <w:nsid w:val="28BA7A13"/>
    <w:multiLevelType w:val="hybridMultilevel"/>
    <w:lvl w:ilvl="0">
      <w:lvlJc w:val="left"/>
      <w:lvlText w:val="(%1)"/>
      <w:numFmt w:val="lowerLetter"/>
      <w:start w:val="2"/>
    </w:lvl>
  </w:abstractNum>
  <w:abstractNum w:abstractNumId="511">
    <w:nsid w:val="28881591"/>
    <w:multiLevelType w:val="hybridMultilevel"/>
    <w:lvl w:ilvl="0">
      <w:lvlJc w:val="left"/>
      <w:lvlText w:val="%1"/>
      <w:numFmt w:val="lowerLetter"/>
      <w:start w:val="1"/>
    </w:lvl>
    <w:lvl w:ilvl="1">
      <w:lvlJc w:val="left"/>
      <w:lvlText w:val="(%2)"/>
      <w:numFmt w:val="lowerLetter"/>
      <w:start w:val="5"/>
    </w:lvl>
  </w:abstractNum>
  <w:abstractNum w:abstractNumId="512">
    <w:nsid w:val="772B796C"/>
    <w:multiLevelType w:val="hybridMultilevel"/>
    <w:lvl w:ilvl="0">
      <w:lvlJc w:val="left"/>
      <w:lvlText w:val="(%1)"/>
      <w:numFmt w:val="lowerLetter"/>
      <w:start w:val="25"/>
    </w:lvl>
    <w:lvl w:ilvl="1">
      <w:lvlJc w:val="left"/>
      <w:lvlText w:val="(%2)"/>
      <w:numFmt w:val="lowerLetter"/>
      <w:start w:val="6"/>
    </w:lvl>
  </w:abstractNum>
  <w:abstractNum w:abstractNumId="513">
    <w:nsid w:val="1E022BE9"/>
    <w:multiLevelType w:val="hybridMultilevel"/>
    <w:lvl w:ilvl="0">
      <w:lvlJc w:val="left"/>
      <w:lvlText w:val="(%1)"/>
      <w:numFmt w:val="lowerLetter"/>
      <w:start w:val="7"/>
    </w:lvl>
  </w:abstractNum>
  <w:abstractNum w:abstractNumId="514">
    <w:nsid w:val="72C4649F"/>
    <w:multiLevelType w:val="hybridMultilevel"/>
    <w:lvl w:ilvl="0">
      <w:lvlJc w:val="left"/>
      <w:lvlText w:val="(%1)"/>
      <w:numFmt w:val="lowerLetter"/>
      <w:start w:val="12"/>
    </w:lvl>
  </w:abstractNum>
  <w:abstractNum w:abstractNumId="515">
    <w:nsid w:val="7CD94321"/>
    <w:multiLevelType w:val="hybridMultilevel"/>
    <w:lvl w:ilvl="0">
      <w:lvlJc w:val="left"/>
      <w:lvlText w:val="%1"/>
      <w:numFmt w:val="lowerLetter"/>
      <w:start w:val="1"/>
    </w:lvl>
    <w:lvl w:ilvl="1">
      <w:lvlJc w:val="left"/>
      <w:lvlText w:val="(%2)"/>
      <w:numFmt w:val="lowerLetter"/>
      <w:start w:val="1"/>
    </w:lvl>
  </w:abstractNum>
  <w:abstractNum w:abstractNumId="516">
    <w:nsid w:val="13B3BDBC"/>
    <w:multiLevelType w:val="hybridMultilevel"/>
    <w:lvl w:ilvl="0">
      <w:lvlJc w:val="left"/>
      <w:lvlText w:val="(%1)"/>
      <w:numFmt w:val="lowerLetter"/>
      <w:start w:val="26"/>
    </w:lvl>
    <w:lvl w:ilvl="1">
      <w:lvlJc w:val="left"/>
      <w:lvlText w:val="%2"/>
      <w:numFmt w:val="lowerLetter"/>
      <w:start w:val="1"/>
    </w:lvl>
  </w:abstractNum>
  <w:abstractNum w:abstractNumId="517">
    <w:nsid w:val="4C488152"/>
    <w:multiLevelType w:val="hybridMultilevel"/>
    <w:lvl w:ilvl="0">
      <w:lvlJc w:val="left"/>
      <w:lvlText w:val="(%1)"/>
      <w:numFmt w:val="lowerLetter"/>
      <w:start w:val="2"/>
    </w:lvl>
  </w:abstractNum>
  <w:abstractNum w:abstractNumId="518">
    <w:nsid w:val="153B9D13"/>
    <w:multiLevelType w:val="hybridMultilevel"/>
    <w:lvl w:ilvl="0">
      <w:lvlJc w:val="left"/>
      <w:lvlText w:val="(%1)"/>
      <w:numFmt w:val="lowerLetter"/>
      <w:start w:val="1"/>
    </w:lvl>
  </w:abstractNum>
  <w:abstractNum w:abstractNumId="519">
    <w:nsid w:val="7D07B61B"/>
    <w:multiLevelType w:val="hybridMultilevel"/>
    <w:lvl w:ilvl="0">
      <w:lvlJc w:val="left"/>
      <w:lvlText w:val="(%1)"/>
      <w:numFmt w:val="lowerLetter"/>
      <w:start w:val="3"/>
    </w:lvl>
  </w:abstractNum>
  <w:abstractNum w:abstractNumId="520">
    <w:nsid w:val="3A4BE92A"/>
    <w:multiLevelType w:val="hybridMultilevel"/>
    <w:lvl w:ilvl="0">
      <w:lvlJc w:val="left"/>
      <w:lvlText w:val="(%1)"/>
      <w:numFmt w:val="lowerLetter"/>
      <w:start w:val="1"/>
    </w:lvl>
  </w:abstractNum>
  <w:abstractNum w:abstractNumId="521">
    <w:nsid w:val="1C7A2F4"/>
    <w:multiLevelType w:val="hybridMultilevel"/>
    <w:lvl w:ilvl="0">
      <w:lvlJc w:val="left"/>
      <w:lvlText w:val="%1"/>
      <w:numFmt w:val="upperLetter"/>
      <w:start w:val="1"/>
    </w:lvl>
    <w:lvl w:ilvl="1">
      <w:lvlJc w:val="left"/>
      <w:lvlText w:val="(%2)"/>
      <w:numFmt w:val="lowerLetter"/>
      <w:start w:val="3"/>
    </w:lvl>
  </w:abstractNum>
  <w:abstractNum w:abstractNumId="522">
    <w:nsid w:val="393B5076"/>
    <w:multiLevelType w:val="hybridMultilevel"/>
    <w:lvl w:ilvl="0">
      <w:lvlJc w:val="left"/>
      <w:lvlText w:val="(%1)"/>
      <w:numFmt w:val="upperLetter"/>
      <w:start w:val="2"/>
    </w:lvl>
    <w:lvl w:ilvl="1">
      <w:lvlJc w:val="left"/>
      <w:lvlText w:val="(%2)"/>
      <w:numFmt w:val="lowerLetter"/>
      <w:start w:val="4"/>
    </w:lvl>
  </w:abstractNum>
  <w:abstractNum w:abstractNumId="523">
    <w:nsid w:val="5F0E41DB"/>
    <w:multiLevelType w:val="hybridMultilevel"/>
    <w:lvl w:ilvl="0">
      <w:lvlJc w:val="left"/>
      <w:lvlText w:val="(%1)"/>
      <w:numFmt w:val="lowerLetter"/>
      <w:start w:val="1"/>
    </w:lvl>
  </w:abstractNum>
  <w:abstractNum w:abstractNumId="524">
    <w:nsid w:val="6C4DFAA4"/>
    <w:multiLevelType w:val="hybridMultilevel"/>
    <w:lvl w:ilvl="0">
      <w:lvlJc w:val="left"/>
      <w:lvlText w:val="%1"/>
      <w:numFmt w:val="lowerLetter"/>
      <w:start w:val="1"/>
    </w:lvl>
    <w:lvl w:ilvl="1">
      <w:lvlJc w:val="left"/>
      <w:lvlText w:val="(%2)"/>
      <w:numFmt w:val="lowerLetter"/>
      <w:start w:val="1"/>
    </w:lvl>
  </w:abstractNum>
  <w:abstractNum w:abstractNumId="525">
    <w:nsid w:val="C7C501F"/>
    <w:multiLevelType w:val="hybridMultilevel"/>
    <w:lvl w:ilvl="0">
      <w:lvlJc w:val="left"/>
      <w:lvlText w:val="(%1)"/>
      <w:numFmt w:val="lowerLetter"/>
      <w:start w:val="24"/>
    </w:lvl>
    <w:lvl w:ilvl="1">
      <w:lvlJc w:val="left"/>
      <w:lvlText w:val="%2"/>
      <w:numFmt w:val="lowerLetter"/>
      <w:start w:val="1"/>
    </w:lvl>
  </w:abstractNum>
  <w:abstractNum w:abstractNumId="526">
    <w:nsid w:val="7244B239"/>
    <w:multiLevelType w:val="hybridMultilevel"/>
    <w:lvl w:ilvl="0">
      <w:lvlJc w:val="left"/>
      <w:lvlText w:val="(%1)"/>
      <w:numFmt w:val="lowerLetter"/>
      <w:start w:val="25"/>
    </w:lvl>
    <w:lvl w:ilvl="1">
      <w:lvlJc w:val="left"/>
      <w:lvlText w:val="%2"/>
      <w:numFmt w:val="lowerLetter"/>
      <w:start w:val="1"/>
    </w:lvl>
  </w:abstractNum>
  <w:abstractNum w:abstractNumId="527">
    <w:nsid w:val="50B1BE08"/>
    <w:multiLevelType w:val="hybridMultilevel"/>
    <w:lvl w:ilvl="0">
      <w:lvlJc w:val="left"/>
      <w:lvlText w:val="(%1)"/>
      <w:numFmt w:val="lowerLetter"/>
      <w:start w:val="4"/>
    </w:lvl>
  </w:abstractNum>
  <w:abstractNum w:abstractNumId="528">
    <w:nsid w:val="40F78FF3"/>
    <w:multiLevelType w:val="hybridMultilevel"/>
    <w:lvl w:ilvl="0">
      <w:lvlJc w:val="left"/>
      <w:lvlText w:val="(%1)"/>
      <w:numFmt w:val="lowerLetter"/>
      <w:start w:val="1"/>
    </w:lvl>
  </w:abstractNum>
  <w:abstractNum w:abstractNumId="529">
    <w:nsid w:val="7F9F698A"/>
    <w:multiLevelType w:val="hybridMultilevel"/>
    <w:lvl w:ilvl="0">
      <w:lvlJc w:val="left"/>
      <w:lvlText w:val="(%1)"/>
      <w:numFmt w:val="lowerLetter"/>
      <w:start w:val="6"/>
    </w:lvl>
  </w:abstractNum>
  <w:abstractNum w:abstractNumId="530">
    <w:nsid w:val="5FD0822F"/>
    <w:multiLevelType w:val="hybridMultilevel"/>
    <w:lvl w:ilvl="0">
      <w:lvlJc w:val="left"/>
      <w:lvlText w:val="(%1)"/>
      <w:numFmt w:val="lowerLetter"/>
      <w:start w:val="1"/>
    </w:lvl>
  </w:abstractNum>
  <w:abstractNum w:abstractNumId="531">
    <w:nsid w:val="2D814889"/>
    <w:multiLevelType w:val="hybridMultilevel"/>
    <w:lvl w:ilvl="0">
      <w:lvlJc w:val="left"/>
      <w:lvlText w:val="(%1)"/>
      <w:numFmt w:val="lowerLetter"/>
      <w:start w:val="3"/>
    </w:lvl>
  </w:abstractNum>
  <w:abstractNum w:abstractNumId="532">
    <w:nsid w:val="7DB18352"/>
    <w:multiLevelType w:val="hybridMultilevel"/>
    <w:lvl w:ilvl="0">
      <w:lvlJc w:val="left"/>
      <w:lvlText w:val="(%1)"/>
      <w:numFmt w:val="lowerLetter"/>
      <w:start w:val="1"/>
    </w:lvl>
  </w:abstractNum>
  <w:abstractNum w:abstractNumId="533">
    <w:nsid w:val="5C243F1"/>
    <w:multiLevelType w:val="hybridMultilevel"/>
    <w:lvl w:ilvl="0">
      <w:lvlJc w:val="left"/>
      <w:lvlText w:val="%1"/>
      <w:numFmt w:val="lowerLetter"/>
      <w:start w:val="1"/>
    </w:lvl>
    <w:lvl w:ilvl="1">
      <w:lvlJc w:val="left"/>
      <w:lvlText w:val="(%2)"/>
      <w:numFmt w:val="lowerRoman"/>
      <w:start w:val="1"/>
    </w:lvl>
  </w:abstractNum>
  <w:abstractNum w:abstractNumId="534">
    <w:nsid w:val="21BE2F84"/>
    <w:multiLevelType w:val="hybridMultilevel"/>
    <w:lvl w:ilvl="0">
      <w:lvlJc w:val="left"/>
      <w:lvlText w:val="(%1)"/>
      <w:numFmt w:val="lowerLetter"/>
      <w:start w:val="2"/>
    </w:lvl>
    <w:lvl w:ilvl="1">
      <w:lvlJc w:val="left"/>
      <w:lvlText w:val="%2"/>
      <w:numFmt w:val="lowerRoman"/>
      <w:start w:val="1"/>
    </w:lvl>
  </w:abstractNum>
  <w:abstractNum w:abstractNumId="535">
    <w:nsid w:val="1E0491CD"/>
    <w:multiLevelType w:val="hybridMultilevel"/>
    <w:lvl w:ilvl="0">
      <w:lvlJc w:val="left"/>
      <w:lvlText w:val="(%1)"/>
      <w:numFmt w:val="lowerLetter"/>
      <w:start w:val="3"/>
    </w:lvl>
    <w:lvl w:ilvl="1">
      <w:lvlJc w:val="left"/>
      <w:lvlText w:val="(%2)"/>
      <w:numFmt w:val="lowerRoman"/>
      <w:start w:val="1"/>
    </w:lvl>
  </w:abstractNum>
  <w:abstractNum w:abstractNumId="536">
    <w:nsid w:val="1A0ED871"/>
    <w:multiLevelType w:val="hybridMultilevel"/>
    <w:lvl w:ilvl="0">
      <w:lvlJc w:val="left"/>
      <w:lvlText w:val="(%1)"/>
      <w:numFmt w:val="lowerLetter"/>
      <w:start w:val="4"/>
    </w:lvl>
    <w:lvl w:ilvl="1">
      <w:lvlJc w:val="left"/>
      <w:lvlText w:val="(%2)"/>
      <w:numFmt w:val="lowerRoman"/>
      <w:start w:val="1"/>
    </w:lvl>
  </w:abstractNum>
  <w:abstractNum w:abstractNumId="537">
    <w:nsid w:val="36D2D033"/>
    <w:multiLevelType w:val="hybridMultilevel"/>
    <w:lvl w:ilvl="0">
      <w:lvlJc w:val="left"/>
      <w:lvlText w:val="(%1)"/>
      <w:numFmt w:val="lowerLetter"/>
      <w:start w:val="6"/>
    </w:lvl>
  </w:abstractNum>
  <w:abstractNum w:abstractNumId="538">
    <w:nsid w:val="73C7EB1A"/>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539">
    <w:nsid w:val="3EBCDCC"/>
    <w:multiLevelType w:val="hybridMultilevel"/>
    <w:lvl w:ilvl="0">
      <w:lvlJc w:val="left"/>
      <w:lvlText w:val="(%1)"/>
      <w:numFmt w:val="lowerLetter"/>
      <w:start w:val="35"/>
    </w:lvl>
    <w:lvl w:ilvl="1">
      <w:lvlJc w:val="left"/>
      <w:lvlText w:val="(%2)"/>
      <w:numFmt w:val="lowerLetter"/>
      <w:start w:val="10"/>
    </w:lvl>
    <w:lvl w:ilvl="2">
      <w:lvlJc w:val="left"/>
      <w:lvlText w:val="(%3)"/>
      <w:numFmt w:val="lowerLetter"/>
      <w:start w:val="9"/>
    </w:lvl>
  </w:abstractNum>
  <w:abstractNum w:abstractNumId="540">
    <w:nsid w:val="43CEFB03"/>
    <w:multiLevelType w:val="hybridMultilevel"/>
    <w:lvl w:ilvl="0">
      <w:lvlJc w:val="left"/>
      <w:lvlText w:val="%1"/>
      <w:numFmt w:val="lowerLetter"/>
      <w:start w:val="1"/>
    </w:lvl>
    <w:lvl w:ilvl="1">
      <w:lvlJc w:val="left"/>
      <w:lvlText w:val="(%2)"/>
      <w:numFmt w:val="lowerLetter"/>
      <w:start w:val="35"/>
    </w:lvl>
  </w:abstractNum>
  <w:abstractNum w:abstractNumId="541">
    <w:nsid w:val="1C82652D"/>
    <w:multiLevelType w:val="hybridMultilevel"/>
    <w:lvl w:ilvl="0">
      <w:lvlJc w:val="left"/>
      <w:lvlText w:val="(%1)"/>
      <w:numFmt w:val="lowerLetter"/>
      <w:start w:val="11"/>
    </w:lvl>
    <w:lvl w:ilvl="1">
      <w:lvlJc w:val="left"/>
      <w:lvlText w:val="%2"/>
      <w:numFmt w:val="lowerLetter"/>
      <w:start w:val="1"/>
    </w:lvl>
  </w:abstractNum>
  <w:abstractNum w:abstractNumId="542">
    <w:nsid w:val="2C73E35D"/>
    <w:multiLevelType w:val="hybridMultilevel"/>
    <w:lvl w:ilvl="0">
      <w:lvlJc w:val="left"/>
      <w:lvlText w:val="(%1)"/>
      <w:numFmt w:val="lowerLetter"/>
      <w:start w:val="1"/>
    </w:lvl>
  </w:abstractNum>
  <w:abstractNum w:abstractNumId="543">
    <w:nsid w:val="3AFA746F"/>
    <w:multiLevelType w:val="hybridMultilevel"/>
    <w:lvl w:ilvl="0">
      <w:lvlJc w:val="left"/>
      <w:lvlText w:val="(%1)"/>
      <w:numFmt w:val="lowerLetter"/>
      <w:start w:val="2"/>
    </w:lvl>
  </w:abstractNum>
  <w:abstractNum w:abstractNumId="544">
    <w:nsid w:val="3A849116"/>
    <w:multiLevelType w:val="hybridMultilevel"/>
    <w:lvl w:ilvl="0">
      <w:lvlJc w:val="left"/>
      <w:lvlText w:val="(%1)"/>
      <w:numFmt w:val="lowerLetter"/>
      <w:start w:val="1"/>
    </w:lvl>
  </w:abstractNum>
  <w:abstractNum w:abstractNumId="545">
    <w:nsid w:val="1F3847FC"/>
    <w:multiLevelType w:val="hybridMultilevel"/>
    <w:lvl w:ilvl="0">
      <w:lvlJc w:val="left"/>
      <w:lvlText w:val="(%1)"/>
      <w:numFmt w:val="lowerLetter"/>
      <w:start w:val="3"/>
    </w:lvl>
  </w:abstractNum>
  <w:abstractNum w:abstractNumId="546">
    <w:nsid w:val="37D3B790"/>
    <w:multiLevelType w:val="hybridMultilevel"/>
    <w:lvl w:ilvl="0">
      <w:lvlJc w:val="left"/>
      <w:lvlText w:val="(%1)"/>
      <w:numFmt w:val="lowerLetter"/>
      <w:start w:val="1"/>
    </w:lvl>
  </w:abstractNum>
  <w:abstractNum w:abstractNumId="547">
    <w:nsid w:val="4E384ED3"/>
    <w:multiLevelType w:val="hybridMultilevel"/>
    <w:lvl w:ilvl="0">
      <w:lvlJc w:val="left"/>
      <w:lvlText w:val="(%1)"/>
      <w:numFmt w:val="lowerLetter"/>
      <w:start w:val="3"/>
    </w:lvl>
  </w:abstractNum>
  <w:abstractNum w:abstractNumId="548">
    <w:nsid w:val="6B80C94F"/>
    <w:multiLevelType w:val="hybridMultilevel"/>
    <w:lvl w:ilvl="0">
      <w:lvlJc w:val="left"/>
      <w:lvlText w:val="%1"/>
      <w:numFmt w:val="lowerLetter"/>
      <w:start w:val="1"/>
    </w:lvl>
    <w:lvl w:ilvl="1">
      <w:lvlJc w:val="left"/>
      <w:lvlText w:val="(%2)"/>
      <w:numFmt w:val="lowerLetter"/>
      <w:start w:val="1"/>
    </w:lvl>
  </w:abstractNum>
  <w:abstractNum w:abstractNumId="549">
    <w:nsid w:val="4D0F54A3"/>
    <w:multiLevelType w:val="hybridMultilevel"/>
    <w:lvl w:ilvl="0">
      <w:lvlJc w:val="left"/>
      <w:lvlText w:val="(%1)"/>
      <w:numFmt w:val="lowerLetter"/>
      <w:start w:val="35"/>
    </w:lvl>
    <w:lvl w:ilvl="1">
      <w:lvlJc w:val="left"/>
      <w:lvlText w:val="(%2)"/>
      <w:numFmt w:val="lowerLetter"/>
      <w:start w:val="3"/>
    </w:lvl>
  </w:abstractNum>
  <w:abstractNum w:abstractNumId="550">
    <w:nsid w:val="4B4004EE"/>
    <w:multiLevelType w:val="hybridMultilevel"/>
    <w:lvl w:ilvl="0">
      <w:lvlJc w:val="left"/>
      <w:lvlText w:val="(%1)"/>
      <w:numFmt w:val="lowerLetter"/>
      <w:start w:val="4"/>
    </w:lvl>
  </w:abstractNum>
  <w:abstractNum w:abstractNumId="551">
    <w:nsid w:val="25CCB279"/>
    <w:multiLevelType w:val="hybridMultilevel"/>
    <w:lvl w:ilvl="0">
      <w:lvlJc w:val="left"/>
      <w:lvlText w:val="(%1)"/>
      <w:numFmt w:val="lowerLetter"/>
      <w:start w:val="1"/>
    </w:lvl>
    <w:lvl w:ilvl="1">
      <w:lvlJc w:val="left"/>
      <w:lvlText w:val="(%2)"/>
      <w:numFmt w:val="lowerRoman"/>
      <w:start w:val="1"/>
    </w:lvl>
  </w:abstractNum>
  <w:abstractNum w:abstractNumId="552">
    <w:nsid w:val="4ED6F79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53">
    <w:nsid w:val="47B5565"/>
    <w:multiLevelType w:val="hybridMultilevel"/>
    <w:lvl w:ilvl="0">
      <w:lvlJc w:val="left"/>
      <w:lvlText w:val="%1"/>
      <w:numFmt w:val="lowerRoman"/>
      <w:start w:val="1"/>
    </w:lvl>
    <w:lvl w:ilvl="1">
      <w:lvlJc w:val="left"/>
      <w:lvlText w:val="(%2)"/>
      <w:numFmt w:val="decimal"/>
      <w:start w:val="7"/>
    </w:lvl>
  </w:abstractNum>
  <w:abstractNum w:abstractNumId="554">
    <w:nsid w:val="4DAF454"/>
    <w:multiLevelType w:val="hybridMultilevel"/>
    <w:lvl w:ilvl="0">
      <w:lvlJc w:val="left"/>
      <w:lvlText w:val="(%1)"/>
      <w:numFmt w:val="lowerRoman"/>
      <w:start w:val="2"/>
    </w:lvl>
    <w:lvl w:ilvl="1">
      <w:lvlJc w:val="left"/>
      <w:lvlText w:val="%2"/>
      <w:numFmt w:val="decimal"/>
      <w:start w:val="1"/>
    </w:lvl>
  </w:abstractNum>
  <w:abstractNum w:abstractNumId="555">
    <w:nsid w:val="3B24F23C"/>
    <w:multiLevelType w:val="hybridMultilevel"/>
    <w:lvl w:ilvl="0">
      <w:lvlJc w:val="left"/>
      <w:lvlText w:val="(%1)"/>
      <w:numFmt w:val="decimal"/>
      <w:start w:val="1"/>
    </w:lvl>
  </w:abstractNum>
  <w:abstractNum w:abstractNumId="556">
    <w:nsid w:val="10F7A584"/>
    <w:multiLevelType w:val="hybridMultilevel"/>
    <w:lvl w:ilvl="0">
      <w:lvlJc w:val="left"/>
      <w:lvlText w:val="%1"/>
      <w:numFmt w:val="lowerLetter"/>
      <w:start w:val="1"/>
    </w:lvl>
    <w:lvl w:ilvl="1">
      <w:lvlJc w:val="left"/>
      <w:lvlText w:val="(%2)"/>
      <w:numFmt w:val="lowerLetter"/>
      <w:start w:val="35"/>
    </w:lvl>
  </w:abstractNum>
  <w:abstractNum w:abstractNumId="557">
    <w:nsid w:val="771FA68D"/>
    <w:multiLevelType w:val="hybridMultilevel"/>
    <w:lvl w:ilvl="0">
      <w:lvlJc w:val="left"/>
      <w:lvlText w:val="(%1)"/>
      <w:numFmt w:val="lowerLetter"/>
      <w:start w:val="25"/>
    </w:lvl>
    <w:lvl w:ilvl="1">
      <w:lvlJc w:val="left"/>
      <w:lvlText w:val="%2"/>
      <w:numFmt w:val="lowerLetter"/>
      <w:start w:val="1"/>
    </w:lvl>
  </w:abstractNum>
  <w:abstractNum w:abstractNumId="558">
    <w:nsid w:val="BD6B044"/>
    <w:multiLevelType w:val="hybridMultilevel"/>
    <w:lvl w:ilvl="0">
      <w:lvlJc w:val="left"/>
      <w:lvlText w:val="%1"/>
      <w:numFmt w:val="upperLetter"/>
      <w:start w:val="1"/>
    </w:lvl>
    <w:lvl w:ilvl="1">
      <w:lvlJc w:val="left"/>
      <w:lvlText w:val="(%2)"/>
      <w:numFmt w:val="lowerRoman"/>
      <w:start w:val="3"/>
    </w:lvl>
  </w:abstractNum>
  <w:abstractNum w:abstractNumId="559">
    <w:nsid w:val="51EF3577"/>
    <w:multiLevelType w:val="hybridMultilevel"/>
    <w:lvl w:ilvl="0">
      <w:lvlJc w:val="left"/>
      <w:lvlText w:val="(%1)"/>
      <w:numFmt w:val="upperLetter"/>
      <w:start w:val="1"/>
    </w:lvl>
    <w:lvl w:ilvl="1">
      <w:lvlJc w:val="left"/>
      <w:lvlText w:val="(%2)"/>
      <w:numFmt w:val="lowerRoman"/>
      <w:start w:val="5"/>
    </w:lvl>
  </w:abstractNum>
  <w:abstractNum w:abstractNumId="560">
    <w:nsid w:val="76BF1017"/>
    <w:multiLevelType w:val="hybridMultilevel"/>
    <w:lvl w:ilvl="0">
      <w:lvlJc w:val="left"/>
      <w:lvlText w:val="(%1)"/>
      <w:numFmt w:val="upperLetter"/>
      <w:start w:val="9"/>
    </w:lvl>
  </w:abstractNum>
  <w:abstractNum w:abstractNumId="561">
    <w:nsid w:val="6BA73274"/>
    <w:multiLevelType w:val="hybridMultilevel"/>
    <w:lvl w:ilvl="0">
      <w:lvlJc w:val="left"/>
      <w:lvlText w:val="%1"/>
      <w:numFmt w:val="lowerRoman"/>
      <w:start w:val="1"/>
    </w:lvl>
    <w:lvl w:ilvl="1">
      <w:lvlJc w:val="left"/>
      <w:lvlText w:val="(%2)"/>
      <w:numFmt w:val="lowerRoman"/>
      <w:start w:val="6"/>
    </w:lvl>
  </w:abstractNum>
  <w:abstractNum w:abstractNumId="562">
    <w:nsid w:val="7F707E01"/>
    <w:multiLevelType w:val="hybridMultilevel"/>
    <w:lvl w:ilvl="0">
      <w:lvlJc w:val="left"/>
      <w:lvlText w:val="(%1)"/>
      <w:numFmt w:val="lowerRoman"/>
      <w:start w:val="4"/>
    </w:lvl>
    <w:lvl w:ilvl="1">
      <w:lvlJc w:val="left"/>
      <w:lvlText w:val="%2"/>
      <w:numFmt w:val="lowerRoman"/>
      <w:start w:val="1"/>
    </w:lvl>
  </w:abstractNum>
  <w:abstractNum w:abstractNumId="563">
    <w:nsid w:val="7470936A"/>
    <w:multiLevelType w:val="hybridMultilevel"/>
    <w:lvl w:ilvl="0">
      <w:lvlJc w:val="left"/>
      <w:lvlText w:val="(%1)"/>
      <w:numFmt w:val="lowerRoman"/>
      <w:start w:val="8"/>
    </w:lvl>
  </w:abstractNum>
  <w:abstractNum w:abstractNumId="564">
    <w:nsid w:val="71697665"/>
    <w:multiLevelType w:val="hybridMultilevel"/>
    <w:lvl w:ilvl="0">
      <w:lvlJc w:val="left"/>
      <w:lvlText w:val="(%1)"/>
      <w:numFmt w:val="lowerLetter"/>
      <w:start w:val="1"/>
    </w:lvl>
  </w:abstractNum>
  <w:abstractNum w:abstractNumId="565">
    <w:nsid w:val="212EAD85"/>
    <w:multiLevelType w:val="hybridMultilevel"/>
    <w:lvl w:ilvl="0">
      <w:lvlJc w:val="left"/>
      <w:lvlText w:val="(%1)"/>
      <w:numFmt w:val="lowerLetter"/>
      <w:start w:val="2"/>
    </w:lvl>
  </w:abstractNum>
  <w:abstractNum w:abstractNumId="566">
    <w:nsid w:val="12752537"/>
    <w:multiLevelType w:val="hybridMultilevel"/>
    <w:lvl w:ilvl="0">
      <w:lvlJc w:val="left"/>
      <w:lvlText w:val="(%1)"/>
      <w:numFmt w:val="lowerLetter"/>
      <w:start w:val="7"/>
    </w:lvl>
  </w:abstractNum>
  <w:abstractNum w:abstractNumId="567">
    <w:nsid w:val="B784ED6"/>
    <w:multiLevelType w:val="hybridMultilevel"/>
    <w:lvl w:ilvl="0">
      <w:lvlJc w:val="left"/>
      <w:lvlText w:val="%1"/>
      <w:numFmt w:val="lowerRoman"/>
      <w:start w:val="1"/>
    </w:lvl>
    <w:lvl w:ilvl="1">
      <w:lvlJc w:val="left"/>
      <w:lvlText w:val="(%2)"/>
      <w:numFmt w:val="lowerLetter"/>
      <w:start w:val="2"/>
    </w:lvl>
  </w:abstractNum>
  <w:abstractNum w:abstractNumId="568">
    <w:nsid w:val="58017DB8"/>
    <w:multiLevelType w:val="hybridMultilevel"/>
    <w:lvl w:ilvl="0">
      <w:lvlJc w:val="left"/>
      <w:lvlText w:val="(%1)"/>
      <w:numFmt w:val="lowerRoman"/>
      <w:start w:val="2"/>
    </w:lvl>
    <w:lvl w:ilvl="1">
      <w:lvlJc w:val="left"/>
      <w:lvlText w:val="(%2)"/>
      <w:numFmt w:val="lowerLetter"/>
      <w:start w:val="4"/>
    </w:lvl>
  </w:abstractNum>
  <w:abstractNum w:abstractNumId="569">
    <w:nsid w:val="63D1051"/>
    <w:multiLevelType w:val="hybridMultilevel"/>
    <w:lvl w:ilvl="0">
      <w:lvlJc w:val="left"/>
      <w:lvlText w:val="(%1)"/>
      <w:numFmt w:val="lowerLetter"/>
      <w:start w:val="7"/>
    </w:lvl>
  </w:abstractNum>
  <w:abstractNum w:abstractNumId="570">
    <w:nsid w:val="F641CA2"/>
    <w:multiLevelType w:val="hybridMultilevel"/>
    <w:lvl w:ilvl="0">
      <w:lvlJc w:val="left"/>
      <w:lvlText w:val="(%1)"/>
      <w:numFmt w:val="lowerLetter"/>
      <w:start w:val="1"/>
    </w:lvl>
  </w:abstractNum>
  <w:abstractNum w:abstractNumId="571">
    <w:nsid w:val="1BD078BB"/>
    <w:multiLevelType w:val="hybridMultilevel"/>
    <w:lvl w:ilvl="0">
      <w:lvlJc w:val="left"/>
      <w:lvlText w:val="(%1)"/>
      <w:numFmt w:val="upperLetter"/>
      <w:start w:val="1"/>
    </w:lvl>
  </w:abstractNum>
  <w:abstractNum w:abstractNumId="572">
    <w:nsid w:val="22BF757E"/>
    <w:multiLevelType w:val="hybridMultilevel"/>
    <w:lvl w:ilvl="0">
      <w:lvlJc w:val="left"/>
      <w:lvlText w:val="(%1)"/>
      <w:numFmt w:val="lowerLetter"/>
      <w:start w:val="1"/>
    </w:lvl>
    <w:lvl w:ilvl="1">
      <w:lvlJc w:val="left"/>
      <w:lvlText w:val="(%2)"/>
      <w:numFmt w:val="lowerRoman"/>
      <w:start w:val="1"/>
    </w:lvl>
  </w:abstractNum>
  <w:abstractNum w:abstractNumId="573">
    <w:nsid w:val="3BD80000"/>
    <w:multiLevelType w:val="hybridMultilevel"/>
    <w:lvl w:ilvl="0">
      <w:lvlJc w:val="left"/>
      <w:lvlText w:val="%1"/>
      <w:numFmt w:val="lowerLetter"/>
      <w:start w:val="1"/>
    </w:lvl>
    <w:lvl w:ilvl="1">
      <w:lvlJc w:val="left"/>
      <w:lvlText w:val="(%2)"/>
      <w:numFmt w:val="lowerLetter"/>
      <w:start w:val="2"/>
    </w:lvl>
  </w:abstractNum>
  <w:abstractNum w:abstractNumId="574">
    <w:nsid w:val="56CAED2B"/>
    <w:multiLevelType w:val="hybridMultilevel"/>
    <w:lvl w:ilvl="0">
      <w:lvlJc w:val="left"/>
      <w:lvlText w:val="(%1)"/>
      <w:numFmt w:val="lowerLetter"/>
      <w:start w:val="9"/>
    </w:lvl>
    <w:lvl w:ilvl="1">
      <w:lvlJc w:val="left"/>
      <w:lvlText w:val="(%2)"/>
      <w:numFmt w:val="lowerLetter"/>
      <w:start w:val="4"/>
    </w:lvl>
  </w:abstractNum>
  <w:abstractNum w:abstractNumId="575">
    <w:nsid w:val="5D440695"/>
    <w:multiLevelType w:val="hybridMultilevel"/>
    <w:lvl w:ilvl="0">
      <w:lvlJc w:val="left"/>
      <w:lvlText w:val="(%1)"/>
      <w:numFmt w:val="lowerLetter"/>
      <w:start w:val="1"/>
    </w:lvl>
  </w:abstractNum>
  <w:abstractNum w:abstractNumId="576">
    <w:nsid w:val="5B1047FC"/>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77">
    <w:nsid w:val="E9EA4BB"/>
    <w:multiLevelType w:val="hybridMultilevel"/>
    <w:lvl w:ilvl="0">
      <w:lvlJc w:val="left"/>
      <w:lvlText w:val="(%1)"/>
      <w:numFmt w:val="upperLetter"/>
      <w:start w:val="2"/>
    </w:lvl>
    <w:lvl w:ilvl="1">
      <w:lvlJc w:val="left"/>
      <w:lvlText w:val="(%2)"/>
      <w:numFmt w:val="decimal"/>
      <w:start w:val="1"/>
    </w:lvl>
  </w:abstractNum>
  <w:abstractNum w:abstractNumId="578">
    <w:nsid w:val="2B7C5568"/>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579">
    <w:nsid w:val="4691114B"/>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580">
    <w:nsid w:val="5BADF95F"/>
    <w:multiLevelType w:val="hybridMultilevel"/>
    <w:lvl w:ilvl="0">
      <w:lvlJc w:val="left"/>
      <w:lvlText w:val="(%1)"/>
      <w:numFmt w:val="lowerLetter"/>
      <w:start w:val="7"/>
    </w:lvl>
    <w:lvl w:ilvl="1">
      <w:lvlJc w:val="left"/>
      <w:lvlText w:val="%2"/>
      <w:numFmt w:val="lowerRoman"/>
      <w:start w:val="1"/>
    </w:lvl>
    <w:lvl w:ilvl="2">
      <w:lvlJc w:val="left"/>
      <w:lvlText w:val="%3"/>
      <w:numFmt w:val="upperLetter"/>
      <w:start w:val="1"/>
    </w:lvl>
  </w:abstractNum>
  <w:abstractNum w:abstractNumId="581">
    <w:nsid w:val="76BC5A56"/>
    <w:multiLevelType w:val="hybridMultilevel"/>
    <w:lvl w:ilvl="0">
      <w:lvlJc w:val="left"/>
      <w:lvlText w:val="(%1)"/>
      <w:numFmt w:val="lowerLetter"/>
      <w:start w:val="8"/>
    </w:lvl>
  </w:abstractNum>
  <w:abstractNum w:abstractNumId="582">
    <w:nsid w:val="6C5DC3C4"/>
    <w:multiLevelType w:val="hybridMultilevel"/>
    <w:lvl w:ilvl="0">
      <w:lvlJc w:val="left"/>
      <w:lvlText w:val="(%1)"/>
      <w:numFmt w:val="lowerLetter"/>
      <w:start w:val="1"/>
    </w:lvl>
  </w:abstractNum>
  <w:abstractNum w:abstractNumId="583">
    <w:nsid w:val="2A84F0F7"/>
    <w:multiLevelType w:val="hybridMultilevel"/>
    <w:lvl w:ilvl="0">
      <w:lvlJc w:val="left"/>
      <w:lvlText w:val="(%1)"/>
      <w:numFmt w:val="lowerLetter"/>
      <w:start w:val="3"/>
    </w:lvl>
  </w:abstractNum>
  <w:abstractNum w:abstractNumId="584">
    <w:nsid w:val="7B37AFBB"/>
    <w:multiLevelType w:val="hybridMultilevel"/>
    <w:lvl w:ilvl="0">
      <w:lvlJc w:val="left"/>
      <w:lvlText w:val="(%1)"/>
      <w:numFmt w:val="lowerLetter"/>
      <w:start w:val="5"/>
    </w:lvl>
  </w:abstractNum>
  <w:abstractNum w:abstractNumId="585">
    <w:nsid w:val="7138B819"/>
    <w:multiLevelType w:val="hybridMultilevel"/>
    <w:lvl w:ilvl="0">
      <w:lvlJc w:val="left"/>
      <w:lvlText w:val="(%1)"/>
      <w:numFmt w:val="lowerLetter"/>
      <w:start w:val="1"/>
    </w:lvl>
  </w:abstractNum>
  <w:abstractNum w:abstractNumId="586">
    <w:nsid w:val="65A9E333"/>
    <w:multiLevelType w:val="hybridMultilevel"/>
    <w:lvl w:ilvl="0">
      <w:lvlJc w:val="left"/>
      <w:lvlText w:val="(%1)"/>
      <w:numFmt w:val="lowerLetter"/>
      <w:start w:val="1"/>
    </w:lvl>
  </w:abstractNum>
  <w:abstractNum w:abstractNumId="587">
    <w:nsid w:val="C2F5540"/>
    <w:multiLevelType w:val="hybridMultilevel"/>
    <w:lvl w:ilvl="0">
      <w:lvlJc w:val="left"/>
      <w:lvlText w:val="(%1)"/>
      <w:numFmt w:val="lowerLetter"/>
      <w:start w:val="4"/>
    </w:lvl>
    <w:lvl w:ilvl="1">
      <w:lvlJc w:val="left"/>
      <w:lvlText w:val="(%2)"/>
      <w:numFmt w:val="lowerRoman"/>
      <w:start w:val="1"/>
    </w:lvl>
  </w:abstractNum>
  <w:abstractNum w:abstractNumId="588">
    <w:nsid w:val="68585EA6"/>
    <w:multiLevelType w:val="hybridMultilevel"/>
    <w:lvl w:ilvl="0">
      <w:lvlJc w:val="left"/>
      <w:lvlText w:val="%1"/>
      <w:numFmt w:val="lowerLetter"/>
      <w:start w:val="1"/>
    </w:lvl>
    <w:lvl w:ilvl="1">
      <w:lvlJc w:val="left"/>
      <w:lvlText w:val="(%2)"/>
      <w:numFmt w:val="lowerRoman"/>
      <w:start w:val="3"/>
    </w:lvl>
  </w:abstractNum>
  <w:abstractNum w:abstractNumId="589">
    <w:nsid w:val="71809378"/>
    <w:multiLevelType w:val="hybridMultilevel"/>
    <w:lvl w:ilvl="0">
      <w:lvlJc w:val="left"/>
      <w:lvlText w:val="(%1)"/>
      <w:numFmt w:val="lowerLetter"/>
      <w:start w:val="5"/>
    </w:lvl>
    <w:lvl w:ilvl="1">
      <w:lvlJc w:val="left"/>
      <w:lvlText w:val="%2"/>
      <w:numFmt w:val="lowerRoman"/>
      <w:start w:val="1"/>
    </w:lvl>
  </w:abstractNum>
  <w:abstractNum w:abstractNumId="590">
    <w:nsid w:val="5E1E8AB7"/>
    <w:multiLevelType w:val="hybridMultilevel"/>
    <w:lvl w:ilvl="0">
      <w:lvlJc w:val="left"/>
      <w:lvlText w:val="(%1)"/>
      <w:numFmt w:val="lowerLetter"/>
      <w:start w:val="1"/>
    </w:lvl>
    <w:lvl w:ilvl="1">
      <w:lvlJc w:val="left"/>
      <w:lvlText w:val="(%2)"/>
      <w:numFmt w:val="lowerLetter"/>
      <w:start w:val="9"/>
    </w:lvl>
  </w:abstractNum>
  <w:abstractNum w:abstractNumId="591">
    <w:nsid w:val="5F176EBE"/>
    <w:multiLevelType w:val="hybridMultilevel"/>
    <w:lvl w:ilvl="0">
      <w:lvlJc w:val="left"/>
      <w:lvlText w:val="(%1)"/>
      <w:numFmt w:val="lowerRoman"/>
      <w:start w:val="2"/>
    </w:lvl>
  </w:abstractNum>
  <w:abstractNum w:abstractNumId="592">
    <w:nsid w:val="5D27C5EC"/>
    <w:multiLevelType w:val="hybridMultilevel"/>
    <w:lvl w:ilvl="0">
      <w:lvlJc w:val="left"/>
      <w:lvlText w:val="(%1)"/>
      <w:numFmt w:val="lowerRoman"/>
      <w:start w:val="6"/>
    </w:lvl>
  </w:abstractNum>
  <w:abstractNum w:abstractNumId="593">
    <w:nsid w:val="5D8F08B8"/>
    <w:multiLevelType w:val="hybridMultilevel"/>
    <w:lvl w:ilvl="0">
      <w:lvlJc w:val="left"/>
      <w:lvlText w:val="%1"/>
      <w:numFmt w:val="lowerLetter"/>
      <w:start w:val="1"/>
    </w:lvl>
    <w:lvl w:ilvl="1">
      <w:lvlJc w:val="left"/>
      <w:lvlText w:val="(%2)"/>
      <w:numFmt w:val="lowerRoman"/>
      <w:start w:val="12"/>
    </w:lvl>
  </w:abstractNum>
  <w:abstractNum w:abstractNumId="594">
    <w:nsid w:val="53880228"/>
    <w:multiLevelType w:val="hybridMultilevel"/>
    <w:lvl w:ilvl="0">
      <w:lvlJc w:val="left"/>
      <w:lvlText w:val="(%1)"/>
      <w:numFmt w:val="lowerLetter"/>
      <w:start w:val="2"/>
    </w:lvl>
    <w:lvl w:ilvl="1">
      <w:lvlJc w:val="left"/>
      <w:lvlText w:val="%2"/>
      <w:numFmt w:val="lowerRoman"/>
      <w:start w:val="1"/>
    </w:lvl>
  </w:abstractNum>
  <w:abstractNum w:abstractNumId="595">
    <w:nsid w:val="4E913C51"/>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96">
    <w:nsid w:val="7EBDB63D"/>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597">
    <w:nsid w:val="65FD275F"/>
    <w:multiLevelType w:val="hybridMultilevel"/>
    <w:lvl w:ilvl="0">
      <w:lvlJc w:val="left"/>
      <w:lvlText w:val="(%1)"/>
      <w:numFmt w:val="lowerLetter"/>
      <w:start w:val="6"/>
    </w:lvl>
  </w:abstractNum>
  <w:abstractNum w:abstractNumId="598">
    <w:nsid w:val="5A098B27"/>
    <w:multiLevelType w:val="hybridMultilevel"/>
    <w:lvl w:ilvl="0">
      <w:lvlJc w:val="left"/>
      <w:lvlText w:val="(%1)"/>
      <w:numFmt w:val="lowerLetter"/>
      <w:start w:val="1"/>
    </w:lvl>
    <w:lvl w:ilvl="1">
      <w:lvlJc w:val="left"/>
      <w:lvlText w:val="(%2)"/>
      <w:numFmt w:val="lowerLetter"/>
      <w:start w:val="9"/>
    </w:lvl>
  </w:abstractNum>
  <w:abstractNum w:abstractNumId="599">
    <w:nsid w:val="56BF33F6"/>
    <w:multiLevelType w:val="hybridMultilevel"/>
    <w:lvl w:ilvl="0">
      <w:lvlJc w:val="left"/>
      <w:lvlText w:val="(%1)"/>
      <w:numFmt w:val="lowerRoman"/>
      <w:start w:val="2"/>
    </w:lvl>
  </w:abstractNum>
  <w:abstractNum w:abstractNumId="600">
    <w:nsid w:val="6C3A37B1"/>
    <w:multiLevelType w:val="hybridMultilevel"/>
    <w:lvl w:ilvl="0">
      <w:lvlJc w:val="left"/>
      <w:lvlText w:val="%1"/>
      <w:numFmt w:val="lowerLetter"/>
      <w:start w:val="1"/>
    </w:lvl>
    <w:lvl w:ilvl="1">
      <w:lvlJc w:val="left"/>
      <w:lvlText w:val="(%2)"/>
      <w:numFmt w:val="lowerRoman"/>
      <w:start w:val="4"/>
    </w:lvl>
  </w:abstractNum>
  <w:abstractNum w:abstractNumId="601">
    <w:nsid w:val="696DA7C9"/>
    <w:multiLevelType w:val="hybridMultilevel"/>
    <w:lvl w:ilvl="0">
      <w:lvlJc w:val="left"/>
      <w:lvlText w:val="(%1)"/>
      <w:numFmt w:val="lowerLetter"/>
      <w:start w:val="2"/>
    </w:lvl>
    <w:lvl w:ilvl="1">
      <w:lvlJc w:val="left"/>
      <w:lvlText w:val="%2"/>
      <w:numFmt w:val="lowerRoman"/>
      <w:start w:val="1"/>
    </w:lvl>
  </w:abstractNum>
  <w:abstractNum w:abstractNumId="602">
    <w:nsid w:val="728FACB1"/>
    <w:multiLevelType w:val="hybridMultilevel"/>
    <w:lvl w:ilvl="0">
      <w:lvlJc w:val="left"/>
      <w:lvlText w:val="(%1)"/>
      <w:numFmt w:val="lowerLetter"/>
      <w:start w:val="3"/>
    </w:lvl>
  </w:abstractNum>
  <w:abstractNum w:abstractNumId="603">
    <w:nsid w:val="EF9AD2F"/>
    <w:multiLevelType w:val="hybridMultilevel"/>
    <w:lvl w:ilvl="0">
      <w:lvlJc w:val="left"/>
      <w:lvlText w:val="%1"/>
      <w:numFmt w:val="lowerLetter"/>
      <w:start w:val="1"/>
    </w:lvl>
    <w:lvl w:ilvl="1">
      <w:lvlJc w:val="left"/>
      <w:lvlText w:val="(%2)"/>
      <w:numFmt w:val="lowerLetter"/>
      <w:start w:val="1"/>
    </w:lvl>
  </w:abstractNum>
  <w:abstractNum w:abstractNumId="604">
    <w:nsid w:val="2545A7C9"/>
    <w:multiLevelType w:val="hybridMultilevel"/>
    <w:lvl w:ilvl="0">
      <w:lvlJc w:val="left"/>
      <w:lvlText w:val="(%1)"/>
      <w:numFmt w:val="lowerLetter"/>
      <w:start w:val="24"/>
    </w:lvl>
    <w:lvl w:ilvl="1">
      <w:lvlJc w:val="left"/>
      <w:lvlText w:val="(%2)"/>
      <w:numFmt w:val="lowerLetter"/>
      <w:start w:val="2"/>
    </w:lvl>
  </w:abstractNum>
  <w:abstractNum w:abstractNumId="605">
    <w:nsid w:val="495A99DC"/>
    <w:multiLevelType w:val="hybridMultilevel"/>
    <w:lvl w:ilvl="0">
      <w:lvlJc w:val="left"/>
      <w:lvlText w:val="(%1)"/>
      <w:numFmt w:val="lowerLetter"/>
      <w:start w:val="3"/>
    </w:lvl>
  </w:abstractNum>
  <w:abstractNum w:abstractNumId="606">
    <w:nsid w:val="6C3DB3C4"/>
    <w:multiLevelType w:val="hybridMultilevel"/>
    <w:lvl w:ilvl="0">
      <w:lvlJc w:val="left"/>
      <w:lvlText w:val="(%1)"/>
      <w:numFmt w:val="lowerLetter"/>
      <w:start w:val="2"/>
    </w:lvl>
  </w:abstractNum>
  <w:abstractNum w:abstractNumId="607">
    <w:nsid w:val="55EFC6"/>
    <w:multiLevelType w:val="hybridMultilevel"/>
    <w:lvl w:ilvl="0">
      <w:lvlJc w:val="left"/>
      <w:lvlText w:val="(%1)"/>
      <w:numFmt w:val="decimal"/>
      <w:start w:val="1"/>
    </w:lvl>
  </w:abstractNum>
  <w:abstractNum w:abstractNumId="608">
    <w:nsid w:val="57F93E98"/>
    <w:multiLevelType w:val="hybridMultilevel"/>
    <w:lvl w:ilvl="0">
      <w:lvlJc w:val="left"/>
      <w:lvlText w:val="(%1)"/>
      <w:numFmt w:val="decimal"/>
      <w:start w:val="2"/>
    </w:lvl>
  </w:abstractNum>
  <w:abstractNum w:abstractNumId="609">
    <w:nsid w:val="17BA092C"/>
    <w:multiLevelType w:val="hybridMultilevel"/>
    <w:lvl w:ilvl="0">
      <w:lvlJc w:val="left"/>
      <w:lvlText w:val="(%1)"/>
      <w:numFmt w:val="decimal"/>
      <w:start w:val="1"/>
    </w:lvl>
  </w:abstractNum>
  <w:abstractNum w:abstractNumId="610">
    <w:nsid w:val="46E70111"/>
    <w:multiLevelType w:val="hybridMultilevel"/>
    <w:lvl w:ilvl="0">
      <w:lvlJc w:val="left"/>
      <w:lvlText w:val="(%1)"/>
      <w:numFmt w:val="decimal"/>
      <w:start w:val="1"/>
    </w:lvl>
  </w:abstractNum>
  <w:abstractNum w:abstractNumId="611">
    <w:nsid w:val="33A737F7"/>
    <w:multiLevelType w:val="hybridMultilevel"/>
    <w:lvl w:ilvl="0">
      <w:lvlJc w:val="left"/>
      <w:lvlText w:val="(%1)"/>
      <w:numFmt w:val="decimal"/>
      <w:start w:val="1"/>
    </w:lvl>
  </w:abstractNum>
  <w:abstractNum w:abstractNumId="612">
    <w:nsid w:val="E766383"/>
    <w:multiLevelType w:val="hybridMultilevel"/>
    <w:lvl w:ilvl="0">
      <w:lvlJc w:val="left"/>
      <w:lvlText w:val="(%1)"/>
      <w:numFmt w:val="decimal"/>
      <w:start w:val="3"/>
    </w:lvl>
  </w:abstractNum>
  <w:abstractNum w:abstractNumId="613">
    <w:nsid w:val="3344C4D6"/>
    <w:multiLevelType w:val="hybridMultilevel"/>
    <w:lvl w:ilvl="0">
      <w:lvlJc w:val="left"/>
      <w:lvlText w:val="(%1)"/>
      <w:numFmt w:val="decimal"/>
      <w:start w:val="3"/>
    </w:lvl>
  </w:abstractNum>
  <w:abstractNum w:abstractNumId="614">
    <w:nsid w:val="5E2C28EE"/>
    <w:multiLevelType w:val="hybridMultilevel"/>
    <w:lvl w:ilvl="0">
      <w:lvlJc w:val="left"/>
      <w:lvlText w:val="(%1)"/>
      <w:numFmt w:val="lowerRoman"/>
      <w:start w:val="5"/>
    </w:lvl>
  </w:abstractNum>
  <w:abstractNum w:abstractNumId="615">
    <w:nsid w:val="9AE133E"/>
    <w:multiLevelType w:val="hybridMultilevel"/>
    <w:lvl w:ilvl="0">
      <w:lvlJc w:val="left"/>
      <w:lvlText w:val="(%1)"/>
      <w:numFmt w:val="lowerLetter"/>
      <w:start w:val="1"/>
    </w:lvl>
  </w:abstractNum>
  <w:abstractNum w:abstractNumId="616">
    <w:nsid w:val="247D7CEF"/>
    <w:multiLevelType w:val="hybridMultilevel"/>
    <w:lvl w:ilvl="0">
      <w:lvlJc w:val="left"/>
      <w:lvlText w:val="(%1)"/>
      <w:numFmt w:val="lowerLetter"/>
      <w:start w:val="1"/>
    </w:lvl>
  </w:abstractNum>
  <w:abstractNum w:abstractNumId="617">
    <w:nsid w:val="43D60C21"/>
    <w:multiLevelType w:val="hybridMultilevel"/>
    <w:lvl w:ilvl="0">
      <w:lvlJc w:val="left"/>
      <w:lvlText w:val="(%1)"/>
      <w:numFmt w:val="lowerLetter"/>
      <w:start w:val="2"/>
    </w:lvl>
  </w:abstractNum>
  <w:abstractNum w:abstractNumId="618">
    <w:nsid w:val="15DD687E"/>
    <w:multiLevelType w:val="hybridMultilevel"/>
    <w:lvl w:ilvl="0">
      <w:lvlJc w:val="left"/>
      <w:lvlText w:val="%1"/>
      <w:numFmt w:val="lowerLetter"/>
      <w:start w:val="1"/>
    </w:lvl>
    <w:lvl w:ilvl="1">
      <w:lvlJc w:val="left"/>
      <w:lvlText w:val="(%2)"/>
      <w:numFmt w:val="lowerLetter"/>
      <w:start w:val="1"/>
    </w:lvl>
  </w:abstractNum>
  <w:abstractNum w:abstractNumId="619">
    <w:nsid w:val="CD5DB95"/>
    <w:multiLevelType w:val="hybridMultilevel"/>
    <w:lvl w:ilvl="0">
      <w:lvlJc w:val="left"/>
      <w:lvlText w:val="(%1)"/>
      <w:numFmt w:val="lowerLetter"/>
      <w:start w:val="9"/>
    </w:lvl>
    <w:lvl w:ilvl="1">
      <w:lvlJc w:val="left"/>
      <w:lvlText w:val="(%2)"/>
      <w:numFmt w:val="lowerLetter"/>
      <w:start w:val="3"/>
    </w:lvl>
  </w:abstractNum>
  <w:abstractNum w:abstractNumId="620">
    <w:nsid w:val="35569F99"/>
    <w:multiLevelType w:val="hybridMultilevel"/>
    <w:lvl w:ilvl="0">
      <w:lvlJc w:val="left"/>
      <w:lvlText w:val="(%1)"/>
      <w:numFmt w:val="lowerLetter"/>
      <w:start w:val="1"/>
    </w:lvl>
  </w:abstractNum>
  <w:abstractNum w:abstractNumId="621">
    <w:nsid w:val="73FBF336"/>
    <w:multiLevelType w:val="hybridMultilevel"/>
    <w:lvl w:ilvl="0">
      <w:lvlJc w:val="left"/>
      <w:lvlText w:val="(%1)"/>
      <w:numFmt w:val="lowerLetter"/>
      <w:start w:val="2"/>
    </w:lvl>
  </w:abstractNum>
  <w:abstractNum w:abstractNumId="622">
    <w:nsid w:val="6BED4A53"/>
    <w:multiLevelType w:val="hybridMultilevel"/>
    <w:lvl w:ilvl="0">
      <w:lvlJc w:val="left"/>
      <w:lvlText w:val="(%1)"/>
      <w:numFmt w:val="lowerLetter"/>
      <w:start w:val="1"/>
    </w:lvl>
  </w:abstractNum>
  <w:abstractNum w:abstractNumId="623">
    <w:nsid w:val="127E6585"/>
    <w:multiLevelType w:val="hybridMultilevel"/>
    <w:lvl w:ilvl="0">
      <w:lvlJc w:val="left"/>
      <w:lvlText w:val="(%1)"/>
      <w:numFmt w:val="lowerLetter"/>
      <w:start w:val="1"/>
    </w:lvl>
  </w:abstractNum>
  <w:abstractNum w:abstractNumId="624">
    <w:nsid w:val="518AFBEE"/>
    <w:multiLevelType w:val="hybridMultilevel"/>
    <w:lvl w:ilvl="0">
      <w:lvlJc w:val="left"/>
      <w:lvlText w:val="(%1)"/>
      <w:numFmt w:val="lowerLetter"/>
      <w:start w:val="1"/>
    </w:lvl>
  </w:abstractNum>
  <w:abstractNum w:abstractNumId="625">
    <w:nsid w:val="3F754C7B"/>
    <w:multiLevelType w:val="hybridMultilevel"/>
    <w:lvl w:ilvl="0">
      <w:lvlJc w:val="left"/>
      <w:lvlText w:val="%1"/>
      <w:numFmt w:val="lowerLetter"/>
      <w:start w:val="1"/>
    </w:lvl>
    <w:lvl w:ilvl="1">
      <w:lvlJc w:val="left"/>
      <w:lvlText w:val="(%2)"/>
      <w:numFmt w:val="lowerLetter"/>
      <w:start w:val="5"/>
    </w:lvl>
  </w:abstractNum>
  <w:abstractNum w:abstractNumId="626">
    <w:nsid w:val="610FA1D6"/>
    <w:multiLevelType w:val="hybridMultilevel"/>
    <w:lvl w:ilvl="0">
      <w:lvlJc w:val="left"/>
      <w:lvlText w:val="(%1)"/>
      <w:numFmt w:val="lowerLetter"/>
      <w:start w:val="9"/>
    </w:lvl>
    <w:lvl w:ilvl="1">
      <w:lvlJc w:val="left"/>
      <w:lvlText w:val="(%2)"/>
      <w:numFmt w:val="lowerLetter"/>
      <w:start w:val="7"/>
    </w:lvl>
  </w:abstractNum>
  <w:abstractNum w:abstractNumId="627">
    <w:nsid w:val="5048B22C"/>
    <w:multiLevelType w:val="hybridMultilevel"/>
    <w:lvl w:ilvl="0">
      <w:lvlJc w:val="left"/>
      <w:lvlText w:val="(%1)"/>
      <w:numFmt w:val="lowerLetter"/>
      <w:start w:val="12"/>
    </w:lvl>
  </w:abstractNum>
  <w:abstractNum w:abstractNumId="628">
    <w:nsid w:val="257273DB"/>
    <w:multiLevelType w:val="hybridMultilevel"/>
    <w:lvl w:ilvl="0">
      <w:lvlJc w:val="left"/>
      <w:lvlText w:val="(%1)"/>
      <w:numFmt w:val="lowerLetter"/>
      <w:start w:val="1"/>
    </w:lvl>
  </w:abstractNum>
  <w:abstractNum w:abstractNumId="629">
    <w:nsid w:val="3B192CFD"/>
    <w:multiLevelType w:val="hybridMultilevel"/>
    <w:lvl w:ilvl="0">
      <w:lvlJc w:val="left"/>
      <w:lvlText w:val="(%1)"/>
      <w:numFmt w:val="lowerRoman"/>
      <w:start w:val="10"/>
    </w:lvl>
  </w:abstractNum>
  <w:abstractNum w:abstractNumId="630">
    <w:nsid w:val="2707E622"/>
    <w:multiLevelType w:val="hybridMultilevel"/>
    <w:lvl w:ilvl="0">
      <w:lvlJc w:val="left"/>
      <w:lvlText w:val="(%1)"/>
      <w:numFmt w:val="lowerLetter"/>
      <w:start w:val="1"/>
    </w:lvl>
  </w:abstractNum>
  <w:abstractNum w:abstractNumId="631">
    <w:nsid w:val="11ACAB8C"/>
    <w:multiLevelType w:val="hybridMultilevel"/>
    <w:lvl w:ilvl="0">
      <w:lvlJc w:val="left"/>
      <w:lvlText w:val="(%1)"/>
      <w:numFmt w:val="lowerLetter"/>
      <w:start w:val="25"/>
    </w:lvl>
    <w:lvl w:ilvl="1">
      <w:lvlJc w:val="left"/>
      <w:lvlText w:val="(%2)"/>
      <w:numFmt w:val="lowerLetter"/>
      <w:start w:val="3"/>
    </w:lvl>
  </w:abstractNum>
  <w:abstractNum w:abstractNumId="632">
    <w:nsid w:val="2486D4C7"/>
    <w:multiLevelType w:val="hybridMultilevel"/>
    <w:lvl w:ilvl="0">
      <w:lvlJc w:val="left"/>
      <w:lvlText w:val="(%1)"/>
      <w:numFmt w:val="lowerLetter"/>
      <w:start w:val="10"/>
    </w:lvl>
  </w:abstractNum>
  <w:abstractNum w:abstractNumId="633">
    <w:nsid w:val="199792D3"/>
    <w:multiLevelType w:val="hybridMultilevel"/>
    <w:lvl w:ilvl="0">
      <w:lvlJc w:val="left"/>
      <w:lvlText w:val="(%1)"/>
      <w:numFmt w:val="lowerLetter"/>
      <w:start w:val="1"/>
    </w:lvl>
    <w:lvl w:ilvl="1">
      <w:lvlJc w:val="left"/>
      <w:lvlText w:val="(%2)"/>
      <w:numFmt w:val="lowerRoman"/>
      <w:start w:val="1"/>
    </w:lvl>
  </w:abstractNum>
  <w:abstractNum w:abstractNumId="634">
    <w:nsid w:val="20A658BB"/>
    <w:multiLevelType w:val="hybridMultilevel"/>
    <w:lvl w:ilvl="0">
      <w:lvlJc w:val="left"/>
      <w:lvlText w:val="(%1)"/>
      <w:numFmt w:val="lowerLetter"/>
      <w:start w:val="2"/>
    </w:lvl>
  </w:abstractNum>
  <w:abstractNum w:abstractNumId="635">
    <w:nsid w:val="49CC7C90"/>
    <w:multiLevelType w:val="hybridMultilevel"/>
    <w:lvl w:ilvl="0">
      <w:lvlJc w:val="left"/>
      <w:lvlText w:val="%1"/>
      <w:numFmt w:val="lowerLetter"/>
      <w:start w:val="1"/>
    </w:lvl>
    <w:lvl w:ilvl="1">
      <w:lvlJc w:val="left"/>
      <w:lvlText w:val="(%2)"/>
      <w:numFmt w:val="lowerLetter"/>
      <w:start w:val="1"/>
    </w:lvl>
  </w:abstractNum>
  <w:abstractNum w:abstractNumId="636">
    <w:nsid w:val="62F22CB0"/>
    <w:multiLevelType w:val="hybridMultilevel"/>
    <w:lvl w:ilvl="0">
      <w:lvlJc w:val="left"/>
      <w:lvlText w:val="(%1)"/>
      <w:numFmt w:val="lowerLetter"/>
      <w:start w:val="24"/>
    </w:lvl>
    <w:lvl w:ilvl="1">
      <w:lvlJc w:val="left"/>
      <w:lvlText w:val="%2"/>
      <w:numFmt w:val="lowerLetter"/>
      <w:start w:val="1"/>
    </w:lvl>
  </w:abstractNum>
  <w:abstractNum w:abstractNumId="637">
    <w:nsid w:val="CE40C80"/>
    <w:multiLevelType w:val="hybridMultilevel"/>
    <w:lvl w:ilvl="0">
      <w:lvlJc w:val="left"/>
      <w:lvlText w:val="(%1)"/>
      <w:numFmt w:val="lowerRoman"/>
      <w:start w:val="7"/>
    </w:lvl>
  </w:abstractNum>
  <w:abstractNum w:abstractNumId="638">
    <w:nsid w:val="4A226C56"/>
    <w:multiLevelType w:val="hybridMultilevel"/>
    <w:lvl w:ilvl="0">
      <w:lvlJc w:val="left"/>
      <w:lvlText w:val="(%1)"/>
      <w:numFmt w:val="lowerLetter"/>
      <w:start w:val="1"/>
    </w:lvl>
  </w:abstractNum>
  <w:abstractNum w:abstractNumId="639">
    <w:nsid w:val="3AEB6B48"/>
    <w:multiLevelType w:val="hybridMultilevel"/>
    <w:lvl w:ilvl="0">
      <w:lvlJc w:val="left"/>
      <w:lvlText w:val="(%1)"/>
      <w:numFmt w:val="lowerLetter"/>
      <w:start w:val="2"/>
    </w:lvl>
  </w:abstractNum>
  <w:abstractNum w:abstractNumId="640">
    <w:nsid w:val="249E15AC"/>
    <w:multiLevelType w:val="hybridMultilevel"/>
    <w:lvl w:ilvl="0">
      <w:lvlJc w:val="left"/>
      <w:lvlText w:val="(%1)"/>
      <w:numFmt w:val="lowerLetter"/>
      <w:start w:val="1"/>
    </w:lvl>
  </w:abstractNum>
  <w:abstractNum w:abstractNumId="641">
    <w:nsid w:val="11096D68"/>
    <w:multiLevelType w:val="hybridMultilevel"/>
    <w:lvl w:ilvl="0">
      <w:lvlJc w:val="left"/>
      <w:lvlText w:val="(%1)"/>
      <w:numFmt w:val="lowerLetter"/>
      <w:start w:val="3"/>
    </w:lvl>
  </w:abstractNum>
  <w:abstractNum w:abstractNumId="642">
    <w:nsid w:val="6E92A33F"/>
    <w:multiLevelType w:val="hybridMultilevel"/>
    <w:lvl w:ilvl="0">
      <w:lvlJc w:val="left"/>
      <w:lvlText w:val="(%1)"/>
      <w:numFmt w:val="lowerLetter"/>
      <w:start w:val="12"/>
    </w:lvl>
  </w:abstractNum>
  <w:abstractNum w:abstractNumId="643">
    <w:nsid w:val="3314792F"/>
    <w:multiLevelType w:val="hybridMultilevel"/>
    <w:lvl w:ilvl="0">
      <w:lvlJc w:val="left"/>
      <w:lvlText w:val="(%1)"/>
      <w:numFmt w:val="lowerLetter"/>
      <w:start w:val="14"/>
    </w:lvl>
  </w:abstractNum>
  <w:abstractNum w:abstractNumId="644">
    <w:nsid w:val="444E323E"/>
    <w:multiLevelType w:val="hybridMultilevel"/>
    <w:lvl w:ilvl="0">
      <w:lvlJc w:val="left"/>
      <w:lvlText w:val="(%1)"/>
      <w:numFmt w:val="lowerLetter"/>
      <w:start w:val="1"/>
    </w:lvl>
  </w:abstractNum>
  <w:abstractNum w:abstractNumId="645">
    <w:nsid w:val="4CBECC2D"/>
    <w:multiLevelType w:val="hybridMultilevel"/>
    <w:lvl w:ilvl="0">
      <w:lvlJc w:val="left"/>
      <w:lvlText w:val="(%1)"/>
      <w:numFmt w:val="lowerLetter"/>
      <w:start w:val="2"/>
    </w:lvl>
  </w:abstractNum>
  <w:abstractNum w:abstractNumId="646">
    <w:nsid w:val="3CC28C6E"/>
    <w:multiLevelType w:val="hybridMultilevel"/>
    <w:lvl w:ilvl="0">
      <w:lvlJc w:val="left"/>
      <w:lvlText w:val="(%1)"/>
      <w:numFmt w:val="lowerLetter"/>
      <w:start w:val="9"/>
    </w:lvl>
  </w:abstractNum>
  <w:abstractNum w:abstractNumId="647">
    <w:nsid w:val="68CBAF2D"/>
    <w:multiLevelType w:val="hybridMultilevel"/>
    <w:lvl w:ilvl="0">
      <w:lvlJc w:val="left"/>
      <w:lvlText w:val="%1"/>
      <w:numFmt w:val="upperLetter"/>
      <w:start w:val="1"/>
    </w:lvl>
    <w:lvl w:ilvl="1">
      <w:lvlJc w:val="left"/>
      <w:lvlText w:val="(%2)"/>
      <w:numFmt w:val="lowerLetter"/>
      <w:start w:val="16"/>
    </w:lvl>
  </w:abstractNum>
  <w:abstractNum w:abstractNumId="648">
    <w:nsid w:val="1094D84E"/>
    <w:multiLevelType w:val="hybridMultilevel"/>
    <w:lvl w:ilvl="0">
      <w:lvlJc w:val="left"/>
      <w:lvlText w:val="(%1)"/>
      <w:numFmt w:val="upperLetter"/>
      <w:start w:val="24"/>
    </w:lvl>
    <w:lvl w:ilvl="1">
      <w:lvlJc w:val="left"/>
      <w:lvlText w:val="%2"/>
      <w:numFmt w:val="lowerLetter"/>
      <w:start w:val="1"/>
    </w:lvl>
  </w:abstractNum>
  <w:abstractNum w:abstractNumId="649">
    <w:nsid w:val="529FF4EC"/>
    <w:multiLevelType w:val="hybridMultilevel"/>
    <w:lvl w:ilvl="0">
      <w:lvlJc w:val="left"/>
      <w:lvlText w:val="(%1)"/>
      <w:numFmt w:val="lowerLetter"/>
      <w:start w:val="1"/>
    </w:lvl>
    <w:lvl w:ilvl="1">
      <w:lvlJc w:val="left"/>
      <w:lvlText w:val="(%2)"/>
      <w:numFmt w:val="lowerLetter"/>
      <w:start w:val="17"/>
    </w:lvl>
  </w:abstractNum>
  <w:abstractNum w:abstractNumId="650">
    <w:nsid w:val="75A18AC2"/>
    <w:multiLevelType w:val="hybridMultilevel"/>
    <w:lvl w:ilvl="0">
      <w:lvlJc w:val="left"/>
      <w:lvlText w:val="%1"/>
      <w:numFmt w:val="lowerLetter"/>
      <w:start w:val="1"/>
    </w:lvl>
    <w:lvl w:ilvl="1">
      <w:lvlJc w:val="left"/>
      <w:lvlText w:val="(%2)"/>
      <w:numFmt w:val="lowerLetter"/>
      <w:start w:val="23"/>
    </w:lvl>
  </w:abstractNum>
  <w:abstractNum w:abstractNumId="651">
    <w:nsid w:val="45EB77E8"/>
    <w:multiLevelType w:val="hybridMultilevel"/>
    <w:lvl w:ilvl="0">
      <w:lvlJc w:val="left"/>
      <w:lvlText w:val="(%1)"/>
      <w:numFmt w:val="lowerLetter"/>
      <w:start w:val="35"/>
    </w:lvl>
    <w:lvl w:ilvl="1">
      <w:lvlJc w:val="left"/>
      <w:lvlText w:val="(%2)"/>
      <w:numFmt w:val="lowerLetter"/>
      <w:start w:val="25"/>
    </w:lvl>
  </w:abstractNum>
  <w:abstractNum w:abstractNumId="652">
    <w:nsid w:val="469BE822"/>
    <w:multiLevelType w:val="hybridMultilevel"/>
    <w:lvl w:ilvl="0">
      <w:lvlJc w:val="left"/>
      <w:lvlText w:val="(%1)"/>
      <w:numFmt w:val="lowerLetter"/>
      <w:start w:val="27"/>
    </w:lvl>
  </w:abstractNum>
  <w:abstractNum w:abstractNumId="653">
    <w:nsid w:val="618ED516"/>
    <w:multiLevelType w:val="hybridMultilevel"/>
    <w:lvl w:ilvl="0">
      <w:lvlJc w:val="left"/>
      <w:lvlText w:val="(%1)"/>
      <w:numFmt w:val="lowerLetter"/>
      <w:start w:val="34"/>
    </w:lvl>
  </w:abstractNum>
  <w:abstractNum w:abstractNumId="654">
    <w:nsid w:val="5869DD6D"/>
    <w:multiLevelType w:val="hybridMultilevel"/>
    <w:lvl w:ilvl="0">
      <w:lvlJc w:val="left"/>
      <w:lvlText w:val="(%1)"/>
      <w:numFmt w:val="lowerLetter"/>
      <w:start w:val="1"/>
    </w:lvl>
  </w:abstractNum>
  <w:abstractNum w:abstractNumId="655">
    <w:nsid w:val="1826E411"/>
    <w:multiLevelType w:val="hybridMultilevel"/>
    <w:lvl w:ilvl="0">
      <w:lvlJc w:val="left"/>
      <w:lvlText w:val="%1"/>
      <w:numFmt w:val="lowerLetter"/>
      <w:start w:val="1"/>
    </w:lvl>
    <w:lvl w:ilvl="1">
      <w:lvlJc w:val="left"/>
      <w:lvlText w:val="(%2)"/>
      <w:numFmt w:val="lowerLetter"/>
      <w:start w:val="4"/>
    </w:lvl>
  </w:abstractNum>
  <w:abstractNum w:abstractNumId="656">
    <w:nsid w:val="21042191"/>
    <w:multiLevelType w:val="hybridMultilevel"/>
    <w:lvl w:ilvl="0">
      <w:lvlJc w:val="left"/>
      <w:lvlText w:val="(%1)"/>
      <w:numFmt w:val="lowerLetter"/>
      <w:start w:val="26"/>
    </w:lvl>
    <w:lvl w:ilvl="1">
      <w:lvlJc w:val="left"/>
      <w:lvlText w:val="(%2)"/>
      <w:numFmt w:val="lowerLetter"/>
      <w:start w:val="5"/>
    </w:lvl>
  </w:abstractNum>
  <w:abstractNum w:abstractNumId="657">
    <w:nsid w:val="39797F44"/>
    <w:multiLevelType w:val="hybridMultilevel"/>
    <w:lvl w:ilvl="0">
      <w:lvlJc w:val="left"/>
      <w:lvlText w:val="(%1)"/>
      <w:numFmt w:val="lowerLetter"/>
      <w:start w:val="25"/>
    </w:lvl>
    <w:lvl w:ilvl="1">
      <w:lvlJc w:val="left"/>
      <w:lvlText w:val="(%2)"/>
      <w:numFmt w:val="lowerLetter"/>
      <w:start w:val="6"/>
    </w:lvl>
  </w:abstractNum>
  <w:abstractNum w:abstractNumId="658">
    <w:nsid w:val="686F963D"/>
    <w:multiLevelType w:val="hybridMultilevel"/>
    <w:lvl w:ilvl="0">
      <w:lvlJc w:val="left"/>
      <w:lvlText w:val="(%1)"/>
      <w:numFmt w:val="lowerLetter"/>
      <w:start w:val="22"/>
    </w:lvl>
    <w:lvl w:ilvl="1">
      <w:lvlJc w:val="left"/>
      <w:lvlText w:val="%2"/>
      <w:numFmt w:val="lowerLetter"/>
      <w:start w:val="1"/>
    </w:lvl>
  </w:abstractNum>
  <w:abstractNum w:abstractNumId="659">
    <w:nsid w:val="4676956C"/>
    <w:multiLevelType w:val="hybridMultilevel"/>
    <w:lvl w:ilvl="0">
      <w:lvlJc w:val="left"/>
      <w:lvlText w:val="(%1)"/>
      <w:numFmt w:val="lowerLetter"/>
      <w:start w:val="7"/>
    </w:lvl>
  </w:abstractNum>
  <w:abstractNum w:abstractNumId="660">
    <w:nsid w:val="7492AC41"/>
    <w:multiLevelType w:val="hybridMultilevel"/>
    <w:lvl w:ilvl="0">
      <w:lvlJc w:val="left"/>
      <w:lvlText w:val="%1"/>
      <w:numFmt w:val="lowerRoman"/>
      <w:start w:val="1"/>
    </w:lvl>
    <w:lvl w:ilvl="1">
      <w:lvlJc w:val="left"/>
      <w:lvlText w:val="(%2)"/>
      <w:numFmt w:val="lowerLetter"/>
      <w:start w:val="13"/>
    </w:lvl>
  </w:abstractNum>
  <w:abstractNum w:abstractNumId="661">
    <w:nsid w:val="F777C5F"/>
    <w:multiLevelType w:val="hybridMultilevel"/>
    <w:lvl w:ilvl="0">
      <w:lvlJc w:val="left"/>
      <w:lvlText w:val="(%1)"/>
      <w:numFmt w:val="lowerRoman"/>
      <w:start w:val="4"/>
    </w:lvl>
    <w:lvl w:ilvl="1">
      <w:lvlJc w:val="left"/>
      <w:lvlText w:val="(%2)"/>
      <w:numFmt w:val="lowerLetter"/>
      <w:start w:val="17"/>
    </w:lvl>
  </w:abstractNum>
  <w:abstractNum w:abstractNumId="662">
    <w:nsid w:val="582340F8"/>
    <w:multiLevelType w:val="hybridMultilevel"/>
    <w:lvl w:ilvl="0">
      <w:lvlJc w:val="left"/>
      <w:lvlText w:val="(%1)"/>
      <w:numFmt w:val="lowerLetter"/>
      <w:start w:val="18"/>
    </w:lvl>
  </w:abstractNum>
  <w:abstractNum w:abstractNumId="663">
    <w:nsid w:val="19198108"/>
    <w:multiLevelType w:val="hybridMultilevel"/>
    <w:lvl w:ilvl="0">
      <w:lvlJc w:val="left"/>
      <w:lvlText w:val="(%1)"/>
      <w:numFmt w:val="lowerLetter"/>
      <w:start w:val="27"/>
    </w:lvl>
  </w:abstractNum>
  <w:abstractNum w:abstractNumId="664">
    <w:nsid w:val="290F0F32"/>
    <w:multiLevelType w:val="hybridMultilevel"/>
    <w:lvl w:ilvl="0">
      <w:lvlJc w:val="left"/>
      <w:lvlText w:val="%1"/>
      <w:numFmt w:val="lowerLetter"/>
      <w:start w:val="1"/>
    </w:lvl>
    <w:lvl w:ilvl="1">
      <w:lvlJc w:val="left"/>
      <w:lvlText w:val="(%2)"/>
      <w:numFmt w:val="lowerLetter"/>
      <w:start w:val="29"/>
    </w:lvl>
  </w:abstractNum>
  <w:abstractNum w:abstractNumId="665">
    <w:nsid w:val="78C999B4"/>
    <w:multiLevelType w:val="hybridMultilevel"/>
    <w:lvl w:ilvl="0">
      <w:lvlJc w:val="left"/>
      <w:lvlText w:val="(%1)"/>
      <w:numFmt w:val="lowerLetter"/>
      <w:start w:val="35"/>
    </w:lvl>
    <w:lvl w:ilvl="1">
      <w:lvlJc w:val="left"/>
      <w:lvlText w:val="(%2)"/>
      <w:numFmt w:val="lowerLetter"/>
      <w:start w:val="32"/>
    </w:lvl>
  </w:abstractNum>
  <w:abstractNum w:abstractNumId="666">
    <w:nsid w:val="62E5FD99"/>
    <w:multiLevelType w:val="hybridMultilevel"/>
    <w:lvl w:ilvl="0">
      <w:lvlJc w:val="left"/>
      <w:lvlText w:val="(%1)"/>
      <w:numFmt w:val="lowerLetter"/>
      <w:start w:val="39"/>
    </w:lvl>
  </w:abstractNum>
  <w:abstractNum w:abstractNumId="667">
    <w:nsid w:val="C013BE2"/>
    <w:multiLevelType w:val="hybridMultilevel"/>
    <w:lvl w:ilvl="0">
      <w:lvlJc w:val="left"/>
      <w:lvlText w:val="(%1)"/>
      <w:numFmt w:val="lowerLetter"/>
      <w:start w:val="1"/>
    </w:lvl>
  </w:abstractNum>
  <w:abstractNum w:abstractNumId="668">
    <w:nsid w:val="5ADA634"/>
    <w:multiLevelType w:val="hybridMultilevel"/>
    <w:lvl w:ilvl="0">
      <w:lvlJc w:val="left"/>
      <w:lvlText w:val="(%1)"/>
      <w:numFmt w:val="lowerLetter"/>
      <w:start w:val="2"/>
    </w:lvl>
  </w:abstractNum>
  <w:abstractNum w:abstractNumId="669">
    <w:nsid w:val="2D0869EF"/>
    <w:multiLevelType w:val="hybridMultilevel"/>
    <w:lvl w:ilvl="0">
      <w:lvlJc w:val="left"/>
      <w:lvlText w:val="(%1)"/>
      <w:numFmt w:val="lowerLetter"/>
      <w:start w:val="4"/>
    </w:lvl>
  </w:abstractNum>
  <w:abstractNum w:abstractNumId="670">
    <w:nsid w:val="46ECA72A"/>
    <w:multiLevelType w:val="hybridMultilevel"/>
    <w:lvl w:ilvl="0">
      <w:lvlJc w:val="left"/>
      <w:lvlText w:val="(%1)"/>
      <w:numFmt w:val="lowerLetter"/>
      <w:start w:val="10"/>
    </w:lvl>
  </w:abstractNum>
  <w:abstractNum w:abstractNumId="671">
    <w:nsid w:val="2A4BBBE0"/>
    <w:multiLevelType w:val="hybridMultilevel"/>
    <w:lvl w:ilvl="0">
      <w:lvlJc w:val="left"/>
      <w:lvlText w:val="(%1)"/>
      <w:numFmt w:val="lowerLetter"/>
      <w:start w:val="1"/>
    </w:lvl>
    <w:lvl w:ilvl="1">
      <w:lvlJc w:val="left"/>
      <w:lvlText w:val="(%2)"/>
      <w:numFmt w:val="lowerLetter"/>
      <w:start w:val="9"/>
    </w:lvl>
  </w:abstractNum>
  <w:abstractNum w:abstractNumId="672">
    <w:nsid w:val="3E11D757"/>
    <w:multiLevelType w:val="hybridMultilevel"/>
    <w:lvl w:ilvl="0">
      <w:lvlJc w:val="left"/>
      <w:lvlText w:val="%1"/>
      <w:numFmt w:val="upperLetter"/>
      <w:start w:val="1"/>
    </w:lvl>
    <w:lvl w:ilvl="1">
      <w:lvlJc w:val="left"/>
      <w:lvlText w:val="(%2)"/>
      <w:numFmt w:val="lowerRoman"/>
      <w:start w:val="2"/>
    </w:lvl>
    <w:lvl w:ilvl="2">
      <w:lvlJc w:val="left"/>
      <w:lvlText w:val="(%3)"/>
      <w:numFmt w:val="upperLetter"/>
      <w:start w:val="1"/>
    </w:lvl>
  </w:abstractNum>
  <w:abstractNum w:abstractNumId="673">
    <w:nsid w:val="357F4A69"/>
    <w:multiLevelType w:val="hybridMultilevel"/>
    <w:lvl w:ilvl="0">
      <w:lvlJc w:val="left"/>
      <w:lvlText w:val="(%1)"/>
      <w:numFmt w:val="upperLetter"/>
      <w:start w:val="3"/>
    </w:lvl>
    <w:lvl w:ilvl="1">
      <w:lvlJc w:val="left"/>
      <w:lvlText w:val="%2"/>
      <w:numFmt w:val="lowerRoman"/>
      <w:start w:val="1"/>
    </w:lvl>
    <w:lvl w:ilvl="2">
      <w:lvlJc w:val="left"/>
      <w:lvlText w:val="%3"/>
      <w:numFmt w:val="upperLetter"/>
      <w:start w:val="1"/>
    </w:lvl>
  </w:abstractNum>
  <w:abstractNum w:abstractNumId="674">
    <w:nsid w:val="5D603510"/>
    <w:multiLevelType w:val="hybridMultilevel"/>
    <w:lvl w:ilvl="0">
      <w:lvlJc w:val="left"/>
      <w:lvlText w:val="(%1)"/>
      <w:numFmt w:val="lowerRoman"/>
      <w:start w:val="5"/>
    </w:lvl>
  </w:abstractNum>
  <w:abstractNum w:abstractNumId="675">
    <w:nsid w:val="2600995"/>
    <w:multiLevelType w:val="hybridMultilevel"/>
    <w:lvl w:ilvl="0">
      <w:lvlJc w:val="left"/>
      <w:lvlText w:val="(%1)"/>
      <w:numFmt w:val="lowerRoman"/>
      <w:start w:val="11"/>
    </w:lvl>
  </w:abstractNum>
  <w:abstractNum w:abstractNumId="676">
    <w:nsid w:val="23E1696"/>
    <w:multiLevelType w:val="hybridMultilevel"/>
    <w:lvl w:ilvl="0">
      <w:lvlJc w:val="left"/>
      <w:lvlText w:val="%1"/>
      <w:numFmt w:val="lowerLetter"/>
      <w:start w:val="1"/>
    </w:lvl>
    <w:lvl w:ilvl="1">
      <w:lvlJc w:val="left"/>
      <w:lvlText w:val="(%2)"/>
      <w:numFmt w:val="lowerRoman"/>
      <w:start w:val="20"/>
    </w:lvl>
  </w:abstractNum>
  <w:abstractNum w:abstractNumId="677">
    <w:nsid w:val="1A22C17E"/>
    <w:multiLevelType w:val="hybridMultilevel"/>
    <w:lvl w:ilvl="0">
      <w:lvlJc w:val="left"/>
      <w:lvlText w:val="(%1)"/>
      <w:numFmt w:val="lowerLetter"/>
      <w:start w:val="2"/>
    </w:lvl>
    <w:lvl w:ilvl="1">
      <w:lvlJc w:val="left"/>
      <w:lvlText w:val="(%2)"/>
      <w:numFmt w:val="lowerRoman"/>
      <w:start w:val="1"/>
    </w:lvl>
  </w:abstractNum>
  <w:abstractNum w:abstractNumId="678">
    <w:nsid w:val="6B2BB8C2"/>
    <w:multiLevelType w:val="hybridMultilevel"/>
    <w:lvl w:ilvl="0">
      <w:lvlJc w:val="left"/>
      <w:lvlText w:val="(%1)"/>
      <w:numFmt w:val="lowerRoman"/>
      <w:start w:val="6"/>
    </w:lvl>
  </w:abstractNum>
  <w:abstractNum w:abstractNumId="679">
    <w:nsid w:val="12D2EEE5"/>
    <w:multiLevelType w:val="hybridMultilevel"/>
    <w:lvl w:ilvl="0">
      <w:lvlJc w:val="left"/>
      <w:lvlText w:val="(%1)"/>
      <w:numFmt w:val="lowerLetter"/>
      <w:start w:val="1"/>
    </w:lvl>
  </w:abstractNum>
  <w:abstractNum w:abstractNumId="680">
    <w:nsid w:val="6CC2B66A"/>
    <w:multiLevelType w:val="hybridMultilevel"/>
    <w:lvl w:ilvl="0">
      <w:lvlJc w:val="left"/>
      <w:lvlText w:val="%1"/>
      <w:numFmt w:val="lowerLetter"/>
      <w:start w:val="1"/>
    </w:lvl>
    <w:lvl w:ilvl="1">
      <w:lvlJc w:val="left"/>
      <w:lvlText w:val="(%2)"/>
      <w:numFmt w:val="lowerLetter"/>
      <w:start w:val="4"/>
    </w:lvl>
  </w:abstractNum>
  <w:abstractNum w:abstractNumId="681">
    <w:nsid w:val="60CD4385"/>
    <w:multiLevelType w:val="hybridMultilevel"/>
    <w:lvl w:ilvl="0">
      <w:lvlJc w:val="left"/>
      <w:lvlText w:val="(%1)"/>
      <w:numFmt w:val="lowerLetter"/>
      <w:start w:val="9"/>
    </w:lvl>
    <w:lvl w:ilvl="1">
      <w:lvlJc w:val="left"/>
      <w:lvlText w:val="(%2)"/>
      <w:numFmt w:val="lowerLetter"/>
      <w:start w:val="7"/>
    </w:lvl>
  </w:abstractNum>
  <w:abstractNum w:abstractNumId="682">
    <w:nsid w:val="58BE66CD"/>
    <w:multiLevelType w:val="hybridMultilevel"/>
    <w:lvl w:ilvl="0">
      <w:lvlJc w:val="left"/>
      <w:lvlText w:val="(%1)"/>
      <w:numFmt w:val="lowerLetter"/>
      <w:start w:val="13"/>
    </w:lvl>
    <w:lvl w:ilvl="1">
      <w:lvlJc w:val="left"/>
      <w:lvlText w:val="(%2)"/>
      <w:numFmt w:val="lowerRoman"/>
      <w:start w:val="1"/>
    </w:lvl>
  </w:abstractNum>
  <w:abstractNum w:abstractNumId="683">
    <w:nsid w:val="335E9E8D"/>
    <w:multiLevelType w:val="hybridMultilevel"/>
    <w:lvl w:ilvl="0">
      <w:lvlJc w:val="left"/>
      <w:lvlText w:val="%1"/>
      <w:numFmt w:val="lowerLetter"/>
      <w:start w:val="1"/>
    </w:lvl>
    <w:lvl w:ilvl="1">
      <w:lvlJc w:val="left"/>
      <w:lvlText w:val="(%2)"/>
      <w:numFmt w:val="lowerLetter"/>
      <w:start w:val="19"/>
    </w:lvl>
  </w:abstractNum>
  <w:abstractNum w:abstractNumId="684">
    <w:nsid w:val="425C189B"/>
    <w:multiLevelType w:val="hybridMultilevel"/>
    <w:lvl w:ilvl="0">
      <w:lvlJc w:val="left"/>
      <w:lvlText w:val="(%1)"/>
      <w:numFmt w:val="lowerLetter"/>
      <w:start w:val="35"/>
    </w:lvl>
    <w:lvl w:ilvl="1">
      <w:lvlJc w:val="left"/>
      <w:lvlText w:val="(%2)"/>
      <w:numFmt w:val="lowerLetter"/>
      <w:start w:val="20"/>
    </w:lvl>
  </w:abstractNum>
  <w:abstractNum w:abstractNumId="685">
    <w:nsid w:val="3128443A"/>
    <w:multiLevelType w:val="hybridMultilevel"/>
    <w:lvl w:ilvl="0">
      <w:lvlJc w:val="left"/>
      <w:lvlText w:val="(%1)"/>
      <w:numFmt w:val="lowerLetter"/>
      <w:start w:val="27"/>
    </w:lvl>
  </w:abstractNum>
  <w:abstractNum w:abstractNumId="686">
    <w:nsid w:val="4B85829E"/>
    <w:multiLevelType w:val="hybridMultilevel"/>
    <w:lvl w:ilvl="0">
      <w:lvlJc w:val="left"/>
      <w:lvlText w:val="(%1)"/>
      <w:numFmt w:val="lowerLetter"/>
      <w:start w:val="28"/>
    </w:lvl>
  </w:abstractNum>
  <w:abstractNum w:abstractNumId="687">
    <w:nsid w:val="63603A2C"/>
    <w:multiLevelType w:val="hybridMultilevel"/>
    <w:lvl w:ilvl="0">
      <w:lvlJc w:val="left"/>
      <w:lvlText w:val="(%1)"/>
      <w:numFmt w:val="lowerLetter"/>
      <w:start w:val="34"/>
    </w:lvl>
  </w:abstractNum>
  <w:abstractNum w:abstractNumId="688">
    <w:nsid w:val="6AA1C37E"/>
    <w:multiLevelType w:val="hybridMultilevel"/>
    <w:lvl w:ilvl="0">
      <w:lvlJc w:val="left"/>
      <w:lvlText w:val="(%1)"/>
      <w:numFmt w:val="lowerLetter"/>
      <w:start w:val="37"/>
    </w:lvl>
  </w:abstractNum>
  <w:abstractNum w:abstractNumId="689">
    <w:nsid w:val="33F518DB"/>
    <w:multiLevelType w:val="hybridMultilevel"/>
    <w:lvl w:ilvl="0">
      <w:lvlJc w:val="left"/>
      <w:lvlText w:val="(%1)"/>
      <w:numFmt w:val="lowerLetter"/>
      <w:start w:val="1"/>
    </w:lvl>
  </w:abstractNum>
  <w:abstractNum w:abstractNumId="690">
    <w:nsid w:val="29D6CF99"/>
    <w:multiLevelType w:val="hybridMultilevel"/>
    <w:lvl w:ilvl="0">
      <w:lvlJc w:val="left"/>
      <w:lvlText w:val="(%1)"/>
      <w:numFmt w:val="lowerLetter"/>
      <w:start w:val="25"/>
    </w:lvl>
    <w:lvl w:ilvl="1">
      <w:lvlJc w:val="left"/>
      <w:lvlText w:val="(%2)"/>
      <w:numFmt w:val="lowerLetter"/>
      <w:start w:val="2"/>
    </w:lvl>
  </w:abstractNum>
  <w:abstractNum w:abstractNumId="691">
    <w:nsid w:val="5F346FC0"/>
    <w:multiLevelType w:val="hybridMultilevel"/>
    <w:lvl w:ilvl="0">
      <w:lvlJc w:val="left"/>
      <w:lvlText w:val="%1"/>
      <w:numFmt w:val="lowerLetter"/>
      <w:start w:val="1"/>
    </w:lvl>
    <w:lvl w:ilvl="1">
      <w:lvlJc w:val="left"/>
      <w:lvlText w:val="(%2)"/>
      <w:numFmt w:val="lowerLetter"/>
      <w:start w:val="8"/>
    </w:lvl>
  </w:abstractNum>
  <w:abstractNum w:abstractNumId="692">
    <w:nsid w:val="436C953A"/>
    <w:multiLevelType w:val="hybridMultilevel"/>
    <w:lvl w:ilvl="0">
      <w:lvlJc w:val="left"/>
      <w:lvlText w:val="(%1)"/>
      <w:numFmt w:val="lowerLetter"/>
      <w:start w:val="35"/>
    </w:lvl>
    <w:lvl w:ilvl="1">
      <w:lvlJc w:val="left"/>
      <w:lvlText w:val="(%2)"/>
      <w:numFmt w:val="lowerLetter"/>
      <w:start w:val="9"/>
    </w:lvl>
  </w:abstractNum>
  <w:abstractNum w:abstractNumId="693">
    <w:nsid w:val="1FA1091"/>
    <w:multiLevelType w:val="hybridMultilevel"/>
    <w:lvl w:ilvl="0">
      <w:lvlJc w:val="left"/>
      <w:lvlText w:val="%1"/>
      <w:numFmt w:val="lowerLetter"/>
      <w:start w:val="1"/>
    </w:lvl>
    <w:lvl w:ilvl="1">
      <w:lvlJc w:val="left"/>
      <w:lvlText w:val="(%2)"/>
      <w:numFmt w:val="lowerLetter"/>
      <w:start w:val="12"/>
    </w:lvl>
  </w:abstractNum>
  <w:abstractNum w:abstractNumId="694">
    <w:nsid w:val="784DF0C8"/>
    <w:multiLevelType w:val="hybridMultilevel"/>
    <w:lvl w:ilvl="0">
      <w:lvlJc w:val="left"/>
      <w:lvlText w:val="(%1)"/>
      <w:numFmt w:val="lowerLetter"/>
      <w:start w:val="61"/>
    </w:lvl>
    <w:lvl w:ilvl="1">
      <w:lvlJc w:val="left"/>
      <w:lvlText w:val="(%2)"/>
      <w:numFmt w:val="lowerLetter"/>
      <w:start w:val="14"/>
    </w:lvl>
  </w:abstractNum>
  <w:abstractNum w:abstractNumId="695">
    <w:nsid w:val="6C7BA46C"/>
    <w:multiLevelType w:val="hybridMultilevel"/>
    <w:lvl w:ilvl="0">
      <w:lvlJc w:val="left"/>
      <w:lvlText w:val="(%1)"/>
      <w:numFmt w:val="lowerLetter"/>
      <w:start w:val="20"/>
    </w:lvl>
  </w:abstractNum>
  <w:abstractNum w:abstractNumId="696">
    <w:nsid w:val="7AC3AA45"/>
    <w:multiLevelType w:val="hybridMultilevel"/>
    <w:lvl w:ilvl="0">
      <w:lvlJc w:val="left"/>
      <w:lvlText w:val="(%1)"/>
      <w:numFmt w:val="lowerLetter"/>
      <w:start w:val="27"/>
    </w:lvl>
  </w:abstractNum>
  <w:abstractNum w:abstractNumId="697">
    <w:nsid w:val="5B33EE61"/>
    <w:multiLevelType w:val="hybridMultilevel"/>
    <w:lvl w:ilvl="0">
      <w:lvlJc w:val="left"/>
      <w:lvlText w:val="(%1)"/>
      <w:numFmt w:val="lowerLetter"/>
      <w:start w:val="32"/>
    </w:lvl>
  </w:abstractNum>
  <w:abstractNum w:abstractNumId="698">
    <w:nsid w:val="787CE04F"/>
    <w:multiLevelType w:val="hybridMultilevel"/>
    <w:lvl w:ilvl="0">
      <w:lvlJc w:val="left"/>
      <w:lvlText w:val="(%1)"/>
      <w:numFmt w:val="lowerLetter"/>
      <w:start w:val="1"/>
    </w:lvl>
  </w:abstractNum>
  <w:abstractNum w:abstractNumId="699">
    <w:nsid w:val="715079"/>
    <w:multiLevelType w:val="hybridMultilevel"/>
    <w:lvl w:ilvl="0">
      <w:lvlJc w:val="left"/>
      <w:lvlText w:val="%1"/>
      <w:numFmt w:val="lowerRoman"/>
      <w:start w:val="1"/>
    </w:lvl>
    <w:lvl w:ilvl="1">
      <w:lvlJc w:val="left"/>
      <w:lvlText w:val="(%2)"/>
      <w:numFmt w:val="lowerLetter"/>
      <w:start w:val="1"/>
    </w:lvl>
  </w:abstractNum>
  <w:abstractNum w:abstractNumId="700">
    <w:nsid w:val="83C5851"/>
    <w:multiLevelType w:val="hybridMultilevel"/>
    <w:lvl w:ilvl="0">
      <w:lvlJc w:val="left"/>
      <w:lvlText w:val="(%1)"/>
      <w:numFmt w:val="lowerRoman"/>
      <w:start w:val="1"/>
    </w:lvl>
    <w:lvl w:ilvl="1">
      <w:lvlJc w:val="left"/>
      <w:lvlText w:val="%2"/>
      <w:numFmt w:val="lowerLetter"/>
      <w:start w:val="1"/>
    </w:lvl>
  </w:abstractNum>
  <w:abstractNum w:abstractNumId="701">
    <w:nsid w:val="3F698779"/>
    <w:multiLevelType w:val="hybridMultilevel"/>
    <w:lvl w:ilvl="0">
      <w:lvlJc w:val="left"/>
      <w:lvlText w:val="(%1)"/>
      <w:numFmt w:val="lowerRoman"/>
      <w:start w:val="3"/>
    </w:lvl>
    <w:lvl w:ilvl="1">
      <w:lvlJc w:val="left"/>
      <w:lvlText w:val="%2"/>
      <w:numFmt w:val="lowerLetter"/>
      <w:start w:val="1"/>
    </w:lvl>
  </w:abstractNum>
  <w:abstractNum w:abstractNumId="702">
    <w:nsid w:val="2ABD0C5A"/>
    <w:multiLevelType w:val="hybridMultilevel"/>
    <w:lvl w:ilvl="0">
      <w:lvlJc w:val="left"/>
      <w:lvlText w:val="(%1)"/>
      <w:numFmt w:val="lowerLetter"/>
      <w:start w:val="6"/>
    </w:lvl>
  </w:abstractNum>
  <w:abstractNum w:abstractNumId="703">
    <w:nsid w:val="464E2FA8"/>
    <w:multiLevelType w:val="hybridMultilevel"/>
    <w:lvl w:ilvl="0">
      <w:lvlJc w:val="left"/>
      <w:lvlText w:val="(%1)"/>
      <w:numFmt w:val="lowerLetter"/>
      <w:start w:val="1"/>
    </w:lvl>
  </w:abstractNum>
  <w:abstractNum w:abstractNumId="704">
    <w:nsid w:val="74E8D1E3"/>
    <w:multiLevelType w:val="hybridMultilevel"/>
    <w:lvl w:ilvl="0">
      <w:lvlJc w:val="left"/>
      <w:lvlText w:val="(%1)"/>
      <w:numFmt w:val="lowerLetter"/>
      <w:start w:val="3"/>
    </w:lvl>
  </w:abstractNum>
  <w:abstractNum w:abstractNumId="705">
    <w:nsid w:val="81D416A"/>
    <w:multiLevelType w:val="hybridMultilevel"/>
    <w:lvl w:ilvl="0">
      <w:lvlJc w:val="left"/>
      <w:lvlText w:val="(%1)"/>
      <w:numFmt w:val="lowerLetter"/>
      <w:start w:val="1"/>
    </w:lvl>
  </w:abstractNum>
  <w:abstractNum w:abstractNumId="706">
    <w:nsid w:val="48AE393E"/>
    <w:multiLevelType w:val="hybridMultilevel"/>
    <w:lvl w:ilvl="0">
      <w:lvlJc w:val="left"/>
      <w:lvlText w:val="(%1)"/>
      <w:numFmt w:val="lowerLetter"/>
      <w:start w:val="3"/>
    </w:lvl>
  </w:abstractNum>
  <w:abstractNum w:abstractNumId="707">
    <w:nsid w:val="7726E879"/>
    <w:multiLevelType w:val="hybridMultilevel"/>
    <w:lvl w:ilvl="0">
      <w:lvlJc w:val="left"/>
      <w:lvlText w:val="(%1)"/>
      <w:numFmt w:val="lowerLetter"/>
      <w:start w:val="7"/>
    </w:lvl>
  </w:abstractNum>
  <w:abstractNum w:abstractNumId="708">
    <w:nsid w:val="224002E8"/>
    <w:multiLevelType w:val="hybridMultilevel"/>
    <w:lvl w:ilvl="0">
      <w:lvlJc w:val="left"/>
      <w:lvlText w:val="(%1)"/>
      <w:numFmt w:val="lowerLetter"/>
      <w:start w:val="12"/>
    </w:lvl>
  </w:abstractNum>
  <w:abstractNum w:abstractNumId="709">
    <w:nsid w:val="33D9F200"/>
    <w:multiLevelType w:val="hybridMultilevel"/>
    <w:lvl w:ilvl="0">
      <w:lvlJc w:val="left"/>
      <w:lvlText w:val="(%1)"/>
      <w:numFmt w:val="lowerLetter"/>
      <w:start w:val="2"/>
    </w:lvl>
  </w:abstractNum>
  <w:abstractNum w:abstractNumId="710">
    <w:nsid w:val="9F9D75E"/>
    <w:multiLevelType w:val="hybridMultilevel"/>
    <w:lvl w:ilvl="0">
      <w:lvlJc w:val="left"/>
      <w:lvlText w:val="(%1)"/>
      <w:numFmt w:val="decimal"/>
      <w:start w:val="2"/>
    </w:lvl>
  </w:abstractNum>
  <w:abstractNum w:abstractNumId="711">
    <w:nsid w:val="F02B952"/>
    <w:multiLevelType w:val="hybridMultilevel"/>
    <w:lvl w:ilvl="0">
      <w:lvlJc w:val="left"/>
      <w:lvlText w:val="(%1)"/>
      <w:numFmt w:val="lowerLetter"/>
      <w:start w:val="1"/>
    </w:lvl>
  </w:abstractNum>
  <w:abstractNum w:abstractNumId="712">
    <w:nsid w:val="14A73585"/>
    <w:multiLevelType w:val="hybridMultilevel"/>
    <w:lvl w:ilvl="0">
      <w:lvlJc w:val="left"/>
      <w:lvlText w:val="(%1)"/>
      <w:numFmt w:val="lowerRoman"/>
      <w:start w:val="1"/>
    </w:lvl>
  </w:abstractNum>
  <w:abstractNum w:abstractNumId="713">
    <w:nsid w:val="62B83E2B"/>
    <w:multiLevelType w:val="hybridMultilevel"/>
    <w:lvl w:ilvl="0">
      <w:lvlJc w:val="left"/>
      <w:lvlText w:val="%1"/>
      <w:numFmt w:val="lowerLetter"/>
      <w:start w:val="1"/>
    </w:lvl>
    <w:lvl w:ilvl="1">
      <w:lvlJc w:val="left"/>
      <w:lvlText w:val="(%2)"/>
      <w:numFmt w:val="lowerLetter"/>
      <w:start w:val="1"/>
    </w:lvl>
  </w:abstractNum>
  <w:abstractNum w:abstractNumId="714">
    <w:nsid w:val="426157DF"/>
    <w:multiLevelType w:val="hybridMultilevel"/>
    <w:lvl w:ilvl="0">
      <w:lvlJc w:val="left"/>
      <w:lvlText w:val="(%1)"/>
      <w:numFmt w:val="lowerLetter"/>
      <w:start w:val="4"/>
    </w:lvl>
    <w:lvl w:ilvl="1">
      <w:lvlJc w:val="left"/>
      <w:lvlText w:val="(%2)"/>
      <w:numFmt w:val="lowerLetter"/>
      <w:start w:val="2"/>
    </w:lvl>
  </w:abstractNum>
  <w:abstractNum w:abstractNumId="715">
    <w:nsid w:val="57034E20"/>
    <w:multiLevelType w:val="hybridMultilevel"/>
    <w:lvl w:ilvl="0">
      <w:lvlJc w:val="left"/>
      <w:lvlText w:val="(%1)"/>
      <w:numFmt w:val="lowerLetter"/>
      <w:start w:val="3"/>
    </w:lvl>
  </w:abstractNum>
  <w:abstractNum w:abstractNumId="716">
    <w:nsid w:val="13E08266"/>
    <w:multiLevelType w:val="hybridMultilevel"/>
    <w:lvl w:ilvl="0">
      <w:lvlJc w:val="left"/>
      <w:lvlText w:val="(%1)"/>
      <w:numFmt w:val="lowerLetter"/>
      <w:start w:val="3"/>
    </w:lvl>
  </w:abstractNum>
  <w:abstractNum w:abstractNumId="717">
    <w:nsid w:val="DE6DA7D"/>
    <w:multiLevelType w:val="hybridMultilevel"/>
    <w:lvl w:ilvl="0">
      <w:lvlJc w:val="left"/>
      <w:lvlText w:val="(%1)"/>
      <w:numFmt w:val="lowerLetter"/>
      <w:start w:val="1"/>
    </w:lvl>
    <w:lvl w:ilvl="1">
      <w:lvlJc w:val="left"/>
      <w:lvlText w:val="(%2)"/>
      <w:numFmt w:val="lowerLetter"/>
      <w:start w:val="9"/>
    </w:lvl>
  </w:abstractNum>
  <w:abstractNum w:abstractNumId="718">
    <w:nsid w:val="3A63884D"/>
    <w:multiLevelType w:val="hybridMultilevel"/>
    <w:lvl w:ilvl="0">
      <w:lvlJc w:val="left"/>
      <w:lvlText w:val="(%1)"/>
      <w:numFmt w:val="lowerRoman"/>
      <w:start w:val="2"/>
    </w:lvl>
  </w:abstractNum>
  <w:abstractNum w:abstractNumId="719">
    <w:nsid w:val="7E8245E4"/>
    <w:multiLevelType w:val="hybridMultilevel"/>
    <w:lvl w:ilvl="0">
      <w:lvlJc w:val="left"/>
      <w:lvlText w:val="%1"/>
      <w:numFmt w:val="lowerLetter"/>
      <w:start w:val="1"/>
    </w:lvl>
    <w:lvl w:ilvl="1">
      <w:lvlJc w:val="left"/>
      <w:lvlText w:val="(%2)"/>
      <w:numFmt w:val="lowerLetter"/>
      <w:start w:val="2"/>
    </w:lvl>
  </w:abstractNum>
  <w:abstractNum w:abstractNumId="720">
    <w:nsid w:val="41DBF358"/>
    <w:multiLevelType w:val="hybridMultilevel"/>
    <w:lvl w:ilvl="0">
      <w:lvlJc w:val="left"/>
      <w:lvlText w:val="(%1)"/>
      <w:numFmt w:val="lowerLetter"/>
      <w:start w:val="9"/>
    </w:lvl>
    <w:lvl w:ilvl="1">
      <w:lvlJc w:val="left"/>
      <w:lvlText w:val="(%2)"/>
      <w:numFmt w:val="lowerLetter"/>
      <w:start w:val="3"/>
    </w:lvl>
  </w:abstractNum>
  <w:abstractNum w:abstractNumId="721">
    <w:nsid w:val="643A57E6"/>
    <w:multiLevelType w:val="hybridMultilevel"/>
    <w:lvl w:ilvl="0">
      <w:lvlJc w:val="left"/>
      <w:lvlText w:val="(%1)"/>
      <w:numFmt w:val="lowerLetter"/>
      <w:start w:val="1"/>
    </w:lvl>
    <w:lvl w:ilvl="1">
      <w:lvlJc w:val="left"/>
      <w:lvlText w:val="(%2)"/>
      <w:numFmt w:val="upperLetter"/>
      <w:start w:val="1"/>
    </w:lvl>
  </w:abstractNum>
  <w:abstractNum w:abstractNumId="722">
    <w:nsid w:val="5DB6B5A4"/>
    <w:multiLevelType w:val="hybridMultilevel"/>
    <w:lvl w:ilvl="0">
      <w:lvlJc w:val="left"/>
      <w:lvlText w:val="(%1)"/>
      <w:numFmt w:val="decimal"/>
      <w:start w:val="1"/>
    </w:lvl>
  </w:abstractNum>
  <w:abstractNum w:abstractNumId="723">
    <w:nsid w:val="5488892"/>
    <w:multiLevelType w:val="hybridMultilevel"/>
    <w:lvl w:ilvl="0">
      <w:lvlJc w:val="left"/>
      <w:lvlText w:val="%1"/>
      <w:numFmt w:val="upperLetter"/>
      <w:start w:val="1"/>
    </w:lvl>
    <w:lvl w:ilvl="1">
      <w:lvlJc w:val="left"/>
      <w:lvlText w:val="%2"/>
      <w:numFmt w:val="lowerLetter"/>
      <w:start w:val="1"/>
    </w:lvl>
    <w:lvl w:ilvl="2">
      <w:lvlJc w:val="left"/>
      <w:lvlText w:val="(%3)"/>
      <w:numFmt w:val="decimal"/>
      <w:start w:val="6"/>
    </w:lvl>
  </w:abstractNum>
  <w:abstractNum w:abstractNumId="724">
    <w:nsid w:val="66346877"/>
    <w:multiLevelType w:val="hybridMultilevel"/>
    <w:lvl w:ilvl="0">
      <w:lvlJc w:val="left"/>
      <w:lvlText w:val="%1"/>
      <w:numFmt w:val="upperLetter"/>
      <w:start w:val="1"/>
    </w:lvl>
    <w:lvl w:ilvl="1">
      <w:lvlJc w:val="left"/>
      <w:lvlText w:val="(%2)"/>
      <w:numFmt w:val="lowerLetter"/>
      <w:start w:val="25"/>
    </w:lvl>
    <w:lvl w:ilvl="2">
      <w:lvlJc w:val="left"/>
      <w:lvlText w:val="%3"/>
      <w:numFmt w:val="decimal"/>
      <w:start w:val="1"/>
    </w:lvl>
  </w:abstractNum>
  <w:abstractNum w:abstractNumId="725">
    <w:nsid w:val="5604A66D"/>
    <w:multiLevelType w:val="hybridMultilevel"/>
    <w:lvl w:ilvl="0">
      <w:lvlJc w:val="left"/>
      <w:lvlText w:val="(%1)"/>
      <w:numFmt w:val="upperLetter"/>
      <w:start w:val="2"/>
    </w:lvl>
    <w:lvl w:ilvl="1">
      <w:lvlJc w:val="left"/>
      <w:lvlText w:val="%2"/>
      <w:numFmt w:val="lowerLetter"/>
      <w:start w:val="1"/>
    </w:lvl>
    <w:lvl w:ilvl="2">
      <w:lvlJc w:val="left"/>
      <w:lvlText w:val="(%3)"/>
      <w:numFmt w:val="decimal"/>
      <w:start w:val="1"/>
    </w:lvl>
  </w:abstractNum>
  <w:abstractNum w:abstractNumId="726">
    <w:nsid w:val="71C42CFF"/>
    <w:multiLevelType w:val="hybridMultilevel"/>
    <w:lvl w:ilvl="0">
      <w:lvlJc w:val="left"/>
      <w:lvlText w:val="(%1)"/>
      <w:numFmt w:val="upperLetter"/>
      <w:start w:val="4"/>
    </w:lvl>
  </w:abstractNum>
  <w:abstractNum w:abstractNumId="727">
    <w:nsid w:val="60F812B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728">
    <w:nsid w:val="313894CE"/>
    <w:multiLevelType w:val="hybridMultilevel"/>
    <w:lvl w:ilvl="0">
      <w:lvlJc w:val="left"/>
      <w:lvlText w:val="%1"/>
      <w:numFmt w:val="decimal"/>
      <w:start w:val="1"/>
    </w:lvl>
    <w:lvl w:ilvl="1">
      <w:lvlJc w:val="left"/>
      <w:lvlText w:val="(%2)"/>
      <w:numFmt w:val="upperLetter"/>
      <w:start w:val="2"/>
    </w:lvl>
  </w:abstractNum>
  <w:abstractNum w:abstractNumId="729">
    <w:nsid w:val="6A410D4E"/>
    <w:multiLevelType w:val="hybridMultilevel"/>
    <w:lvl w:ilvl="0">
      <w:lvlJc w:val="left"/>
      <w:lvlText w:val="(%1)"/>
      <w:numFmt w:val="decimal"/>
      <w:start w:val="5"/>
    </w:lvl>
    <w:lvl w:ilvl="1">
      <w:lvlJc w:val="left"/>
      <w:lvlText w:val="(%2)"/>
      <w:numFmt w:val="upperLetter"/>
      <w:start w:val="3"/>
    </w:lvl>
  </w:abstractNum>
  <w:abstractNum w:abstractNumId="730">
    <w:nsid w:val="61696336"/>
    <w:multiLevelType w:val="hybridMultilevel"/>
    <w:lvl w:ilvl="0">
      <w:lvlJc w:val="left"/>
      <w:lvlText w:val="(%1)"/>
      <w:numFmt w:val="lowerRoman"/>
      <w:start w:val="2"/>
    </w:lvl>
    <w:lvl w:ilvl="1">
      <w:lvlJc w:val="left"/>
      <w:lvlText w:val="(%2)"/>
      <w:numFmt w:val="upperLetter"/>
      <w:start w:val="1"/>
    </w:lvl>
  </w:abstractNum>
  <w:abstractNum w:abstractNumId="731">
    <w:nsid w:val="3974ED1F"/>
    <w:multiLevelType w:val="hybridMultilevel"/>
    <w:lvl w:ilvl="0">
      <w:lvlJc w:val="left"/>
      <w:lvlText w:val="%1"/>
      <w:numFmt w:val="lowerRoman"/>
      <w:start w:val="1"/>
    </w:lvl>
    <w:lvl w:ilvl="1">
      <w:lvlJc w:val="left"/>
      <w:lvlText w:val="(%2)"/>
      <w:numFmt w:val="upperLetter"/>
      <w:start w:val="7"/>
    </w:lvl>
  </w:abstractNum>
  <w:abstractNum w:abstractNumId="732">
    <w:nsid w:val="29AA94C7"/>
    <w:multiLevelType w:val="hybridMultilevel"/>
    <w:lvl w:ilvl="0">
      <w:lvlJc w:val="left"/>
      <w:lvlText w:val="(%1)"/>
      <w:numFmt w:val="lowerRoman"/>
      <w:start w:val="1"/>
    </w:lvl>
    <w:lvl w:ilvl="1">
      <w:lvlJc w:val="left"/>
      <w:lvlText w:val="%2"/>
      <w:numFmt w:val="upperLetter"/>
      <w:start w:val="1"/>
    </w:lvl>
  </w:abstractNum>
  <w:abstractNum w:abstractNumId="733">
    <w:nsid w:val="C266F90"/>
    <w:multiLevelType w:val="hybridMultilevel"/>
    <w:lvl w:ilvl="0">
      <w:lvlJc w:val="left"/>
      <w:lvlText w:val="(%1)"/>
      <w:numFmt w:val="lowerRoman"/>
      <w:start w:val="3"/>
    </w:lvl>
    <w:lvl w:ilvl="1">
      <w:lvlJc w:val="left"/>
      <w:lvlText w:val="(%2)"/>
      <w:numFmt w:val="upperLetter"/>
      <w:start w:val="9"/>
    </w:lvl>
  </w:abstractNum>
  <w:abstractNum w:abstractNumId="734">
    <w:nsid w:val="7FC31CC8"/>
    <w:multiLevelType w:val="hybridMultilevel"/>
    <w:lvl w:ilvl="0">
      <w:lvlJc w:val="left"/>
      <w:lvlText w:val="(%1)"/>
      <w:numFmt w:val="lowerLetter"/>
      <w:start w:val="4"/>
    </w:lvl>
  </w:abstractNum>
  <w:abstractNum w:abstractNumId="735">
    <w:nsid w:val="1E9366AA"/>
    <w:multiLevelType w:val="hybridMultilevel"/>
    <w:lvl w:ilvl="0">
      <w:lvlJc w:val="left"/>
      <w:lvlText w:val="%1"/>
      <w:numFmt w:val="upperLetter"/>
      <w:start w:val="1"/>
    </w:lvl>
    <w:lvl w:ilvl="1">
      <w:lvlJc w:val="left"/>
      <w:lvlText w:val="(%2)"/>
      <w:numFmt w:val="lowerLetter"/>
      <w:start w:val="5"/>
    </w:lvl>
  </w:abstractNum>
  <w:abstractNum w:abstractNumId="736">
    <w:nsid w:val="1443B0FA"/>
    <w:multiLevelType w:val="hybridMultilevel"/>
    <w:lvl w:ilvl="0">
      <w:lvlJc w:val="left"/>
      <w:lvlText w:val="(%1)"/>
      <w:numFmt w:val="upperLetter"/>
      <w:start w:val="35"/>
    </w:lvl>
    <w:lvl w:ilvl="1">
      <w:lvlJc w:val="left"/>
      <w:lvlText w:val="%2"/>
      <w:numFmt w:val="lowerLetter"/>
      <w:start w:val="1"/>
    </w:lvl>
  </w:abstractNum>
  <w:abstractNum w:abstractNumId="737">
    <w:nsid w:val="48715606"/>
    <w:multiLevelType w:val="hybridMultilevel"/>
    <w:lvl w:ilvl="0">
      <w:lvlJc w:val="left"/>
      <w:lvlText w:val="(%1)"/>
      <w:numFmt w:val="lowerLetter"/>
      <w:start w:val="1"/>
    </w:lvl>
  </w:abstractNum>
  <w:abstractNum w:abstractNumId="738">
    <w:nsid w:val="15BA4F24"/>
    <w:multiLevelType w:val="hybridMultilevel"/>
    <w:lvl w:ilvl="0">
      <w:lvlJc w:val="left"/>
      <w:lvlText w:val="(%1)"/>
      <w:numFmt w:val="lowerLetter"/>
      <w:start w:val="2"/>
    </w:lvl>
  </w:abstractNum>
  <w:abstractNum w:abstractNumId="739">
    <w:nsid w:val="3683B3E2"/>
    <w:multiLevelType w:val="hybridMultilevel"/>
    <w:lvl w:ilvl="0">
      <w:lvlJc w:val="left"/>
      <w:lvlText w:val="(%1)"/>
      <w:numFmt w:val="lowerLetter"/>
      <w:start w:val="3"/>
    </w:lvl>
  </w:abstractNum>
  <w:abstractNum w:abstractNumId="740">
    <w:nsid w:val="7C4B4806"/>
    <w:multiLevelType w:val="hybridMultilevel"/>
    <w:lvl w:ilvl="0">
      <w:lvlJc w:val="left"/>
      <w:lvlText w:val="(%1)"/>
      <w:numFmt w:val="lowerLetter"/>
      <w:start w:val="1"/>
    </w:lvl>
  </w:abstractNum>
  <w:abstractNum w:abstractNumId="741">
    <w:nsid w:val="1FB42682"/>
    <w:multiLevelType w:val="hybridMultilevel"/>
    <w:lvl w:ilvl="0">
      <w:lvlJc w:val="left"/>
      <w:lvlText w:val="(%1)"/>
      <w:numFmt w:val="lowerLetter"/>
      <w:start w:val="2"/>
    </w:lvl>
    <w:lvl w:ilvl="1">
      <w:lvlJc w:val="left"/>
      <w:lvlText w:val="(%2)"/>
      <w:numFmt w:val="lowerRoman"/>
      <w:start w:val="9"/>
    </w:lvl>
    <w:lvl w:ilvl="2">
      <w:lvlJc w:val="left"/>
      <w:lvlText w:val="(%3)"/>
      <w:numFmt w:val="upperLetter"/>
      <w:start w:val="1"/>
    </w:lvl>
  </w:abstractNum>
  <w:abstractNum w:abstractNumId="742">
    <w:nsid w:val="45866D3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743">
    <w:nsid w:val="10F27D8C"/>
    <w:multiLevelType w:val="hybridMultilevel"/>
    <w:lvl w:ilvl="0">
      <w:lvlJc w:val="left"/>
      <w:lvlText w:val="(%1)"/>
      <w:numFmt w:val="lowerRoman"/>
      <w:start w:val="2"/>
    </w:lvl>
    <w:lvl w:ilvl="1">
      <w:lvlJc w:val="left"/>
      <w:lvlText w:val="(%2)"/>
      <w:numFmt w:val="upperLetter"/>
      <w:start w:val="1"/>
    </w:lvl>
  </w:abstractNum>
  <w:abstractNum w:abstractNumId="744">
    <w:nsid w:val="26C64AE"/>
    <w:multiLevelType w:val="hybridMultilevel"/>
    <w:lvl w:ilvl="0">
      <w:lvlJc w:val="left"/>
      <w:lvlText w:val="%1"/>
      <w:numFmt w:val="lowerRoman"/>
      <w:start w:val="1"/>
    </w:lvl>
    <w:lvl w:ilvl="1">
      <w:lvlJc w:val="left"/>
      <w:lvlText w:val="(%2)"/>
      <w:numFmt w:val="upperLetter"/>
      <w:start w:val="4"/>
    </w:lvl>
  </w:abstractNum>
  <w:abstractNum w:abstractNumId="745">
    <w:nsid w:val="7E7C514"/>
    <w:multiLevelType w:val="hybridMultilevel"/>
    <w:lvl w:ilvl="0">
      <w:lvlJc w:val="left"/>
      <w:lvlText w:val="(%1)"/>
      <w:numFmt w:val="lowerRoman"/>
      <w:start w:val="3"/>
    </w:lvl>
    <w:lvl w:ilvl="1">
      <w:lvlJc w:val="left"/>
      <w:lvlText w:val="%2"/>
      <w:numFmt w:val="upperLetter"/>
      <w:start w:val="1"/>
    </w:lvl>
  </w:abstractNum>
  <w:abstractNum w:abstractNumId="746">
    <w:nsid w:val="67F5CBAC"/>
    <w:multiLevelType w:val="hybridMultilevel"/>
    <w:lvl w:ilvl="0">
      <w:lvlJc w:val="left"/>
      <w:lvlText w:val="%1"/>
      <w:numFmt w:val="lowerLetter"/>
      <w:start w:val="1"/>
    </w:lvl>
    <w:lvl w:ilvl="1">
      <w:lvlJc w:val="left"/>
      <w:lvlText w:val="(%2)"/>
      <w:numFmt w:val="lowerRoman"/>
      <w:start w:val="6"/>
    </w:lvl>
  </w:abstractNum>
  <w:abstractNum w:abstractNumId="747">
    <w:nsid w:val="164CE714"/>
    <w:multiLevelType w:val="hybridMultilevel"/>
    <w:lvl w:ilvl="0">
      <w:lvlJc w:val="left"/>
      <w:lvlText w:val="(%1)"/>
      <w:numFmt w:val="lowerLetter"/>
      <w:start w:val="3"/>
    </w:lvl>
    <w:lvl w:ilvl="1">
      <w:lvlJc w:val="left"/>
      <w:lvlText w:val="%2"/>
      <w:numFmt w:val="lowerRoman"/>
      <w:start w:val="1"/>
    </w:lvl>
  </w:abstractNum>
  <w:abstractNum w:abstractNumId="748">
    <w:nsid w:val="15CE9F92"/>
    <w:multiLevelType w:val="hybridMultilevel"/>
    <w:lvl w:ilvl="0">
      <w:lvlJc w:val="left"/>
      <w:lvlText w:val="(%1)"/>
      <w:numFmt w:val="lowerRoman"/>
      <w:start w:val="1"/>
    </w:lvl>
  </w:abstractNum>
  <w:abstractNum w:abstractNumId="749">
    <w:nsid w:val="225953F9"/>
    <w:multiLevelType w:val="hybridMultilevel"/>
    <w:lvl w:ilvl="0">
      <w:lvlJc w:val="left"/>
      <w:lvlText w:val="(%1)"/>
      <w:numFmt w:val="lowerLetter"/>
      <w:start w:val="4"/>
    </w:lvl>
  </w:abstractNum>
  <w:abstractNum w:abstractNumId="750">
    <w:nsid w:val="14CF2CF8"/>
    <w:multiLevelType w:val="hybridMultilevel"/>
    <w:lvl w:ilvl="0">
      <w:lvlJc w:val="left"/>
      <w:lvlText w:val="(%1)"/>
      <w:numFmt w:val="lowerLetter"/>
      <w:start w:val="6"/>
    </w:lvl>
    <w:lvl w:ilvl="1">
      <w:lvlJc w:val="left"/>
      <w:lvlText w:val="(%2)"/>
      <w:numFmt w:val="lowerLetter"/>
      <w:start w:val="35"/>
    </w:lvl>
  </w:abstractNum>
  <w:abstractNum w:abstractNumId="751">
    <w:nsid w:val="57AA92EA"/>
    <w:multiLevelType w:val="hybridMultilevel"/>
    <w:lvl w:ilvl="0">
      <w:lvlJc w:val="left"/>
      <w:lvlText w:val="%1"/>
      <w:numFmt w:val="lowerLetter"/>
      <w:start w:val="1"/>
    </w:lvl>
    <w:lvl w:ilvl="1">
      <w:lvlJc w:val="left"/>
      <w:lvlText w:val="(%2)"/>
      <w:numFmt w:val="lowerRoman"/>
      <w:start w:val="3"/>
    </w:lvl>
  </w:abstractNum>
  <w:abstractNum w:abstractNumId="752">
    <w:nsid w:val="693ABDF"/>
    <w:multiLevelType w:val="hybridMultilevel"/>
    <w:lvl w:ilvl="0">
      <w:lvlJc w:val="left"/>
      <w:lvlText w:val="(%1)"/>
      <w:numFmt w:val="lowerLetter"/>
      <w:start w:val="7"/>
    </w:lvl>
    <w:lvl w:ilvl="1">
      <w:lvlJc w:val="left"/>
      <w:lvlText w:val="(%2)"/>
      <w:numFmt w:val="lowerRoman"/>
      <w:start w:val="1"/>
    </w:lvl>
  </w:abstractNum>
  <w:abstractNum w:abstractNumId="753">
    <w:nsid w:val="7285E29D"/>
    <w:multiLevelType w:val="hybridMultilevel"/>
    <w:lvl w:ilvl="0">
      <w:lvlJc w:val="left"/>
      <w:lvlText w:val="(%1)"/>
      <w:numFmt w:val="lowerRoman"/>
      <w:start w:val="2"/>
    </w:lvl>
  </w:abstractNum>
  <w:abstractNum w:abstractNumId="754">
    <w:nsid w:val="5CF31B7D"/>
    <w:multiLevelType w:val="hybridMultilevel"/>
    <w:lvl w:ilvl="0">
      <w:lvlJc w:val="left"/>
      <w:lvlText w:val="(%1)"/>
      <w:numFmt w:val="lowerLetter"/>
      <w:start w:val="1"/>
    </w:lvl>
  </w:abstractNum>
  <w:abstractNum w:abstractNumId="755">
    <w:nsid w:val="6CC81457"/>
    <w:multiLevelType w:val="hybridMultilevel"/>
    <w:lvl w:ilvl="0">
      <w:lvlJc w:val="left"/>
      <w:lvlText w:val="(%1)"/>
      <w:numFmt w:val="lowerLetter"/>
      <w:start w:val="2"/>
    </w:lvl>
  </w:abstractNum>
  <w:abstractNum w:abstractNumId="756">
    <w:nsid w:val="488A890A"/>
    <w:multiLevelType w:val="hybridMultilevel"/>
    <w:lvl w:ilvl="0">
      <w:lvlJc w:val="left"/>
      <w:lvlText w:val="(%1)"/>
      <w:numFmt w:val="lowerLetter"/>
      <w:start w:val="25"/>
    </w:lvl>
  </w:abstractNum>
  <w:abstractNum w:abstractNumId="757">
    <w:nsid w:val="4EB7487C"/>
    <w:multiLevelType w:val="hybridMultilevel"/>
    <w:lvl w:ilvl="0">
      <w:lvlJc w:val="left"/>
      <w:lvlText w:val="(%1)"/>
      <w:numFmt w:val="lowerLetter"/>
      <w:start w:val="25"/>
    </w:lvl>
  </w:abstractNum>
  <w:abstractNum w:abstractNumId="758">
    <w:nsid w:val="4DC02714"/>
    <w:multiLevelType w:val="hybridMultilevel"/>
    <w:lvl w:ilvl="0">
      <w:lvlJc w:val="left"/>
      <w:lvlText w:val="(%1)"/>
      <w:numFmt w:val="lowerLetter"/>
      <w:start w:val="1"/>
    </w:lvl>
  </w:abstractNum>
  <w:abstractNum w:abstractNumId="759">
    <w:nsid w:val="79C31DD8"/>
    <w:multiLevelType w:val="hybridMultilevel"/>
    <w:lvl w:ilvl="0">
      <w:lvlJc w:val="left"/>
      <w:lvlText w:val="(%1)"/>
      <w:numFmt w:val="lowerLetter"/>
      <w:start w:val="1"/>
    </w:lvl>
  </w:abstractNum>
  <w:abstractNum w:abstractNumId="760">
    <w:nsid w:val="38F855CA"/>
    <w:multiLevelType w:val="hybridMultilevel"/>
    <w:lvl w:ilvl="0">
      <w:lvlJc w:val="left"/>
      <w:lvlText w:val="(%1)"/>
      <w:numFmt w:val="lowerLetter"/>
      <w:start w:val="1"/>
    </w:lvl>
  </w:abstractNum>
  <w:abstractNum w:abstractNumId="761">
    <w:nsid w:val="2F298A4A"/>
    <w:multiLevelType w:val="hybridMultilevel"/>
    <w:lvl w:ilvl="0">
      <w:lvlJc w:val="left"/>
      <w:lvlText w:val="(%1)"/>
      <w:numFmt w:val="lowerLetter"/>
      <w:start w:val="2"/>
    </w:lvl>
  </w:abstractNum>
  <w:abstractNum w:abstractNumId="762">
    <w:nsid w:val="33380AF8"/>
    <w:multiLevelType w:val="hybridMultilevel"/>
    <w:lvl w:ilvl="0">
      <w:lvlJc w:val="left"/>
      <w:lvlText w:val="(%1)"/>
      <w:numFmt w:val="lowerLetter"/>
      <w:start w:val="1"/>
    </w:lvl>
    <w:lvl w:ilvl="1">
      <w:lvlJc w:val="left"/>
      <w:lvlText w:val="(%2)"/>
      <w:numFmt w:val="lowerRoman"/>
      <w:start w:val="1"/>
    </w:lvl>
  </w:abstractNum>
  <w:abstractNum w:abstractNumId="763">
    <w:nsid w:val="62A2EA91"/>
    <w:multiLevelType w:val="hybridMultilevel"/>
    <w:lvl w:ilvl="0">
      <w:lvlJc w:val="left"/>
      <w:lvlText w:val="(%1)"/>
      <w:numFmt w:val="lowerLetter"/>
      <w:start w:val="1"/>
    </w:lvl>
    <w:lvl w:ilvl="1">
      <w:lvlJc w:val="left"/>
      <w:lvlText w:val="(%2)"/>
      <w:numFmt w:val="lowerRoman"/>
      <w:start w:val="1"/>
    </w:lvl>
  </w:abstractNum>
  <w:abstractNum w:abstractNumId="764">
    <w:nsid w:val="3B4FF9DB"/>
    <w:multiLevelType w:val="hybridMultilevel"/>
    <w:lvl w:ilvl="0">
      <w:lvlJc w:val="left"/>
      <w:lvlText w:val="%1"/>
      <w:numFmt w:val="lowerLetter"/>
      <w:start w:val="1"/>
    </w:lvl>
    <w:lvl w:ilvl="1">
      <w:lvlJc w:val="left"/>
      <w:lvlText w:val="(%2)"/>
      <w:numFmt w:val="lowerRoman"/>
      <w:start w:val="3"/>
    </w:lvl>
  </w:abstractNum>
  <w:abstractNum w:abstractNumId="765">
    <w:nsid w:val="32FB27C0"/>
    <w:multiLevelType w:val="hybridMultilevel"/>
    <w:lvl w:ilvl="0">
      <w:lvlJc w:val="left"/>
      <w:lvlText w:val="(%1)"/>
      <w:numFmt w:val="lowerLetter"/>
      <w:start w:val="2"/>
    </w:lvl>
    <w:lvl w:ilvl="1">
      <w:lvlJc w:val="left"/>
      <w:lvlText w:val="%2"/>
      <w:numFmt w:val="lowerRoman"/>
      <w:start w:val="1"/>
    </w:lvl>
  </w:abstractNum>
  <w:abstractNum w:abstractNumId="766">
    <w:nsid w:val="136513C"/>
    <w:multiLevelType w:val="hybridMultilevel"/>
    <w:lvl w:ilvl="0">
      <w:lvlJc w:val="left"/>
      <w:lvlText w:val="(%1)"/>
      <w:numFmt w:val="lowerLetter"/>
      <w:start w:val="1"/>
    </w:lvl>
  </w:abstractNum>
  <w:abstractNum w:abstractNumId="767">
    <w:nsid w:val="4F93AAD5"/>
    <w:multiLevelType w:val="hybridMultilevel"/>
    <w:lvl w:ilvl="0">
      <w:lvlJc w:val="left"/>
      <w:lvlText w:val="(%1)"/>
      <w:numFmt w:val="lowerRoman"/>
      <w:start w:val="1"/>
    </w:lvl>
  </w:abstractNum>
  <w:abstractNum w:abstractNumId="768">
    <w:nsid w:val="7B6C7DC6"/>
    <w:multiLevelType w:val="hybridMultilevel"/>
    <w:lvl w:ilvl="0">
      <w:lvlJc w:val="left"/>
      <w:lvlText w:val="(%1)"/>
      <w:numFmt w:val="lowerLetter"/>
      <w:start w:val="2"/>
    </w:lvl>
  </w:abstractNum>
  <w:abstractNum w:abstractNumId="769">
    <w:nsid w:val="16F0A060"/>
    <w:multiLevelType w:val="hybridMultilevel"/>
    <w:lvl w:ilvl="0">
      <w:lvlJc w:val="left"/>
      <w:lvlText w:val="(%1)"/>
      <w:numFmt w:val="lowerRoman"/>
      <w:start w:val="1"/>
    </w:lvl>
  </w:abstractNum>
  <w:abstractNum w:abstractNumId="770">
    <w:nsid w:val="6175EB8"/>
    <w:multiLevelType w:val="hybridMultilevel"/>
    <w:lvl w:ilvl="0">
      <w:lvlJc w:val="left"/>
      <w:lvlText w:val="(%1)"/>
      <w:numFmt w:val="lowerRoman"/>
      <w:start w:val="2"/>
    </w:lvl>
    <w:lvl w:ilvl="1">
      <w:lvlJc w:val="left"/>
      <w:lvlText w:val="(%2)"/>
      <w:numFmt w:val="upperLetter"/>
      <w:start w:val="1"/>
    </w:lvl>
  </w:abstractNum>
  <w:abstractNum w:abstractNumId="771">
    <w:nsid w:val="77B7C5CC"/>
    <w:multiLevelType w:val="hybridMultilevel"/>
    <w:lvl w:ilvl="0">
      <w:lvlJc w:val="left"/>
      <w:lvlText w:val="(%1)"/>
      <w:numFmt w:val="lowerRoman"/>
      <w:start w:val="3"/>
    </w:lvl>
  </w:abstractNum>
  <w:abstractNum w:abstractNumId="772">
    <w:nsid w:val="36A4C6E2"/>
    <w:multiLevelType w:val="hybridMultilevel"/>
    <w:lvl w:ilvl="0">
      <w:lvlJc w:val="left"/>
      <w:lvlText w:val="%1"/>
      <w:numFmt w:val="lowerRoman"/>
      <w:start w:val="1"/>
    </w:lvl>
    <w:lvl w:ilvl="1">
      <w:lvlJc w:val="left"/>
      <w:lvlText w:val="(%2)"/>
      <w:numFmt w:val="decimal"/>
      <w:start w:val="2"/>
    </w:lvl>
  </w:abstractNum>
  <w:abstractNum w:abstractNumId="773">
    <w:nsid w:val="4B9DCBED"/>
    <w:multiLevelType w:val="hybridMultilevel"/>
    <w:lvl w:ilvl="0">
      <w:lvlJc w:val="left"/>
      <w:lvlText w:val="(%1)"/>
      <w:numFmt w:val="lowerRoman"/>
      <w:start w:val="5"/>
    </w:lvl>
    <w:lvl w:ilvl="1">
      <w:lvlJc w:val="left"/>
      <w:lvlText w:val="%2"/>
      <w:numFmt w:val="decimal"/>
      <w:start w:val="1"/>
    </w:lvl>
  </w:abstractNum>
  <w:abstractNum w:abstractNumId="774">
    <w:nsid w:val="8AA4358"/>
    <w:multiLevelType w:val="hybridMultilevel"/>
    <w:lvl w:ilvl="0">
      <w:lvlJc w:val="left"/>
      <w:lvlText w:val="(%1)"/>
      <w:numFmt w:val="lowerRoman"/>
      <w:start w:val="6"/>
    </w:lvl>
  </w:abstractNum>
  <w:abstractNum w:abstractNumId="775">
    <w:nsid w:val="39112B90"/>
    <w:multiLevelType w:val="hybridMultilevel"/>
    <w:lvl w:ilvl="0">
      <w:lvlJc w:val="left"/>
      <w:lvlText w:val="[***]"/>
      <w:numFmt w:val="bullet"/>
      <w:start w:val="1"/>
    </w:lvl>
  </w:abstractNum>
  <w:abstractNum w:abstractNumId="776">
    <w:nsid w:val="53859101"/>
    <w:multiLevelType w:val="hybridMultilevel"/>
    <w:lvl w:ilvl="0">
      <w:lvlJc w:val="left"/>
      <w:lvlText w:val="(%1)"/>
      <w:numFmt w:val="decimal"/>
      <w:start w:val="1"/>
    </w:lvl>
    <w:lvl w:ilvl="1">
      <w:lvlJc w:val="left"/>
      <w:lvlText w:val="(%2)"/>
      <w:numFmt w:val="lowerLetter"/>
      <w:start w:val="2"/>
    </w:lvl>
  </w:abstractNum>
  <w:abstractNum w:abstractNumId="777">
    <w:nsid w:val="70A00F05"/>
    <w:multiLevelType w:val="hybridMultilevel"/>
    <w:lvl w:ilvl="0">
      <w:lvlJc w:val="left"/>
      <w:lvlText w:val="(%1)"/>
      <w:numFmt w:val="decimal"/>
      <w:start w:val="1"/>
    </w:lvl>
  </w:abstractNum>
  <w:abstractNum w:abstractNumId="778">
    <w:nsid w:val="4F5E12A4"/>
    <w:multiLevelType w:val="hybridMultilevel"/>
    <w:lvl w:ilvl="0">
      <w:lvlJc w:val="left"/>
      <w:lvlText w:val="(%1)"/>
      <w:numFmt w:val="decimal"/>
      <w:start w:val="1"/>
    </w:lvl>
  </w:abstractNum>
  <w:abstractNum w:abstractNumId="779">
    <w:nsid w:val="69543093"/>
    <w:multiLevelType w:val="hybridMultilevel"/>
    <w:lvl w:ilvl="0">
      <w:lvlJc w:val="left"/>
      <w:lvlText w:val="%1"/>
      <w:numFmt w:val="lowerRoman"/>
      <w:start w:val="1"/>
    </w:lvl>
    <w:lvl w:ilvl="1">
      <w:lvlJc w:val="left"/>
      <w:lvlText w:val="(%2)"/>
      <w:numFmt w:val="decimal"/>
      <w:start w:val="2"/>
    </w:lvl>
  </w:abstractNum>
  <w:abstractNum w:abstractNumId="780">
    <w:nsid w:val="12F962FE"/>
    <w:multiLevelType w:val="hybridMultilevel"/>
    <w:lvl w:ilvl="0">
      <w:lvlJc w:val="left"/>
      <w:lvlText w:val="(%1)"/>
      <w:numFmt w:val="lowerRoman"/>
      <w:start w:val="2"/>
    </w:lvl>
    <w:lvl w:ilvl="1">
      <w:lvlJc w:val="left"/>
      <w:lvlText w:val="(%2)"/>
      <w:numFmt w:val="decimal"/>
      <w:start w:val="6"/>
    </w:lvl>
  </w:abstractNum>
  <w:abstractNum w:abstractNumId="781">
    <w:nsid w:val="642D3F9D"/>
    <w:multiLevelType w:val="hybridMultilevel"/>
    <w:lvl w:ilvl="0">
      <w:lvlJc w:val="left"/>
      <w:lvlText w:val="%1"/>
      <w:numFmt w:val="lowerLetter"/>
      <w:start w:val="1"/>
    </w:lvl>
    <w:lvl w:ilvl="1">
      <w:lvlJc w:val="left"/>
      <w:lvlText w:val="(%2)"/>
      <w:numFmt w:val="decimal"/>
      <w:start w:val="12"/>
    </w:lvl>
  </w:abstractNum>
  <w:abstractNum w:abstractNumId="782">
    <w:nsid w:val="40FEC37E"/>
    <w:multiLevelType w:val="hybridMultilevel"/>
    <w:lvl w:ilvl="0">
      <w:lvlJc w:val="left"/>
      <w:lvlText w:val="(%1)"/>
      <w:numFmt w:val="lowerLetter"/>
      <w:start w:val="25"/>
    </w:lvl>
    <w:lvl w:ilvl="1">
      <w:lvlJc w:val="left"/>
      <w:lvlText w:val="(%2)"/>
      <w:numFmt w:val="decimal"/>
      <w:start w:val="15"/>
    </w:lvl>
  </w:abstractNum>
  <w:abstractNum w:abstractNumId="783">
    <w:nsid w:val="198D0EDE"/>
    <w:multiLevelType w:val="hybridMultilevel"/>
    <w:lvl w:ilvl="0">
      <w:lvlJc w:val="left"/>
      <w:lvlText w:val="(%1)"/>
      <w:numFmt w:val="decimal"/>
      <w:start w:val="18"/>
    </w:lvl>
  </w:abstractNum>
  <w:abstractNum w:abstractNumId="784">
    <w:nsid w:val="56B3223A"/>
    <w:multiLevelType w:val="hybridMultilevel"/>
    <w:lvl w:ilvl="0">
      <w:lvlJc w:val="left"/>
      <w:lvlText w:val="(%1)"/>
      <w:numFmt w:val="decimal"/>
      <w:start w:val="26"/>
    </w:lvl>
  </w:abstractNum>
  <w:abstractNum w:abstractNumId="785">
    <w:nsid w:val="1DF1DEFB"/>
    <w:multiLevelType w:val="hybridMultilevel"/>
    <w:lvl w:ilvl="0">
      <w:lvlJc w:val="left"/>
      <w:lvlText w:val="(%1)"/>
      <w:numFmt w:val="decimal"/>
      <w:start w:val="28"/>
    </w:lvl>
  </w:abstractNum>
  <w:abstractNum w:abstractNumId="786">
    <w:nsid w:val="6552335"/>
    <w:multiLevelType w:val="hybridMultilevel"/>
    <w:lvl w:ilvl="0">
      <w:lvlJc w:val="left"/>
      <w:lvlText w:val="%1"/>
      <w:numFmt w:val="lowerLetter"/>
      <w:start w:val="1"/>
    </w:lvl>
    <w:lvl w:ilvl="1">
      <w:lvlJc w:val="left"/>
      <w:lvlText w:val="(%2)"/>
      <w:numFmt w:val="decimal"/>
      <w:start w:val="1"/>
    </w:lvl>
  </w:abstractNum>
  <w:abstractNum w:abstractNumId="787">
    <w:nsid w:val="1F3DAB44"/>
    <w:multiLevelType w:val="hybridMultilevel"/>
    <w:lvl w:ilvl="0">
      <w:lvlJc w:val="left"/>
      <w:lvlText w:val="(%1)"/>
      <w:numFmt w:val="lowerLetter"/>
      <w:start w:val="26"/>
    </w:lvl>
    <w:lvl w:ilvl="1">
      <w:lvlJc w:val="left"/>
      <w:lvlText w:val="%2"/>
      <w:numFmt w:val="decimal"/>
      <w:start w:val="1"/>
    </w:lvl>
  </w:abstractNum>
  <w:abstractNum w:abstractNumId="788">
    <w:nsid w:val="6CA92777"/>
    <w:multiLevelType w:val="hybridMultilevel"/>
    <w:lvl w:ilvl="0">
      <w:lvlJc w:val="left"/>
      <w:lvlText w:val="(%1)"/>
      <w:numFmt w:val="decimal"/>
      <w:start w:val="1"/>
    </w:lvl>
  </w:abstractNum>
  <w:abstractNum w:abstractNumId="789">
    <w:nsid w:val="54154A49"/>
    <w:multiLevelType w:val="hybridMultilevel"/>
    <w:lvl w:ilvl="0">
      <w:lvlJc w:val="left"/>
      <w:lvlText w:val="(%1)"/>
      <w:numFmt w:val="lowerLetter"/>
      <w:start w:val="4"/>
    </w:lvl>
  </w:abstractNum>
  <w:abstractNum w:abstractNumId="790">
    <w:nsid w:val="1900C91C"/>
    <w:multiLevelType w:val="hybridMultilevel"/>
    <w:lvl w:ilvl="0">
      <w:lvlJc w:val="left"/>
      <w:lvlText w:val="(%1)"/>
      <w:numFmt w:val="decimal"/>
      <w:start w:val="1"/>
    </w:lvl>
  </w:abstractNum>
  <w:abstractNum w:abstractNumId="791">
    <w:nsid w:val="25A17D41"/>
    <w:multiLevelType w:val="hybridMultilevel"/>
    <w:lvl w:ilvl="0">
      <w:lvlJc w:val="left"/>
      <w:lvlText w:val="%1"/>
      <w:numFmt w:val="lowerRoman"/>
      <w:start w:val="1"/>
    </w:lvl>
    <w:lvl w:ilvl="1">
      <w:lvlJc w:val="left"/>
      <w:lvlText w:val="(%2)"/>
      <w:numFmt w:val="decimal"/>
      <w:start w:val="1"/>
    </w:lvl>
  </w:abstractNum>
  <w:abstractNum w:abstractNumId="792">
    <w:nsid w:val="33ED493"/>
    <w:multiLevelType w:val="hybridMultilevel"/>
    <w:lvl w:ilvl="0">
      <w:lvlJc w:val="left"/>
      <w:lvlText w:val="(%1)"/>
      <w:numFmt w:val="lowerRoman"/>
      <w:start w:val="4"/>
    </w:lvl>
    <w:lvl w:ilvl="1">
      <w:lvlJc w:val="left"/>
      <w:lvlText w:val="%2"/>
      <w:numFmt w:val="decimal"/>
      <w:start w:val="1"/>
    </w:lvl>
  </w:abstractNum>
  <w:abstractNum w:abstractNumId="793">
    <w:nsid w:val="4C38D414"/>
    <w:multiLevelType w:val="hybridMultilevel"/>
    <w:lvl w:ilvl="0">
      <w:lvlJc w:val="left"/>
      <w:lvlText w:val="(%1)"/>
      <w:numFmt w:val="decimal"/>
      <w:start w:val="2"/>
    </w:lvl>
  </w:abstractNum>
  <w:abstractNum w:abstractNumId="794">
    <w:nsid w:val="84467D2"/>
    <w:multiLevelType w:val="hybridMultilevel"/>
    <w:lvl w:ilvl="0">
      <w:lvlJc w:val="left"/>
      <w:lvlText w:val="(%1)"/>
      <w:numFmt w:val="decimal"/>
      <w:start w:val="10"/>
    </w:lvl>
  </w:abstractNum>
  <w:abstractNum w:abstractNumId="795">
    <w:nsid w:val="3E8ECE6E"/>
    <w:multiLevelType w:val="hybridMultilevel"/>
    <w:lvl w:ilvl="0">
      <w:lvlJc w:val="left"/>
      <w:lvlText w:val="(%1)"/>
      <w:numFmt w:val="decimal"/>
      <w:start w:val="13"/>
    </w:lvl>
  </w:abstractNum>
  <w:abstractNum w:abstractNumId="796">
    <w:nsid w:val="7F33FBD4"/>
    <w:multiLevelType w:val="hybridMultilevel"/>
    <w:lvl w:ilvl="0">
      <w:lvlJc w:val="left"/>
      <w:lvlText w:val="(%1)"/>
      <w:numFmt w:val="decimal"/>
      <w:start w:val="1"/>
    </w:lvl>
  </w:abstractNum>
  <w:abstractNum w:abstractNumId="797">
    <w:nsid w:val="97AB90E"/>
    <w:multiLevelType w:val="hybridMultilevel"/>
    <w:lvl w:ilvl="0">
      <w:lvlJc w:val="left"/>
      <w:lvlText w:val="%1"/>
      <w:numFmt w:val="lowerLetter"/>
      <w:start w:val="1"/>
    </w:lvl>
    <w:lvl w:ilvl="1">
      <w:lvlJc w:val="left"/>
      <w:lvlText w:val="(%2)"/>
      <w:numFmt w:val="decimal"/>
      <w:start w:val="4"/>
    </w:lvl>
  </w:abstractNum>
  <w:abstractNum w:abstractNumId="798">
    <w:nsid w:val="E227944"/>
    <w:multiLevelType w:val="hybridMultilevel"/>
    <w:lvl w:ilvl="0">
      <w:lvlJc w:val="left"/>
      <w:lvlText w:val="(%1)"/>
      <w:numFmt w:val="lowerLetter"/>
      <w:start w:val="4"/>
    </w:lvl>
    <w:lvl w:ilvl="1">
      <w:lvlJc w:val="left"/>
      <w:lvlText w:val="%2"/>
      <w:numFmt w:val="decimal"/>
      <w:start w:val="1"/>
    </w:lvl>
  </w:abstractNum>
  <w:abstractNum w:abstractNumId="799">
    <w:nsid w:val="7AA0799A"/>
    <w:multiLevelType w:val="hybridMultilevel"/>
    <w:lvl w:ilvl="0">
      <w:lvlJc w:val="left"/>
      <w:lvlText w:val="%1"/>
      <w:numFmt w:val="lowerLetter"/>
      <w:start w:val="1"/>
    </w:lvl>
    <w:lvl w:ilvl="1">
      <w:lvlJc w:val="left"/>
      <w:lvlText w:val="(%2)"/>
      <w:numFmt w:val="decimal"/>
      <w:start w:val="1"/>
    </w:lvl>
  </w:abstractNum>
  <w:abstractNum w:abstractNumId="800">
    <w:nsid w:val="206B596E"/>
    <w:multiLevelType w:val="hybridMultilevel"/>
    <w:lvl w:ilvl="0">
      <w:lvlJc w:val="left"/>
      <w:lvlText w:val="(%1)"/>
      <w:numFmt w:val="lowerLetter"/>
      <w:start w:val="25"/>
    </w:lvl>
    <w:lvl w:ilvl="1">
      <w:lvlJc w:val="left"/>
      <w:lvlText w:val="%2"/>
      <w:numFmt w:val="decimal"/>
      <w:start w:val="1"/>
    </w:lvl>
  </w:abstractNum>
  <w:abstractNum w:abstractNumId="801">
    <w:nsid w:val="1439D7FC"/>
    <w:multiLevelType w:val="hybridMultilevel"/>
    <w:lvl w:ilvl="0">
      <w:lvlJc w:val="left"/>
      <w:lvlText w:val="%1"/>
      <w:numFmt w:val="lowerLetter"/>
      <w:start w:val="1"/>
    </w:lvl>
    <w:lvl w:ilvl="1">
      <w:lvlJc w:val="left"/>
      <w:lvlText w:val="(%2)"/>
      <w:numFmt w:val="decimal"/>
      <w:start w:val="2"/>
    </w:lvl>
  </w:abstractNum>
  <w:abstractNum w:abstractNumId="802">
    <w:nsid w:val="72583F67"/>
    <w:multiLevelType w:val="hybridMultilevel"/>
    <w:lvl w:ilvl="0">
      <w:lvlJc w:val="left"/>
      <w:lvlText w:val="(%1)"/>
      <w:numFmt w:val="lowerLetter"/>
      <w:start w:val="2"/>
    </w:lvl>
    <w:lvl w:ilvl="1">
      <w:lvlJc w:val="left"/>
      <w:lvlText w:val="%2"/>
      <w:numFmt w:val="decimal"/>
      <w:start w:val="1"/>
    </w:lvl>
  </w:abstractNum>
  <w:abstractNum w:abstractNumId="803">
    <w:nsid w:val="57102051"/>
    <w:multiLevelType w:val="hybridMultilevel"/>
    <w:lvl w:ilvl="0">
      <w:lvlJc w:val="left"/>
      <w:lvlText w:val="%1"/>
      <w:numFmt w:val="lowerLetter"/>
      <w:start w:val="1"/>
    </w:lvl>
    <w:lvl w:ilvl="1">
      <w:lvlJc w:val="left"/>
      <w:lvlText w:val="(%2)"/>
      <w:numFmt w:val="decimal"/>
      <w:start w:val="8"/>
    </w:lvl>
  </w:abstractNum>
  <w:abstractNum w:abstractNumId="804">
    <w:nsid w:val="5FD7A3E9"/>
    <w:multiLevelType w:val="hybridMultilevel"/>
    <w:lvl w:ilvl="0">
      <w:lvlJc w:val="left"/>
      <w:lvlText w:val="(%1)"/>
      <w:numFmt w:val="lowerLetter"/>
      <w:start w:val="3"/>
    </w:lvl>
    <w:lvl w:ilvl="1">
      <w:lvlJc w:val="left"/>
      <w:lvlText w:val="(%2)"/>
      <w:numFmt w:val="decimal"/>
      <w:start w:val="10"/>
    </w:lvl>
  </w:abstractNum>
  <w:abstractNum w:abstractNumId="805">
    <w:nsid w:val="7B0282BF"/>
    <w:multiLevelType w:val="hybridMultilevel"/>
    <w:lvl w:ilvl="0">
      <w:lvlJc w:val="left"/>
      <w:lvlText w:val="(%1)"/>
      <w:numFmt w:val="decimal"/>
      <w:start w:val="11"/>
    </w:lvl>
  </w:abstractNum>
  <w:abstractNum w:abstractNumId="806">
    <w:nsid w:val="10214BE1"/>
    <w:multiLevelType w:val="hybridMultilevel"/>
    <w:lvl w:ilvl="0">
      <w:lvlJc w:val="left"/>
      <w:lvlText w:val="(%1)"/>
      <w:numFmt w:val="decimal"/>
      <w:start w:val="17"/>
    </w:lvl>
  </w:abstractNum>
  <w:abstractNum w:abstractNumId="807">
    <w:nsid w:val="335D34EA"/>
    <w:multiLevelType w:val="hybridMultilevel"/>
    <w:lvl w:ilvl="0">
      <w:lvlJc w:val="left"/>
      <w:lvlText w:val="(%1)"/>
      <w:numFmt w:val="decimal"/>
      <w:start w:val="20"/>
    </w:lvl>
  </w:abstractNum>
  <w:abstractNum w:abstractNumId="808">
    <w:nsid w:val="6BA291C4"/>
    <w:multiLevelType w:val="hybridMultilevel"/>
    <w:lvl w:ilvl="0">
      <w:lvlJc w:val="left"/>
      <w:lvlText w:val="(%1)"/>
      <w:numFmt w:val="decimal"/>
      <w:start w:val="1"/>
    </w:lvl>
  </w:abstractNum>
  <w:abstractNum w:abstractNumId="809">
    <w:nsid w:val="5F7F5E86"/>
    <w:multiLevelType w:val="hybridMultilevel"/>
    <w:lvl w:ilvl="0">
      <w:lvlJc w:val="left"/>
      <w:lvlText w:val="(%1)"/>
      <w:numFmt w:val="decimal"/>
      <w:start w:val="2"/>
    </w:lvl>
  </w:abstractNum>
  <w:abstractNum w:abstractNumId="810">
    <w:nsid w:val="1CB1657E"/>
    <w:multiLevelType w:val="hybridMultilevel"/>
    <w:lvl w:ilvl="0">
      <w:lvlJc w:val="left"/>
      <w:lvlText w:val="(%1)"/>
      <w:numFmt w:val="decimal"/>
      <w:start w:val="1"/>
    </w:lvl>
  </w:abstractNum>
  <w:abstractNum w:abstractNumId="811">
    <w:nsid w:val="7E9BF4C3"/>
    <w:multiLevelType w:val="hybridMultilevel"/>
    <w:lvl w:ilvl="0">
      <w:lvlJc w:val="left"/>
      <w:lvlText w:val="§"/>
      <w:numFmt w:val="bullet"/>
      <w:start w:val="1"/>
    </w:lvl>
    <w:lvl w:ilvl="1">
      <w:lvlJc w:val="left"/>
      <w:lvlText w:val="(%2)"/>
      <w:numFmt w:val="decimal"/>
      <w:start w:val="2"/>
    </w:lvl>
  </w:abstractNum>
  <w:abstractNum w:abstractNumId="812">
    <w:nsid w:val="43AC9E23"/>
    <w:multiLevelType w:val="hybridMultilevel"/>
    <w:lvl w:ilvl="0">
      <w:lvlJc w:val="left"/>
      <w:lvlText w:val="§"/>
      <w:numFmt w:val="bullet"/>
      <w:start w:val="1"/>
    </w:lvl>
    <w:lvl w:ilvl="1">
      <w:lvlJc w:val="left"/>
      <w:lvlText w:val="(%2)"/>
      <w:numFmt w:val="decimal"/>
      <w:start w:val="4"/>
    </w:lvl>
  </w:abstractNum>
  <w:abstractNum w:abstractNumId="813">
    <w:nsid w:val="5DB028FC"/>
    <w:multiLevelType w:val="hybridMultilevel"/>
    <w:lvl w:ilvl="0">
      <w:lvlJc w:val="left"/>
      <w:lvlText w:val="(%1)"/>
      <w:numFmt w:val="decimal"/>
      <w:start w:val="11"/>
    </w:lvl>
  </w:abstractNum>
  <w:abstractNum w:abstractNumId="814">
    <w:nsid w:val="182903A1"/>
    <w:multiLevelType w:val="hybridMultilevel"/>
    <w:lvl w:ilvl="0">
      <w:lvlJc w:val="left"/>
      <w:lvlText w:val="(%1)"/>
      <w:numFmt w:val="decimal"/>
      <w:start w:val="1"/>
    </w:lvl>
  </w:abstractNum>
  <w:abstractNum w:abstractNumId="815">
    <w:nsid w:val="1A5FC05D"/>
    <w:multiLevelType w:val="hybridMultilevel"/>
    <w:lvl w:ilvl="0">
      <w:lvlJc w:val="left"/>
      <w:lvlText w:val="(%1)"/>
      <w:numFmt w:val="decimal"/>
      <w:start w:val="3"/>
    </w:lvl>
  </w:abstractNum>
  <w:abstractNum w:abstractNumId="816">
    <w:nsid w:val="7BA207F7"/>
    <w:multiLevelType w:val="hybridMultilevel"/>
    <w:lvl w:ilvl="0">
      <w:lvlJc w:val="left"/>
      <w:lvlText w:val="(%1)"/>
      <w:numFmt w:val="decimal"/>
      <w:start w:val="15"/>
    </w:lvl>
  </w:abstractNum>
  <w:abstractNum w:abstractNumId="817">
    <w:nsid w:val="1E7E26D6"/>
    <w:multiLevelType w:val="hybridMultilevel"/>
    <w:lvl w:ilvl="0">
      <w:lvlJc w:val="left"/>
      <w:lvlText w:val="(%1)"/>
      <w:numFmt w:val="decimal"/>
      <w:start w:val="1"/>
    </w:lvl>
  </w:abstractNum>
  <w:abstractNum w:abstractNumId="818">
    <w:nsid w:val="399D6BA1"/>
    <w:multiLevelType w:val="hybridMultilevel"/>
    <w:lvl w:ilvl="0">
      <w:lvlJc w:val="left"/>
      <w:lvlText w:val="(%1)"/>
      <w:numFmt w:val="decimal"/>
      <w:start w:val="2"/>
    </w:lvl>
  </w:abstractNum>
  <w:abstractNum w:abstractNumId="819">
    <w:nsid w:val="684B2F6E"/>
    <w:multiLevelType w:val="hybridMultilevel"/>
    <w:lvl w:ilvl="0">
      <w:lvlJc w:val="left"/>
      <w:lvlText w:val="%1"/>
      <w:numFmt w:val="lowerRoman"/>
      <w:start w:val="1"/>
    </w:lvl>
    <w:lvl w:ilvl="1">
      <w:lvlJc w:val="left"/>
      <w:lvlText w:val="(%2)"/>
      <w:numFmt w:val="decimal"/>
      <w:start w:val="1"/>
    </w:lvl>
  </w:abstractNum>
  <w:abstractNum w:abstractNumId="820">
    <w:nsid w:val="7293711F"/>
    <w:multiLevelType w:val="hybridMultilevel"/>
    <w:lvl w:ilvl="0">
      <w:lvlJc w:val="left"/>
      <w:lvlText w:val="(%1)"/>
      <w:numFmt w:val="lowerRoman"/>
      <w:start w:val="2"/>
    </w:lvl>
    <w:lvl w:ilvl="1">
      <w:lvlJc w:val="left"/>
      <w:lvlText w:val="(%2)"/>
      <w:numFmt w:val="decimal"/>
      <w:start w:val="5"/>
    </w:lvl>
  </w:abstractNum>
  <w:abstractNum w:abstractNumId="821">
    <w:nsid w:val="529E34BD"/>
    <w:multiLevelType w:val="hybridMultilevel"/>
    <w:lvl w:ilvl="0">
      <w:lvlJc w:val="left"/>
      <w:lvlText w:val="(%1)"/>
      <w:numFmt w:val="decimal"/>
      <w:start w:val="6"/>
    </w:lvl>
  </w:abstractNum>
  <w:abstractNum w:abstractNumId="822">
    <w:nsid w:val="DECACAF"/>
    <w:multiLevelType w:val="hybridMultilevel"/>
    <w:lvl w:ilvl="0">
      <w:lvlJc w:val="left"/>
      <w:lvlText w:val="(%1)"/>
      <w:numFmt w:val="lowerLetter"/>
      <w:start w:val="4"/>
    </w:lvl>
  </w:abstractNum>
  <w:abstractNum w:abstractNumId="823">
    <w:nsid w:val="75D245B2"/>
    <w:multiLevelType w:val="hybridMultilevel"/>
    <w:lvl w:ilvl="0">
      <w:lvlJc w:val="left"/>
      <w:lvlText w:val="(%1)"/>
      <w:numFmt w:val="decimal"/>
      <w:start w:val="1"/>
    </w:lvl>
  </w:abstractNum>
  <w:abstractNum w:abstractNumId="824">
    <w:nsid w:val="1ED708D2"/>
    <w:multiLevelType w:val="hybridMultilevel"/>
    <w:lvl w:ilvl="0">
      <w:lvlJc w:val="left"/>
      <w:lvlText w:val="(%1)"/>
      <w:numFmt w:val="decimal"/>
      <w:start w:val="3"/>
    </w:lvl>
  </w:abstractNum>
  <w:abstractNum w:abstractNumId="825">
    <w:nsid w:val="16311481"/>
    <w:multiLevelType w:val="hybridMultilevel"/>
    <w:lvl w:ilvl="0">
      <w:lvlJc w:val="left"/>
      <w:lvlText w:val="(%1)"/>
      <w:numFmt w:val="decimal"/>
      <w:start w:val="1"/>
    </w:lvl>
  </w:abstractNum>
  <w:abstractNum w:abstractNumId="826">
    <w:nsid w:val="34611421"/>
    <w:multiLevelType w:val="hybridMultilevel"/>
    <w:lvl w:ilvl="0">
      <w:lvlJc w:val="left"/>
      <w:lvlText w:val="%1"/>
      <w:numFmt w:val="lowerRoman"/>
      <w:start w:val="1"/>
    </w:lvl>
    <w:lvl w:ilvl="1">
      <w:lvlJc w:val="left"/>
      <w:lvlText w:val="(%2)"/>
      <w:numFmt w:val="decimal"/>
      <w:start w:val="4"/>
    </w:lvl>
  </w:abstractNum>
  <w:abstractNum w:abstractNumId="827">
    <w:nsid w:val="1E0B04A6"/>
    <w:multiLevelType w:val="hybridMultilevel"/>
    <w:lvl w:ilvl="0">
      <w:lvlJc w:val="left"/>
      <w:lvlText w:val="(%1)"/>
      <w:numFmt w:val="lowerRoman"/>
      <w:start w:val="3"/>
    </w:lvl>
    <w:lvl w:ilvl="1">
      <w:lvlJc w:val="left"/>
      <w:lvlText w:val="(%2)"/>
      <w:numFmt w:val="decimal"/>
      <w:start w:val="8"/>
    </w:lvl>
  </w:abstractNum>
  <w:abstractNum w:abstractNumId="828">
    <w:nsid w:val="1FABCD90"/>
    <w:multiLevelType w:val="hybridMultilevel"/>
    <w:lvl w:ilvl="0">
      <w:lvlJc w:val="left"/>
      <w:lvlText w:val="(%1)"/>
      <w:numFmt w:val="lowerRoman"/>
      <w:start w:val="3"/>
    </w:lvl>
    <w:lvl w:ilvl="1">
      <w:lvlJc w:val="left"/>
      <w:lvlText w:val="%2"/>
      <w:numFmt w:val="decimal"/>
      <w:start w:val="1"/>
    </w:lvl>
  </w:abstractNum>
  <w:abstractNum w:abstractNumId="829">
    <w:nsid w:val="42838D65"/>
    <w:multiLevelType w:val="hybridMultilevel"/>
    <w:lvl w:ilvl="0">
      <w:lvlJc w:val="left"/>
      <w:lvlText w:val="%1"/>
      <w:numFmt w:val="lowerRoman"/>
      <w:start w:val="1"/>
    </w:lvl>
    <w:lvl w:ilvl="1">
      <w:lvlJc w:val="left"/>
      <w:lvlText w:val="(%2)"/>
      <w:numFmt w:val="decimal"/>
      <w:start w:val="12"/>
    </w:lvl>
    <w:lvl w:ilvl="2">
      <w:lvlJc w:val="left"/>
      <w:lvlText w:val="(%3)"/>
      <w:numFmt w:val="lowerRoman"/>
      <w:start w:val="1"/>
    </w:lvl>
  </w:abstractNum>
  <w:abstractNum w:abstractNumId="830">
    <w:nsid w:val="18AB7E41"/>
    <w:multiLevelType w:val="hybridMultilevel"/>
    <w:lvl w:ilvl="0">
      <w:lvlJc w:val="left"/>
      <w:lvlText w:val="(%1)"/>
      <w:numFmt w:val="lowerRoman"/>
      <w:start w:val="2"/>
    </w:lvl>
    <w:lvl w:ilvl="1">
      <w:lvlJc w:val="left"/>
      <w:lvlText w:val="%2"/>
      <w:numFmt w:val="decimal"/>
      <w:start w:val="1"/>
    </w:lvl>
    <w:lvl w:ilvl="2">
      <w:lvlJc w:val="left"/>
      <w:lvlText w:val="%3"/>
      <w:numFmt w:val="lowerRoman"/>
      <w:start w:val="1"/>
    </w:lvl>
  </w:abstractNum>
  <w:abstractNum w:abstractNumId="831">
    <w:nsid w:val="401726FE"/>
    <w:multiLevelType w:val="hybridMultilevel"/>
    <w:lvl w:ilvl="0">
      <w:lvlJc w:val="left"/>
      <w:lvlText w:val="(%1)"/>
      <w:numFmt w:val="decimal"/>
      <w:start w:val="18"/>
    </w:lvl>
  </w:abstractNum>
  <w:abstractNum w:abstractNumId="832">
    <w:nsid w:val="56BD6561"/>
    <w:multiLevelType w:val="hybridMultilevel"/>
    <w:lvl w:ilvl="0">
      <w:lvlJc w:val="left"/>
      <w:lvlText w:val="%1"/>
      <w:numFmt w:val="lowerRoman"/>
      <w:start w:val="1"/>
    </w:lvl>
    <w:lvl w:ilvl="1">
      <w:lvlJc w:val="left"/>
      <w:lvlText w:val="(%2)"/>
      <w:numFmt w:val="decimal"/>
      <w:start w:val="24"/>
    </w:lvl>
  </w:abstractNum>
  <w:abstractNum w:abstractNumId="833">
    <w:nsid w:val="B03BDA8"/>
    <w:multiLevelType w:val="hybridMultilevel"/>
    <w:lvl w:ilvl="0">
      <w:lvlJc w:val="left"/>
      <w:lvlText w:val="(%1)"/>
      <w:numFmt w:val="lowerRoman"/>
      <w:start w:val="2"/>
    </w:lvl>
    <w:lvl w:ilvl="1">
      <w:lvlJc w:val="left"/>
      <w:lvlText w:val="(%2)"/>
      <w:numFmt w:val="decimal"/>
      <w:start w:val="25"/>
    </w:lvl>
  </w:abstractNum>
  <w:abstractNum w:abstractNumId="834">
    <w:nsid w:val="1727474F"/>
    <w:multiLevelType w:val="hybridMultilevel"/>
    <w:lvl w:ilvl="0">
      <w:lvlJc w:val="left"/>
      <w:lvlText w:val="(%1)"/>
      <w:numFmt w:val="decimal"/>
      <w:start w:val="36"/>
    </w:lvl>
  </w:abstractNum>
  <w:abstractNum w:abstractNumId="835">
    <w:nsid w:val="3695094A"/>
    <w:multiLevelType w:val="hybridMultilevel"/>
    <w:lvl w:ilvl="0">
      <w:lvlJc w:val="left"/>
      <w:lvlText w:val="%1"/>
      <w:numFmt w:val="lowerLetter"/>
      <w:start w:val="1"/>
    </w:lvl>
    <w:lvl w:ilvl="1">
      <w:lvlJc w:val="left"/>
      <w:lvlText w:val="(%2)"/>
      <w:numFmt w:val="decimal"/>
      <w:start w:val="1"/>
    </w:lvl>
  </w:abstractNum>
  <w:abstractNum w:abstractNumId="836">
    <w:nsid w:val="6064067"/>
    <w:multiLevelType w:val="hybridMultilevel"/>
    <w:lvl w:ilvl="0">
      <w:lvlJc w:val="left"/>
      <w:lvlText w:val="(%1)"/>
      <w:numFmt w:val="lowerLetter"/>
      <w:start w:val="24"/>
    </w:lvl>
    <w:lvl w:ilvl="1">
      <w:lvlJc w:val="left"/>
      <w:lvlText w:val="(%2)"/>
      <w:numFmt w:val="decimal"/>
      <w:start w:val="3"/>
    </w:lvl>
  </w:abstractNum>
  <w:abstractNum w:abstractNumId="837">
    <w:nsid w:val="27489331"/>
    <w:multiLevelType w:val="hybridMultilevel"/>
    <w:lvl w:ilvl="0">
      <w:lvlJc w:val="left"/>
      <w:lvlText w:val="(%1)"/>
      <w:numFmt w:val="lowerLetter"/>
      <w:start w:val="25"/>
    </w:lvl>
    <w:lvl w:ilvl="1">
      <w:lvlJc w:val="left"/>
      <w:lvlText w:val="%2"/>
      <w:numFmt w:val="decimal"/>
      <w:start w:val="1"/>
    </w:lvl>
  </w:abstractNum>
  <w:abstractNum w:abstractNumId="838">
    <w:nsid w:val="69F23E34"/>
    <w:multiLevelType w:val="hybridMultilevel"/>
    <w:lvl w:ilvl="0">
      <w:lvlJc w:val="left"/>
      <w:lvlText w:val="(%1)"/>
      <w:numFmt w:val="lowerLetter"/>
      <w:start w:val="9"/>
    </w:lvl>
    <w:lvl w:ilvl="1">
      <w:lvlJc w:val="left"/>
      <w:lvlText w:val="(%2)"/>
      <w:numFmt w:val="decimal"/>
      <w:start w:val="5"/>
    </w:lvl>
  </w:abstractNum>
  <w:abstractNum w:abstractNumId="839">
    <w:nsid w:val="71A8D22C"/>
    <w:multiLevelType w:val="hybridMultilevel"/>
    <w:lvl w:ilvl="0">
      <w:lvlJc w:val="left"/>
      <w:lvlText w:val="(%1)"/>
      <w:numFmt w:val="lowerLetter"/>
      <w:start w:val="35"/>
    </w:lvl>
    <w:lvl w:ilvl="1">
      <w:lvlJc w:val="left"/>
      <w:lvlText w:val="%2"/>
      <w:numFmt w:val="decimal"/>
      <w:start w:val="1"/>
    </w:lvl>
  </w:abstractNum>
  <w:abstractNum w:abstractNumId="840">
    <w:nsid w:val="6C7F1B7"/>
    <w:multiLevelType w:val="hybridMultilevel"/>
    <w:lvl w:ilvl="0">
      <w:lvlJc w:val="left"/>
      <w:lvlText w:val="%1"/>
      <w:numFmt w:val="lowerRoman"/>
      <w:start w:val="1"/>
    </w:lvl>
    <w:lvl w:ilvl="1">
      <w:lvlJc w:val="left"/>
      <w:lvlText w:val="(%2)"/>
      <w:numFmt w:val="decimal"/>
      <w:start w:val="7"/>
    </w:lvl>
  </w:abstractNum>
  <w:abstractNum w:abstractNumId="841">
    <w:nsid w:val="6A3A3B2"/>
    <w:multiLevelType w:val="hybridMultilevel"/>
    <w:lvl w:ilvl="0">
      <w:lvlJc w:val="left"/>
      <w:lvlText w:val="(%1)"/>
      <w:numFmt w:val="lowerRoman"/>
      <w:start w:val="2"/>
    </w:lvl>
    <w:lvl w:ilvl="1">
      <w:lvlJc w:val="left"/>
      <w:lvlText w:val="(%2)"/>
      <w:numFmt w:val="decimal"/>
      <w:start w:val="9"/>
    </w:lvl>
  </w:abstractNum>
  <w:abstractNum w:abstractNumId="842">
    <w:nsid w:val="7044C6EF"/>
    <w:multiLevelType w:val="hybridMultilevel"/>
    <w:lvl w:ilvl="0">
      <w:lvlJc w:val="left"/>
      <w:lvlText w:val="(%1)"/>
      <w:numFmt w:val="decimal"/>
      <w:start w:val="13"/>
    </w:lvl>
  </w:abstractNum>
  <w:abstractNum w:abstractNumId="843">
    <w:nsid w:val="4A748FDA"/>
    <w:multiLevelType w:val="hybridMultilevel"/>
    <w:lvl w:ilvl="0">
      <w:lvlJc w:val="left"/>
      <w:lvlText w:val="%1"/>
      <w:numFmt w:val="lowerRoman"/>
      <w:start w:val="1"/>
    </w:lvl>
    <w:lvl w:ilvl="1">
      <w:lvlJc w:val="left"/>
      <w:lvlText w:val="(%2)"/>
      <w:numFmt w:val="decimal"/>
      <w:start w:val="16"/>
    </w:lvl>
  </w:abstractNum>
  <w:abstractNum w:abstractNumId="844">
    <w:nsid w:val="6453CCAE"/>
    <w:multiLevelType w:val="hybridMultilevel"/>
    <w:lvl w:ilvl="0">
      <w:lvlJc w:val="left"/>
      <w:lvlText w:val="(%1)"/>
      <w:numFmt w:val="lowerRoman"/>
      <w:start w:val="3"/>
    </w:lvl>
    <w:lvl w:ilvl="1">
      <w:lvlJc w:val="left"/>
      <w:lvlText w:val="%2"/>
      <w:numFmt w:val="decimal"/>
      <w:start w:val="1"/>
    </w:lvl>
  </w:abstractNum>
  <w:abstractNum w:abstractNumId="845">
    <w:nsid w:val="86DCA90"/>
    <w:multiLevelType w:val="hybridMultilevel"/>
    <w:lvl w:ilvl="0">
      <w:lvlJc w:val="left"/>
      <w:lvlText w:val="(%1)"/>
      <w:numFmt w:val="decimal"/>
      <w:start w:val="23"/>
    </w:lvl>
  </w:abstractNum>
  <w:abstractNum w:abstractNumId="846">
    <w:nsid w:val="64D45037"/>
    <w:multiLevelType w:val="hybridMultilevel"/>
    <w:lvl w:ilvl="0">
      <w:lvlJc w:val="left"/>
      <w:lvlText w:val="(%1)"/>
      <w:numFmt w:val="decimal"/>
      <w:start w:val="30"/>
    </w:lvl>
  </w:abstractNum>
  <w:abstractNum w:abstractNumId="847">
    <w:nsid w:val="5FF5D4A5"/>
    <w:multiLevelType w:val="hybridMultilevel"/>
    <w:lvl w:ilvl="0">
      <w:lvlJc w:val="left"/>
      <w:lvlText w:val="(%1)"/>
      <w:numFmt w:val="decimal"/>
      <w:start w:val="32"/>
    </w:lvl>
  </w:abstractNum>
  <w:abstractNum w:abstractNumId="848">
    <w:nsid w:val="26EBF166"/>
    <w:multiLevelType w:val="hybridMultilevel"/>
    <w:lvl w:ilvl="0">
      <w:lvlJc w:val="left"/>
      <w:lvlText w:val="%1"/>
      <w:numFmt w:val="lowerLetter"/>
      <w:start w:val="1"/>
    </w:lvl>
    <w:lvl w:ilvl="1">
      <w:lvlJc w:val="left"/>
      <w:lvlText w:val="(%2)"/>
      <w:numFmt w:val="decimal"/>
      <w:start w:val="45"/>
    </w:lvl>
  </w:abstractNum>
  <w:abstractNum w:abstractNumId="849">
    <w:nsid w:val="1E71BBD8"/>
    <w:multiLevelType w:val="hybridMultilevel"/>
    <w:lvl w:ilvl="0">
      <w:lvlJc w:val="left"/>
      <w:lvlText w:val="(%1)"/>
      <w:numFmt w:val="lowerLetter"/>
      <w:start w:val="2"/>
    </w:lvl>
    <w:lvl w:ilvl="1">
      <w:lvlJc w:val="left"/>
      <w:lvlText w:val="(%2)"/>
      <w:numFmt w:val="decimal"/>
      <w:start w:val="50"/>
    </w:lvl>
  </w:abstractNum>
  <w:abstractNum w:abstractNumId="850">
    <w:nsid w:val="48410413"/>
    <w:multiLevelType w:val="hybridMultilevel"/>
    <w:lvl w:ilvl="0">
      <w:lvlJc w:val="left"/>
      <w:lvlText w:val="(%1)"/>
      <w:numFmt w:val="lowerLetter"/>
      <w:start w:val="1"/>
    </w:lvl>
  </w:abstractNum>
  <w:abstractNum w:abstractNumId="851">
    <w:nsid w:val="197F6285"/>
    <w:multiLevelType w:val="hybridMultilevel"/>
    <w:lvl w:ilvl="0">
      <w:lvlJc w:val="left"/>
      <w:lvlText w:val="(%1)"/>
      <w:numFmt w:val="lowerLetter"/>
      <w:start w:val="2"/>
    </w:lvl>
  </w:abstractNum>
  <w:abstractNum w:abstractNumId="852">
    <w:nsid w:val="710FF095"/>
    <w:multiLevelType w:val="hybridMultilevel"/>
    <w:lvl w:ilvl="0">
      <w:lvlJc w:val="left"/>
      <w:lvlText w:val="%1"/>
      <w:numFmt w:val="lowerLetter"/>
      <w:start w:val="1"/>
    </w:lvl>
    <w:lvl w:ilvl="1">
      <w:lvlJc w:val="left"/>
      <w:lvlText w:val="(%2)"/>
      <w:numFmt w:val="decimal"/>
      <w:start w:val="1"/>
    </w:lvl>
  </w:abstractNum>
  <w:abstractNum w:abstractNumId="853">
    <w:nsid w:val="562DB0C2"/>
    <w:multiLevelType w:val="hybridMultilevel"/>
    <w:lvl w:ilvl="0">
      <w:lvlJc w:val="left"/>
      <w:lvlText w:val="(%1)"/>
      <w:numFmt w:val="lowerLetter"/>
      <w:start w:val="21"/>
    </w:lvl>
    <w:lvl w:ilvl="1">
      <w:lvlJc w:val="left"/>
      <w:lvlText w:val="%2"/>
      <w:numFmt w:val="decimal"/>
      <w:start w:val="1"/>
    </w:lvl>
  </w:abstractNum>
  <w:abstractNum w:abstractNumId="854">
    <w:nsid w:val="F51A837"/>
    <w:multiLevelType w:val="hybridMultilevel"/>
    <w:lvl w:ilvl="0">
      <w:lvlJc w:val="left"/>
      <w:lvlText w:val="(%1)"/>
      <w:numFmt w:val="decimal"/>
      <w:start w:val="3"/>
    </w:lvl>
  </w:abstractNum>
  <w:abstractNum w:abstractNumId="855">
    <w:nsid w:val="FE6F967"/>
    <w:multiLevelType w:val="hybridMultilevel"/>
    <w:lvl w:ilvl="0">
      <w:lvlJc w:val="left"/>
      <w:lvlText w:val="(%1)"/>
      <w:numFmt w:val="lowerLetter"/>
      <w:start w:val="1"/>
    </w:lvl>
  </w:abstractNum>
  <w:abstractNum w:abstractNumId="856">
    <w:nsid w:val="6C5EC544"/>
    <w:multiLevelType w:val="hybridMultilevel"/>
    <w:lvl w:ilvl="0">
      <w:lvlJc w:val="left"/>
      <w:lvlText w:val="(%1)"/>
      <w:numFmt w:val="lowerRoman"/>
      <w:start w:val="2"/>
    </w:lvl>
  </w:abstractNum>
  <w:abstractNum w:abstractNumId="857">
    <w:nsid w:val="43B2BC58"/>
    <w:multiLevelType w:val="hybridMultilevel"/>
    <w:lvl w:ilvl="0">
      <w:lvlJc w:val="left"/>
      <w:lvlText w:val="(%1)"/>
      <w:numFmt w:val="decimal"/>
      <w:start w:val="1"/>
    </w:lvl>
  </w:abstractNum>
  <w:abstractNum w:abstractNumId="858">
    <w:nsid w:val="2DF1FE0E"/>
    <w:multiLevelType w:val="hybridMultilevel"/>
    <w:lvl w:ilvl="0">
      <w:lvlJc w:val="left"/>
      <w:lvlText w:val="(%1)"/>
      <w:numFmt w:val="decimal"/>
      <w:start w:val="3"/>
    </w:lvl>
  </w:abstractNum>
  <w:abstractNum w:abstractNumId="859">
    <w:nsid w:val="C0A92D4"/>
    <w:multiLevelType w:val="hybridMultilevel"/>
    <w:lvl w:ilvl="0">
      <w:lvlJc w:val="left"/>
      <w:lvlText w:val="(%1)"/>
      <w:numFmt w:val="decimal"/>
      <w:start w:val="1"/>
    </w:lvl>
  </w:abstractNum>
  <w:abstractNum w:abstractNumId="860">
    <w:nsid w:val="63649BD"/>
    <w:multiLevelType w:val="hybridMultilevel"/>
    <w:lvl w:ilvl="0">
      <w:lvlJc w:val="left"/>
      <w:lvlText w:val="(%1)"/>
      <w:numFmt w:val="upperLetter"/>
      <w:start w:val="1"/>
    </w:lvl>
  </w:abstractNum>
  <w:abstractNum w:abstractNumId="861">
    <w:nsid w:val="469D7C4F"/>
    <w:multiLevelType w:val="hybridMultilevel"/>
    <w:lvl w:ilvl="0">
      <w:lvlJc w:val="left"/>
      <w:lvlText w:val="(%1)"/>
      <w:numFmt w:val="upperLetter"/>
      <w:start w:val="7"/>
    </w:lvl>
  </w:abstractNum>
  <w:abstractNum w:abstractNumId="862">
    <w:nsid w:val="4C21B9D2"/>
    <w:multiLevelType w:val="hybridMultilevel"/>
    <w:lvl w:ilvl="0">
      <w:lvlJc w:val="left"/>
      <w:lvlText w:val="(%1)"/>
      <w:numFmt w:val="lowerLetter"/>
      <w:start w:val="1"/>
    </w:lvl>
  </w:abstractNum>
  <w:abstractNum w:abstractNumId="863">
    <w:nsid w:val="5CF3AF1E"/>
    <w:multiLevelType w:val="hybridMultilevel"/>
    <w:lvl w:ilvl="0">
      <w:lvlJc w:val="left"/>
      <w:lvlText w:val="(%1)"/>
      <w:numFmt w:val="lowerLetter"/>
      <w:start w:val="3"/>
    </w:lvl>
  </w:abstractNum>
  <w:abstractNum w:abstractNumId="864">
    <w:nsid w:val="51A139F7"/>
    <w:multiLevelType w:val="hybridMultilevel"/>
    <w:lvl w:ilvl="0">
      <w:lvlJc w:val="left"/>
      <w:lvlText w:val="(%1)"/>
      <w:numFmt w:val="lowerLetter"/>
      <w:start w:val="5"/>
    </w:lvl>
  </w:abstractNum>
  <w:abstractNum w:abstractNumId="865">
    <w:nsid w:val="63490122"/>
    <w:multiLevelType w:val="hybridMultilevel"/>
    <w:lvl w:ilvl="0">
      <w:lvlJc w:val="left"/>
      <w:lvlText w:val="(%1)"/>
      <w:numFmt w:val="lowerLetter"/>
      <w:start w:val="1"/>
    </w:lvl>
  </w:abstractNum>
  <w:abstractNum w:abstractNumId="866">
    <w:nsid w:val="1388B868"/>
    <w:multiLevelType w:val="hybridMultilevel"/>
    <w:lvl w:ilvl="0">
      <w:lvlJc w:val="left"/>
      <w:lvlText w:val="(%1)"/>
      <w:numFmt w:val="lowerLetter"/>
      <w:start w:val="2"/>
    </w:lvl>
  </w:abstractNum>
  <w:abstractNum w:abstractNumId="867">
    <w:nsid w:val="57A77A5E"/>
    <w:multiLevelType w:val="hybridMultilevel"/>
    <w:lvl w:ilvl="0">
      <w:lvlJc w:val="left"/>
      <w:lvlText w:val="(%1)"/>
      <w:numFmt w:val="lowerLetter"/>
      <w:start w:val="1"/>
    </w:lvl>
  </w:abstractNum>
  <w:abstractNum w:abstractNumId="868">
    <w:nsid w:val="A919453"/>
    <w:multiLevelType w:val="hybridMultilevel"/>
    <w:lvl w:ilvl="0">
      <w:lvlJc w:val="left"/>
      <w:lvlText w:val="(%1)"/>
      <w:numFmt w:val="lowerLetter"/>
      <w:start w:val="2"/>
    </w:lvl>
  </w:abstractNum>
  <w:abstractNum w:abstractNumId="869">
    <w:nsid w:val="7D7AF69D"/>
    <w:multiLevelType w:val="hybridMultilevel"/>
    <w:lvl w:ilvl="0">
      <w:lvlJc w:val="left"/>
      <w:lvlText w:val="(%1)"/>
      <w:numFmt w:val="lowerLetter"/>
      <w:start w:val="6"/>
    </w:lvl>
    <w:lvl w:ilvl="1">
      <w:lvlJc w:val="left"/>
      <w:lvlText w:val="(%2)"/>
      <w:numFmt w:val="lowerRoman"/>
      <w:start w:val="1"/>
    </w:lvl>
  </w:abstractNum>
  <w:abstractNum w:abstractNumId="870">
    <w:nsid w:val="49504C8A"/>
    <w:multiLevelType w:val="hybridMultilevel"/>
    <w:lvl w:ilvl="0">
      <w:lvlJc w:val="left"/>
      <w:lvlText w:val="%1"/>
      <w:numFmt w:val="lowerLetter"/>
      <w:start w:val="1"/>
    </w:lvl>
    <w:lvl w:ilvl="1">
      <w:lvlJc w:val="left"/>
      <w:lvlText w:val="(%2)"/>
      <w:numFmt w:val="lowerRoman"/>
      <w:start w:val="6"/>
    </w:lvl>
  </w:abstractNum>
  <w:abstractNum w:abstractNumId="871">
    <w:nsid w:val="1159860A"/>
    <w:multiLevelType w:val="hybridMultilevel"/>
    <w:lvl w:ilvl="0">
      <w:lvlJc w:val="left"/>
      <w:lvlText w:val="(%1)"/>
      <w:numFmt w:val="lowerLetter"/>
      <w:start w:val="7"/>
    </w:lvl>
    <w:lvl w:ilvl="1">
      <w:lvlJc w:val="left"/>
      <w:lvlText w:val="%2"/>
      <w:numFmt w:val="lowerRoman"/>
      <w:start w:val="1"/>
    </w:lvl>
  </w:abstractNum>
  <w:abstractNum w:abstractNumId="872">
    <w:nsid w:val="41E9A4F"/>
    <w:multiLevelType w:val="hybridMultilevel"/>
    <w:lvl w:ilvl="0">
      <w:lvlJc w:val="left"/>
      <w:lvlText w:val="(%1)"/>
      <w:numFmt w:val="lowerRoman"/>
      <w:start w:val="1"/>
    </w:lvl>
  </w:abstractNum>
  <w:abstractNum w:abstractNumId="873">
    <w:nsid w:val="39951379"/>
    <w:multiLevelType w:val="hybridMultilevel"/>
    <w:lvl w:ilvl="0">
      <w:lvlJc w:val="left"/>
      <w:lvlText w:val="•"/>
      <w:numFmt w:val="bullet"/>
      <w:start w:val="1"/>
    </w:lvl>
  </w:abstractNum>
  <w:abstractNum w:abstractNumId="874">
    <w:nsid w:val="5BCE15E4"/>
    <w:multiLevelType w:val="hybridMultilevel"/>
    <w:lvl w:ilvl="0">
      <w:lvlJc w:val="left"/>
      <w:lvlText w:val="(%1)"/>
      <w:numFmt w:val="lowerLetter"/>
      <w:start w:val="1"/>
    </w:lvl>
    <w:lvl w:ilvl="1">
      <w:lvlJc w:val="left"/>
      <w:lvlText w:val="(%2)"/>
      <w:numFmt w:val="decimal"/>
      <w:start w:val="1"/>
    </w:lvl>
  </w:abstractNum>
  <w:abstractNum w:abstractNumId="875">
    <w:nsid w:val="687266FE"/>
    <w:multiLevelType w:val="hybridMultilevel"/>
    <w:lvl w:ilvl="0">
      <w:lvlJc w:val="left"/>
      <w:lvlText w:val="(%1)"/>
      <w:numFmt w:val="lowerLetter"/>
      <w:start w:val="2"/>
    </w:lvl>
  </w:abstractNum>
  <w:abstractNum w:abstractNumId="876">
    <w:nsid w:val="4202DE09"/>
    <w:multiLevelType w:val="hybridMultilevel"/>
    <w:lvl w:ilvl="0">
      <w:lvlJc w:val="left"/>
      <w:lvlText w:val="(%1)"/>
      <w:numFmt w:val="lowerLetter"/>
      <w:start w:val="4"/>
    </w:lvl>
  </w:abstractNum>
  <w:abstractNum w:abstractNumId="877">
    <w:nsid w:val="40A2661B"/>
    <w:multiLevelType w:val="hybridMultilevel"/>
    <w:lvl w:ilvl="0">
      <w:lvlJc w:val="left"/>
      <w:lvlText w:val="(%1)"/>
      <w:numFmt w:val="lowerLetter"/>
      <w:start w:val="6"/>
    </w:lvl>
  </w:abstractNum>
  <w:abstractNum w:abstractNumId="878">
    <w:nsid w:val="48683BA3"/>
    <w:multiLevelType w:val="hybridMultilevel"/>
    <w:lvl w:ilvl="0">
      <w:lvlJc w:val="left"/>
      <w:lvlText w:val="(%1)"/>
      <w:numFmt w:val="lowerLetter"/>
      <w:start w:val="1"/>
    </w:lvl>
    <w:lvl w:ilvl="1">
      <w:lvlJc w:val="left"/>
      <w:lvlText w:val="(%2)"/>
      <w:numFmt w:val="lowerRoman"/>
      <w:start w:val="1"/>
    </w:lvl>
  </w:abstractNum>
  <w:abstractNum w:abstractNumId="879">
    <w:nsid w:val="68EECF6F"/>
    <w:multiLevelType w:val="hybridMultilevel"/>
    <w:lvl w:ilvl="0">
      <w:lvlJc w:val="left"/>
      <w:lvlText w:val="(%1)"/>
      <w:numFmt w:val="lowerRoman"/>
      <w:start w:val="7"/>
    </w:lvl>
  </w:abstractNum>
  <w:abstractNum w:abstractNumId="880">
    <w:nsid w:val="5F1421F3"/>
    <w:multiLevelType w:val="hybridMultilevel"/>
    <w:lvl w:ilvl="0">
      <w:lvlJc w:val="left"/>
      <w:lvlText w:val="(%1)"/>
      <w:numFmt w:val="lowerLetter"/>
      <w:start w:val="3"/>
    </w:lvl>
  </w:abstractNum>
  <w:abstractNum w:abstractNumId="881">
    <w:nsid w:val="10A93FB7"/>
    <w:multiLevelType w:val="hybridMultilevel"/>
    <w:lvl w:ilvl="0">
      <w:lvlJc w:val="left"/>
      <w:lvlText w:val="(%1)"/>
      <w:numFmt w:val="lowerLetter"/>
      <w:start w:val="4"/>
    </w:lvl>
  </w:abstractNum>
  <w:abstractNum w:abstractNumId="882">
    <w:nsid w:val="26E31F4"/>
    <w:multiLevelType w:val="hybridMultilevel"/>
    <w:lvl w:ilvl="0">
      <w:lvlJc w:val="left"/>
      <w:lvlText w:val="(%1)"/>
      <w:numFmt w:val="lowerLetter"/>
      <w:start w:val="2"/>
    </w:lvl>
  </w:abstractNum>
  <w:abstractNum w:abstractNumId="883">
    <w:nsid w:val="50241288"/>
    <w:multiLevelType w:val="hybridMultilevel"/>
    <w:lvl w:ilvl="0">
      <w:lvlJc w:val="left"/>
      <w:lvlText w:val="(%1)"/>
      <w:numFmt w:val="decimal"/>
      <w:start w:val="1"/>
    </w:lvl>
  </w:abstractNum>
  <w:abstractNum w:abstractNumId="884">
    <w:nsid w:val="66D6F079"/>
    <w:multiLevelType w:val="hybridMultilevel"/>
    <w:lvl w:ilvl="0">
      <w:lvlJc w:val="left"/>
      <w:lvlText w:val="(%1)"/>
      <w:numFmt w:val="decimal"/>
      <w:start w:val="5"/>
    </w:lvl>
  </w:abstractNum>
  <w:abstractNum w:abstractNumId="885">
    <w:nsid w:val="11BFDA2C"/>
    <w:multiLevelType w:val="hybridMultilevel"/>
    <w:lvl w:ilvl="0">
      <w:lvlJc w:val="left"/>
      <w:lvlText w:val="%1"/>
      <w:numFmt w:val="upperLetter"/>
      <w:start w:val="1"/>
    </w:lvl>
    <w:lvl w:ilvl="1">
      <w:lvlJc w:val="left"/>
      <w:lvlText w:val="(%2)"/>
      <w:numFmt w:val="lowerLetter"/>
      <w:start w:val="1"/>
    </w:lvl>
  </w:abstractNum>
  <w:abstractNum w:abstractNumId="886">
    <w:nsid w:val="600B0BF0"/>
    <w:multiLevelType w:val="hybridMultilevel"/>
    <w:lvl w:ilvl="0">
      <w:lvlJc w:val="left"/>
      <w:lvlText w:val="(%1)"/>
      <w:numFmt w:val="upperLetter"/>
      <w:start w:val="1"/>
    </w:lvl>
    <w:lvl w:ilvl="1">
      <w:lvlJc w:val="left"/>
      <w:lvlText w:val="(%2)"/>
      <w:numFmt w:val="lowerLetter"/>
      <w:start w:val="2"/>
    </w:lvl>
  </w:abstractNum>
  <w:abstractNum w:abstractNumId="887">
    <w:nsid w:val="5335B5BD"/>
    <w:multiLevelType w:val="hybridMultilevel"/>
    <w:lvl w:ilvl="0">
      <w:lvlJc w:val="left"/>
      <w:lvlText w:val="(%1)"/>
      <w:numFmt w:val="lowerLetter"/>
      <w:start w:val="4"/>
    </w:lvl>
  </w:abstractNum>
  <w:abstractNum w:abstractNumId="888">
    <w:nsid w:val="55729684"/>
    <w:multiLevelType w:val="hybridMultilevel"/>
    <w:lvl w:ilvl="0">
      <w:lvlJc w:val="left"/>
      <w:lvlText w:val="(%1)"/>
      <w:numFmt w:val="lowerLetter"/>
      <w:start w:val="1"/>
    </w:lvl>
  </w:abstractNum>
  <w:abstractNum w:abstractNumId="889">
    <w:nsid w:val="DFD09FE"/>
    <w:multiLevelType w:val="hybridMultilevel"/>
    <w:lvl w:ilvl="0">
      <w:lvlJc w:val="left"/>
      <w:lvlText w:val="(%1)"/>
      <w:numFmt w:val="lowerLetter"/>
      <w:start w:val="2"/>
    </w:lvl>
  </w:abstractNum>
  <w:abstractNum w:abstractNumId="890">
    <w:nsid w:val="5F404891"/>
    <w:multiLevelType w:val="hybridMultilevel"/>
    <w:lvl w:ilvl="0">
      <w:lvlJc w:val="left"/>
      <w:lvlText w:val="(%1)"/>
      <w:numFmt w:val="lowerLetter"/>
      <w:start w:val="1"/>
    </w:lvl>
    <w:lvl w:ilvl="1">
      <w:lvlJc w:val="left"/>
      <w:lvlText w:val="(%2)"/>
      <w:numFmt w:val="lowerRoman"/>
      <w:start w:val="1"/>
    </w:lvl>
  </w:abstractNum>
  <w:abstractNum w:abstractNumId="891">
    <w:nsid w:val="5BA8E042"/>
    <w:multiLevelType w:val="hybridMultilevel"/>
    <w:lvl w:ilvl="0">
      <w:lvlJc w:val="left"/>
      <w:lvlText w:val="(%1)"/>
      <w:numFmt w:val="lowerRoman"/>
      <w:start w:val="4"/>
    </w:lvl>
    <w:lvl w:ilvl="1">
      <w:lvlJc w:val="left"/>
      <w:lvlText w:val="(%2)"/>
      <w:numFmt w:val="lowerLetter"/>
      <w:start w:val="25"/>
    </w:lvl>
    <w:lvl w:ilvl="2">
      <w:lvlJc w:val="left"/>
      <w:lvlText w:val="(%3)"/>
      <w:numFmt w:val="upperLetter"/>
      <w:start w:val="1"/>
    </w:lvl>
  </w:abstractNum>
  <w:abstractNum w:abstractNumId="892">
    <w:nsid w:val="549A864D"/>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3"/>
    </w:lvl>
  </w:abstractNum>
  <w:abstractNum w:abstractNumId="893">
    <w:nsid w:val="2B620264"/>
    <w:multiLevelType w:val="hybridMultilevel"/>
    <w:lvl w:ilvl="0">
      <w:lvlJc w:val="left"/>
      <w:lvlText w:val="(%1)"/>
      <w:numFmt w:val="lowerLetter"/>
      <w:start w:val="61"/>
    </w:lvl>
    <w:lvl w:ilvl="1">
      <w:lvlJc w:val="left"/>
      <w:lvlText w:val="(%2)"/>
      <w:numFmt w:val="lowerLetter"/>
      <w:start w:val="2"/>
    </w:lvl>
  </w:abstractNum>
  <w:abstractNum w:abstractNumId="894">
    <w:nsid w:val="389C8F60"/>
    <w:multiLevelType w:val="hybridMultilevel"/>
    <w:lvl w:ilvl="0">
      <w:lvlJc w:val="left"/>
      <w:lvlText w:val="(%1)"/>
      <w:numFmt w:val="lowerLetter"/>
      <w:start w:val="3"/>
    </w:lvl>
  </w:abstractNum>
  <w:abstractNum w:abstractNumId="895">
    <w:nsid w:val="263BC044"/>
    <w:multiLevelType w:val="hybridMultilevel"/>
    <w:lvl w:ilvl="0">
      <w:lvlJc w:val="left"/>
      <w:lvlText w:val="(%1)"/>
      <w:numFmt w:val="lowerLetter"/>
      <w:start w:val="1"/>
    </w:lvl>
  </w:abstractNum>
  <w:abstractNum w:abstractNumId="896">
    <w:nsid w:val="EAB0386"/>
    <w:multiLevelType w:val="hybridMultilevel"/>
    <w:lvl w:ilvl="0">
      <w:lvlJc w:val="left"/>
      <w:lvlText w:val="(%1)"/>
      <w:numFmt w:val="lowerLetter"/>
      <w:start w:val="6"/>
    </w:lvl>
  </w:abstractNum>
  <w:abstractNum w:abstractNumId="897">
    <w:nsid w:val="4C2547C9"/>
    <w:multiLevelType w:val="hybridMultilevel"/>
    <w:lvl w:ilvl="0">
      <w:lvlJc w:val="left"/>
      <w:lvlText w:val="(%1)"/>
      <w:numFmt w:val="lowerLetter"/>
      <w:start w:val="1"/>
    </w:lvl>
    <w:lvl w:ilvl="1">
      <w:lvlJc w:val="left"/>
      <w:lvlText w:val="(%2)"/>
      <w:numFmt w:val="lowerRoman"/>
      <w:start w:val="1"/>
    </w:lvl>
  </w:abstractNum>
  <w:abstractNum w:abstractNumId="898">
    <w:nsid w:val="7DE33AA2"/>
    <w:multiLevelType w:val="hybridMultilevel"/>
    <w:lvl w:ilvl="0">
      <w:lvlJc w:val="left"/>
      <w:lvlText w:val="(%1)"/>
      <w:numFmt w:val="lowerRoman"/>
      <w:start w:val="3"/>
    </w:lvl>
  </w:abstractNum>
  <w:abstractNum w:abstractNumId="899">
    <w:nsid w:val="193C97D9"/>
    <w:multiLevelType w:val="hybridMultilevel"/>
    <w:lvl w:ilvl="0">
      <w:lvlJc w:val="left"/>
      <w:lvlText w:val="(%1)"/>
      <w:numFmt w:val="decimal"/>
      <w:start w:val="1"/>
    </w:lvl>
    <w:lvl w:ilvl="1">
      <w:lvlJc w:val="left"/>
      <w:lvlText w:val="(%2)"/>
      <w:numFmt w:val="upperLetter"/>
      <w:start w:val="1"/>
    </w:lvl>
  </w:abstractNum>
  <w:abstractNum w:abstractNumId="900">
    <w:nsid w:val="49A03E66"/>
    <w:multiLevelType w:val="hybridMultilevel"/>
    <w:lvl w:ilvl="0">
      <w:lvlJc w:val="left"/>
      <w:lvlText w:val="(%1)"/>
      <w:numFmt w:val="lowerLetter"/>
      <w:start w:val="25"/>
    </w:lvl>
    <w:lvl w:ilvl="1">
      <w:lvlJc w:val="left"/>
      <w:lvlText w:val="(%2)"/>
      <w:numFmt w:val="upperLetter"/>
      <w:start w:val="4"/>
    </w:lvl>
  </w:abstractNum>
  <w:abstractNum w:abstractNumId="901">
    <w:nsid w:val="4733872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8"/>
    </w:lvl>
  </w:abstractNum>
  <w:abstractNum w:abstractNumId="902">
    <w:nsid w:val="2A961DE3"/>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03">
    <w:nsid w:val="4DBED8B5"/>
    <w:multiLevelType w:val="hybridMultilevel"/>
    <w:lvl w:ilvl="0">
      <w:lvlJc w:val="left"/>
      <w:lvlText w:val="(%1)"/>
      <w:numFmt w:val="lowerRoman"/>
      <w:start w:val="2"/>
    </w:lvl>
  </w:abstractNum>
  <w:abstractNum w:abstractNumId="904">
    <w:nsid w:val="C89AA6"/>
    <w:multiLevelType w:val="hybridMultilevel"/>
    <w:lvl w:ilvl="0">
      <w:lvlJc w:val="left"/>
      <w:lvlText w:val="(%1)"/>
      <w:numFmt w:val="lowerRoman"/>
      <w:start w:val="7"/>
    </w:lvl>
  </w:abstractNum>
  <w:abstractNum w:abstractNumId="905">
    <w:nsid w:val="66433C7"/>
    <w:multiLevelType w:val="hybridMultilevel"/>
    <w:lvl w:ilvl="0">
      <w:lvlJc w:val="left"/>
      <w:lvlText w:val="(%1)"/>
      <w:numFmt w:val="lowerRoman"/>
      <w:start w:val="16"/>
    </w:lvl>
  </w:abstractNum>
  <w:abstractNum w:abstractNumId="906">
    <w:nsid w:val="36313FB3"/>
    <w:multiLevelType w:val="hybridMultilevel"/>
    <w:lvl w:ilvl="0">
      <w:lvlJc w:val="left"/>
      <w:lvlText w:val="(%1)"/>
      <w:numFmt w:val="lowerRoman"/>
      <w:start w:val="23"/>
    </w:lvl>
  </w:abstractNum>
  <w:abstractNum w:abstractNumId="907">
    <w:nsid w:val="42CB78B0"/>
    <w:multiLevelType w:val="hybridMultilevel"/>
    <w:lvl w:ilvl="0">
      <w:lvlJc w:val="left"/>
      <w:lvlText w:val="(%1)"/>
      <w:numFmt w:val="lowerLetter"/>
      <w:start w:val="1"/>
    </w:lvl>
    <w:lvl w:ilvl="1">
      <w:lvlJc w:val="left"/>
      <w:lvlText w:val="(%2)"/>
      <w:numFmt w:val="lowerRoman"/>
      <w:start w:val="1"/>
    </w:lvl>
  </w:abstractNum>
  <w:abstractNum w:abstractNumId="908">
    <w:nsid w:val="470699E2"/>
    <w:multiLevelType w:val="hybridMultilevel"/>
    <w:lvl w:ilvl="0">
      <w:lvlJc w:val="left"/>
      <w:lvlText w:val="(%1)"/>
      <w:numFmt w:val="lowerRoman"/>
      <w:start w:val="3"/>
    </w:lvl>
  </w:abstractNum>
  <w:abstractNum w:abstractNumId="909">
    <w:nsid w:val="7E997B57"/>
    <w:multiLevelType w:val="hybridMultilevel"/>
    <w:lvl w:ilvl="0">
      <w:lvlJc w:val="left"/>
      <w:lvlText w:val="(%1)"/>
      <w:numFmt w:val="lowerRoman"/>
      <w:start w:val="9"/>
    </w:lvl>
  </w:abstractNum>
  <w:abstractNum w:abstractNumId="910">
    <w:nsid w:val="2BBA481F"/>
    <w:multiLevelType w:val="hybridMultilevel"/>
    <w:lvl w:ilvl="0">
      <w:lvlJc w:val="left"/>
      <w:lvlText w:val="(%1)"/>
      <w:numFmt w:val="upperLetter"/>
      <w:start w:val="1"/>
    </w:lvl>
    <w:lvl w:ilvl="1">
      <w:lvlJc w:val="left"/>
      <w:lvlText w:val="(%2)"/>
      <w:numFmt w:val="lowerRoman"/>
      <w:start w:val="15"/>
    </w:lvl>
  </w:abstractNum>
  <w:abstractNum w:abstractNumId="911">
    <w:nsid w:val="261ABBD5"/>
    <w:multiLevelType w:val="hybridMultilevel"/>
    <w:lvl w:ilvl="0">
      <w:lvlJc w:val="left"/>
      <w:lvlText w:val="(%1)"/>
      <w:numFmt w:val="lowerRoman"/>
      <w:start w:val="21"/>
    </w:lvl>
  </w:abstractNum>
  <w:abstractNum w:abstractNumId="912">
    <w:nsid w:val="F42BB0E"/>
    <w:multiLevelType w:val="hybridMultilevel"/>
    <w:lvl w:ilvl="0">
      <w:lvlJc w:val="left"/>
      <w:lvlText w:val="(%1)"/>
      <w:numFmt w:val="lowerRoman"/>
      <w:start w:val="28"/>
    </w:lvl>
  </w:abstractNum>
  <w:abstractNum w:abstractNumId="913">
    <w:nsid w:val="2E287A14"/>
    <w:multiLevelType w:val="hybridMultilevel"/>
    <w:lvl w:ilvl="0">
      <w:lvlJc w:val="left"/>
      <w:lvlText w:val="(%1)"/>
      <w:numFmt w:val="lowerRoman"/>
      <w:start w:val="34"/>
    </w:lvl>
  </w:abstractNum>
  <w:abstractNum w:abstractNumId="914">
    <w:nsid w:val="763ECE5D"/>
    <w:multiLevelType w:val="hybridMultilevel"/>
    <w:lvl w:ilvl="0">
      <w:lvlJc w:val="left"/>
      <w:lvlText w:val="(%1)"/>
      <w:numFmt w:val="lowerRoman"/>
      <w:start w:val="37"/>
    </w:lvl>
  </w:abstractNum>
  <w:abstractNum w:abstractNumId="915">
    <w:nsid w:val="7619AB87"/>
    <w:multiLevelType w:val="hybridMultilevel"/>
    <w:lvl w:ilvl="0">
      <w:lvlJc w:val="left"/>
      <w:lvlText w:val="(%1)"/>
      <w:numFmt w:val="lowerLetter"/>
      <w:start w:val="3"/>
    </w:lvl>
  </w:abstractNum>
  <w:abstractNum w:abstractNumId="916">
    <w:nsid w:val="3FE85440"/>
    <w:multiLevelType w:val="hybridMultilevel"/>
    <w:lvl w:ilvl="0">
      <w:lvlJc w:val="left"/>
      <w:lvlText w:val="(%1)"/>
      <w:numFmt w:val="lowerLetter"/>
      <w:start w:val="1"/>
    </w:lvl>
  </w:abstractNum>
  <w:abstractNum w:abstractNumId="917">
    <w:nsid w:val="5649DA4D"/>
    <w:multiLevelType w:val="hybridMultilevel"/>
    <w:lvl w:ilvl="0">
      <w:lvlJc w:val="left"/>
      <w:lvlText w:val="(%1)"/>
      <w:numFmt w:val="lowerLetter"/>
      <w:start w:val="1"/>
    </w:lvl>
    <w:lvl w:ilvl="1">
      <w:lvlJc w:val="left"/>
      <w:lvlText w:val="(%2)"/>
      <w:numFmt w:val="lowerRoman"/>
      <w:start w:val="1"/>
    </w:lvl>
  </w:abstractNum>
  <w:abstractNum w:abstractNumId="918">
    <w:nsid w:val="494F6145"/>
    <w:multiLevelType w:val="hybridMultilevel"/>
    <w:lvl w:ilvl="0">
      <w:lvlJc w:val="left"/>
      <w:lvlText w:val="(%1)"/>
      <w:numFmt w:val="lowerRoman"/>
      <w:start w:val="5"/>
    </w:lvl>
  </w:abstractNum>
  <w:abstractNum w:abstractNumId="919">
    <w:nsid w:val="155AEAC4"/>
    <w:multiLevelType w:val="hybridMultilevel"/>
    <w:lvl w:ilvl="0">
      <w:lvlJc w:val="left"/>
      <w:lvlText w:val="%1"/>
      <w:numFmt w:val="lowerLetter"/>
      <w:start w:val="1"/>
    </w:lvl>
    <w:lvl w:ilvl="1">
      <w:lvlJc w:val="left"/>
      <w:lvlText w:val="(%2)"/>
      <w:numFmt w:val="lowerRoman"/>
      <w:start w:val="15"/>
    </w:lvl>
  </w:abstractNum>
  <w:abstractNum w:abstractNumId="920">
    <w:nsid w:val="6446E44B"/>
    <w:multiLevelType w:val="hybridMultilevel"/>
    <w:lvl w:ilvl="0">
      <w:lvlJc w:val="left"/>
      <w:lvlText w:val="(%1)"/>
      <w:numFmt w:val="lowerLetter"/>
      <w:start w:val="25"/>
    </w:lvl>
    <w:lvl w:ilvl="1">
      <w:lvlJc w:val="left"/>
      <w:lvlText w:val="(%2)"/>
      <w:numFmt w:val="lowerRoman"/>
      <w:start w:val="16"/>
    </w:lvl>
  </w:abstractNum>
  <w:abstractNum w:abstractNumId="921">
    <w:nsid w:val="288FA9D6"/>
    <w:multiLevelType w:val="hybridMultilevel"/>
    <w:lvl w:ilvl="0">
      <w:lvlJc w:val="left"/>
      <w:lvlText w:val="(%1)"/>
      <w:numFmt w:val="lowerLetter"/>
      <w:start w:val="1"/>
    </w:lvl>
  </w:abstractNum>
  <w:abstractNum w:abstractNumId="922">
    <w:nsid w:val="7103CB06"/>
    <w:multiLevelType w:val="hybridMultilevel"/>
    <w:lvl w:ilvl="0">
      <w:lvlJc w:val="left"/>
      <w:lvlText w:val="(%1)"/>
      <w:numFmt w:val="lowerLetter"/>
      <w:start w:val="2"/>
    </w:lvl>
    <w:lvl w:ilvl="1">
      <w:lvlJc w:val="left"/>
      <w:lvlText w:val="(%2)"/>
      <w:numFmt w:val="lowerRoman"/>
      <w:start w:val="1"/>
    </w:lvl>
  </w:abstractNum>
  <w:abstractNum w:abstractNumId="923">
    <w:nsid w:val="38E16A98"/>
    <w:multiLevelType w:val="hybridMultilevel"/>
    <w:lvl w:ilvl="0">
      <w:lvlJc w:val="left"/>
      <w:lvlText w:val="(%1)"/>
      <w:numFmt w:val="lowerRoman"/>
      <w:start w:val="5"/>
    </w:lvl>
  </w:abstractNum>
  <w:abstractNum w:abstractNumId="924">
    <w:nsid w:val="53F1AC3A"/>
    <w:multiLevelType w:val="hybridMultilevel"/>
    <w:lvl w:ilvl="0">
      <w:lvlJc w:val="left"/>
      <w:lvlText w:val="(%1)"/>
      <w:numFmt w:val="lowerRoman"/>
      <w:start w:val="7"/>
    </w:lvl>
  </w:abstractNum>
  <w:abstractNum w:abstractNumId="925">
    <w:nsid w:val="29A05A67"/>
    <w:multiLevelType w:val="hybridMultilevel"/>
    <w:lvl w:ilvl="0">
      <w:lvlJc w:val="left"/>
      <w:lvlText w:val="(%1)"/>
      <w:numFmt w:val="lowerRoman"/>
      <w:start w:val="16"/>
    </w:lvl>
  </w:abstractNum>
  <w:abstractNum w:abstractNumId="926">
    <w:nsid w:val="5F1D2ADC"/>
    <w:multiLevelType w:val="hybridMultilevel"/>
    <w:lvl w:ilvl="0">
      <w:lvlJc w:val="left"/>
      <w:lvlText w:val="(%1)"/>
      <w:numFmt w:val="lowerLetter"/>
      <w:start w:val="1"/>
    </w:lvl>
    <w:lvl w:ilvl="1">
      <w:lvlJc w:val="left"/>
      <w:lvlText w:val="(%2)"/>
      <w:numFmt w:val="lowerRoman"/>
      <w:start w:val="1"/>
    </w:lvl>
  </w:abstractNum>
  <w:abstractNum w:abstractNumId="927">
    <w:nsid w:val="629CAFC0"/>
    <w:multiLevelType w:val="hybridMultilevel"/>
    <w:lvl w:ilvl="0">
      <w:lvlJc w:val="left"/>
      <w:lvlText w:val="(%1)"/>
      <w:numFmt w:val="upperLetter"/>
      <w:start w:val="1"/>
    </w:lvl>
  </w:abstractNum>
  <w:abstractNum w:abstractNumId="928">
    <w:nsid w:val="75C5A230"/>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929">
    <w:nsid w:val="5D00657F"/>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930">
    <w:nsid w:val="7BD94799"/>
    <w:multiLevelType w:val="hybridMultilevel"/>
    <w:lvl w:ilvl="0">
      <w:lvlJc w:val="left"/>
      <w:lvlText w:val="(%1)"/>
      <w:numFmt w:val="lowerRoman"/>
      <w:start w:val="2"/>
    </w:lvl>
  </w:abstractNum>
  <w:abstractNum w:abstractNumId="931">
    <w:nsid w:val="3F65E096"/>
    <w:multiLevelType w:val="hybridMultilevel"/>
    <w:lvl w:ilvl="0">
      <w:lvlJc w:val="left"/>
      <w:lvlText w:val="(%1)"/>
      <w:numFmt w:val="lowerLetter"/>
      <w:start w:val="3"/>
    </w:lvl>
  </w:abstractNum>
  <w:abstractNum w:abstractNumId="932">
    <w:nsid w:val="2433ECAC"/>
    <w:multiLevelType w:val="hybridMultilevel"/>
    <w:lvl w:ilvl="0">
      <w:lvlJc w:val="left"/>
      <w:lvlText w:val="(%1)"/>
      <w:numFmt w:val="lowerLetter"/>
      <w:start w:val="1"/>
    </w:lvl>
  </w:abstractNum>
  <w:abstractNum w:abstractNumId="933">
    <w:nsid w:val="266F657C"/>
    <w:multiLevelType w:val="hybridMultilevel"/>
    <w:lvl w:ilvl="0">
      <w:lvlJc w:val="left"/>
      <w:lvlText w:val="(%1)"/>
      <w:numFmt w:val="lowerLetter"/>
      <w:start w:val="1"/>
    </w:lvl>
  </w:abstractNum>
  <w:abstractNum w:abstractNumId="934">
    <w:nsid w:val="D24B94B"/>
    <w:multiLevelType w:val="hybridMultilevel"/>
    <w:lvl w:ilvl="0">
      <w:lvlJc w:val="left"/>
      <w:lvlText w:val="%1"/>
      <w:numFmt w:val="upperLetter"/>
      <w:start w:val="1"/>
    </w:lvl>
    <w:lvl w:ilvl="1">
      <w:lvlJc w:val="left"/>
      <w:lvlText w:val="(%2)"/>
      <w:numFmt w:val="lowerLetter"/>
      <w:start w:val="1"/>
    </w:lvl>
  </w:abstractNum>
  <w:abstractNum w:abstractNumId="935">
    <w:nsid w:val="24FC8752"/>
    <w:multiLevelType w:val="hybridMultilevel"/>
    <w:lvl w:ilvl="0">
      <w:lvlJc w:val="left"/>
      <w:lvlText w:val="(%1)"/>
      <w:numFmt w:val="upperLetter"/>
      <w:start w:val="5"/>
    </w:lvl>
    <w:lvl w:ilvl="1">
      <w:lvlJc w:val="left"/>
      <w:lvlText w:val="%2"/>
      <w:numFmt w:val="lowerLetter"/>
      <w:start w:val="1"/>
    </w:lvl>
  </w:abstractNum>
  <w:abstractNum w:abstractNumId="936">
    <w:nsid w:val="2CD39943"/>
    <w:multiLevelType w:val="hybridMultilevel"/>
    <w:lvl w:ilvl="0">
      <w:lvlJc w:val="left"/>
      <w:lvlText w:val="%1"/>
      <w:numFmt w:val="lowerLetter"/>
      <w:start w:val="1"/>
    </w:lvl>
    <w:lvl w:ilvl="1">
      <w:lvlJc w:val="left"/>
      <w:lvlText w:val="(%2)"/>
      <w:numFmt w:val="lowerLetter"/>
      <w:start w:val="3"/>
    </w:lvl>
  </w:abstractNum>
  <w:abstractNum w:abstractNumId="937">
    <w:nsid w:val="4355F8FF"/>
    <w:multiLevelType w:val="hybridMultilevel"/>
    <w:lvl w:ilvl="0">
      <w:lvlJc w:val="left"/>
      <w:lvlText w:val="(%1)"/>
      <w:numFmt w:val="lowerLetter"/>
      <w:start w:val="9"/>
    </w:lvl>
    <w:lvl w:ilvl="1">
      <w:lvlJc w:val="left"/>
      <w:lvlText w:val="(%2)"/>
      <w:numFmt w:val="lowerLetter"/>
      <w:start w:val="5"/>
    </w:lvl>
  </w:abstractNum>
  <w:abstractNum w:abstractNumId="938">
    <w:nsid w:val="67C80002"/>
    <w:multiLevelType w:val="hybridMultilevel"/>
    <w:lvl w:ilvl="0">
      <w:lvlJc w:val="left"/>
      <w:lvlText w:val="(%1)"/>
      <w:numFmt w:val="lowerLetter"/>
      <w:start w:val="1"/>
    </w:lvl>
    <w:lvl w:ilvl="1">
      <w:lvlJc w:val="left"/>
      <w:lvlText w:val="(%2)"/>
      <w:numFmt w:val="lowerRoman"/>
      <w:start w:val="1"/>
    </w:lvl>
  </w:abstractNum>
  <w:abstractNum w:abstractNumId="939">
    <w:nsid w:val="73DA33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940">
    <w:nsid w:val="41EF745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941">
    <w:nsid w:val="13824822"/>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9"/>
    </w:lvl>
  </w:abstractNum>
  <w:abstractNum w:abstractNumId="942">
    <w:nsid w:val="19F4EEFA"/>
    <w:multiLevelType w:val="hybridMultilevel"/>
    <w:lvl w:ilvl="0">
      <w:lvlJc w:val="left"/>
      <w:lvlText w:val="%1"/>
      <w:numFmt w:val="lowerLetter"/>
      <w:start w:val="1"/>
    </w:lvl>
    <w:lvl w:ilvl="1">
      <w:lvlJc w:val="left"/>
      <w:lvlText w:val="(%2)"/>
      <w:numFmt w:val="lowerLetter"/>
      <w:start w:val="35"/>
    </w:lvl>
  </w:abstractNum>
  <w:abstractNum w:abstractNumId="943">
    <w:nsid w:val="51322F64"/>
    <w:multiLevelType w:val="hybridMultilevel"/>
    <w:lvl w:ilvl="0">
      <w:lvlJc w:val="left"/>
      <w:lvlText w:val="(%1)"/>
      <w:numFmt w:val="lowerLetter"/>
      <w:start w:val="4"/>
    </w:lvl>
    <w:lvl w:ilvl="1">
      <w:lvlJc w:val="left"/>
      <w:lvlText w:val="%2"/>
      <w:numFmt w:val="lowerLetter"/>
      <w:start w:val="1"/>
    </w:lvl>
  </w:abstractNum>
  <w:abstractNum w:abstractNumId="944">
    <w:nsid w:val="41AAC236"/>
    <w:multiLevelType w:val="hybridMultilevel"/>
    <w:lvl w:ilvl="0">
      <w:lvlJc w:val="left"/>
      <w:lvlText w:val="(%1)"/>
      <w:numFmt w:val="lowerLetter"/>
      <w:start w:val="1"/>
    </w:lvl>
    <w:lvl w:ilvl="1">
      <w:lvlJc w:val="left"/>
      <w:lvlText w:val="(%2)"/>
      <w:numFmt w:val="lowerLetter"/>
      <w:start w:val="9"/>
    </w:lvl>
  </w:abstractNum>
  <w:abstractNum w:abstractNumId="945">
    <w:nsid w:val="1033BD58"/>
    <w:multiLevelType w:val="hybridMultilevel"/>
    <w:lvl w:ilvl="0">
      <w:lvlJc w:val="left"/>
      <w:lvlText w:val="(%1)"/>
      <w:numFmt w:val="lowerLetter"/>
      <w:start w:val="7"/>
    </w:lvl>
    <w:lvl w:ilvl="1">
      <w:lvlJc w:val="left"/>
      <w:lvlText w:val="(%2)"/>
      <w:numFmt w:val="lowerRoman"/>
      <w:start w:val="1"/>
    </w:lvl>
  </w:abstractNum>
  <w:abstractNum w:abstractNumId="946">
    <w:nsid w:val="474BDAEB"/>
    <w:multiLevelType w:val="hybridMultilevel"/>
    <w:lvl w:ilvl="0">
      <w:lvlJc w:val="left"/>
      <w:lvlText w:val="(%1)"/>
      <w:numFmt w:val="lowerRoman"/>
      <w:start w:val="2"/>
    </w:lvl>
  </w:abstractNum>
  <w:abstractNum w:abstractNumId="947">
    <w:nsid w:val="1931676"/>
    <w:multiLevelType w:val="hybridMultilevel"/>
    <w:lvl w:ilvl="0">
      <w:lvlJc w:val="left"/>
      <w:lvlText w:val="(%1)"/>
      <w:numFmt w:val="lowerLetter"/>
      <w:start w:val="1"/>
    </w:lvl>
  </w:abstractNum>
  <w:abstractNum w:abstractNumId="948">
    <w:nsid w:val="667D97A5"/>
    <w:multiLevelType w:val="hybridMultilevel"/>
    <w:lvl w:ilvl="0">
      <w:lvlJc w:val="left"/>
      <w:lvlText w:val="(%1)"/>
      <w:numFmt w:val="lowerLetter"/>
      <w:start w:val="1"/>
    </w:lvl>
    <w:lvl w:ilvl="1">
      <w:lvlJc w:val="left"/>
      <w:lvlText w:val="(%2)"/>
      <w:numFmt w:val="lowerRoman"/>
      <w:start w:val="1"/>
    </w:lvl>
  </w:abstractNum>
  <w:abstractNum w:abstractNumId="949">
    <w:nsid w:val="109B3C30"/>
    <w:multiLevelType w:val="hybridMultilevel"/>
    <w:lvl w:ilvl="0">
      <w:lvlJc w:val="left"/>
      <w:lvlText w:val="(%1)"/>
      <w:numFmt w:val="lowerLetter"/>
      <w:start w:val="3"/>
    </w:lvl>
    <w:lvl w:ilvl="1">
      <w:lvlJc w:val="left"/>
      <w:lvlText w:val="(%2)"/>
      <w:numFmt w:val="lowerRoman"/>
      <w:start w:val="1"/>
    </w:lvl>
  </w:abstractNum>
  <w:abstractNum w:abstractNumId="950">
    <w:nsid w:val="16EE013A"/>
    <w:multiLevelType w:val="hybridMultilevel"/>
    <w:lvl w:ilvl="0">
      <w:lvlJc w:val="left"/>
      <w:lvlText w:val="(%1)"/>
      <w:numFmt w:val="lowerLetter"/>
      <w:start w:val="1"/>
    </w:lvl>
  </w:abstractNum>
  <w:abstractNum w:abstractNumId="951">
    <w:nsid w:val="4AC47BF1"/>
    <w:multiLevelType w:val="hybridMultilevel"/>
    <w:lvl w:ilvl="0">
      <w:lvlJc w:val="left"/>
      <w:lvlText w:val="(%1)"/>
      <w:numFmt w:val="lowerLetter"/>
      <w:start w:val="2"/>
    </w:lvl>
  </w:abstractNum>
  <w:abstractNum w:abstractNumId="952">
    <w:nsid w:val="392AE607"/>
    <w:multiLevelType w:val="hybridMultilevel"/>
    <w:lvl w:ilvl="0">
      <w:lvlJc w:val="left"/>
      <w:lvlText w:val="(%1)"/>
      <w:numFmt w:val="lowerLetter"/>
      <w:start w:val="10"/>
    </w:lvl>
  </w:abstractNum>
  <w:abstractNum w:abstractNumId="953">
    <w:nsid w:val="7F1CC41"/>
    <w:multiLevelType w:val="hybridMultilevel"/>
    <w:lvl w:ilvl="0">
      <w:lvlJc w:val="left"/>
      <w:lvlText w:val="(%1)"/>
      <w:numFmt w:val="lowerLetter"/>
      <w:start w:val="1"/>
    </w:lvl>
  </w:abstractNum>
  <w:abstractNum w:abstractNumId="954">
    <w:nsid w:val="3A5E689"/>
    <w:multiLevelType w:val="hybridMultilevel"/>
    <w:lvl w:ilvl="0">
      <w:lvlJc w:val="left"/>
      <w:lvlText w:val="(%1)"/>
      <w:numFmt w:val="lowerLetter"/>
      <w:start w:val="1"/>
    </w:lvl>
  </w:abstractNum>
  <w:abstractNum w:abstractNumId="955">
    <w:nsid w:val="D1C9241"/>
    <w:multiLevelType w:val="hybridMultilevel"/>
    <w:lvl w:ilvl="0">
      <w:lvlJc w:val="left"/>
      <w:lvlText w:val="(%1)"/>
      <w:numFmt w:val="lowerLetter"/>
      <w:start w:val="1"/>
    </w:lvl>
    <w:lvl w:ilvl="1">
      <w:lvlJc w:val="left"/>
      <w:lvlText w:val="(%2)"/>
      <w:numFmt w:val="lowerRoman"/>
      <w:start w:val="1"/>
    </w:lvl>
  </w:abstractNum>
  <w:abstractNum w:abstractNumId="956">
    <w:nsid w:val="319226A8"/>
    <w:multiLevelType w:val="hybridMultilevel"/>
    <w:lvl w:ilvl="0">
      <w:lvlJc w:val="left"/>
      <w:lvlText w:val="(%1)"/>
      <w:numFmt w:val="lowerLetter"/>
      <w:start w:val="2"/>
    </w:lvl>
  </w:abstractNum>
  <w:abstractNum w:abstractNumId="957">
    <w:nsid w:val="62C31166"/>
    <w:multiLevelType w:val="hybridMultilevel"/>
    <w:lvl w:ilvl="0">
      <w:lvlJc w:val="left"/>
      <w:lvlText w:val="(%1)"/>
      <w:numFmt w:val="lowerLetter"/>
      <w:start w:val="1"/>
    </w:lvl>
  </w:abstractNum>
  <w:abstractNum w:abstractNumId="958">
    <w:nsid w:val="6FB94202"/>
    <w:multiLevelType w:val="hybridMultilevel"/>
    <w:lvl w:ilvl="0">
      <w:lvlJc w:val="left"/>
      <w:lvlText w:val="(%1)"/>
      <w:numFmt w:val="lowerLetter"/>
      <w:start w:val="2"/>
    </w:lvl>
  </w:abstractNum>
  <w:abstractNum w:abstractNumId="959">
    <w:nsid w:val="2757C8D8"/>
    <w:multiLevelType w:val="hybridMultilevel"/>
    <w:lvl w:ilvl="0">
      <w:lvlJc w:val="left"/>
      <w:lvlText w:val="(%1)"/>
      <w:numFmt w:val="lowerLetter"/>
      <w:start w:val="1"/>
    </w:lvl>
  </w:abstractNum>
  <w:abstractNum w:abstractNumId="960">
    <w:nsid w:val="3FC376E5"/>
    <w:multiLevelType w:val="hybridMultilevel"/>
    <w:lvl w:ilvl="0">
      <w:lvlJc w:val="left"/>
      <w:lvlText w:val="(%1)"/>
      <w:numFmt w:val="lowerLetter"/>
      <w:start w:val="2"/>
    </w:lvl>
  </w:abstractNum>
  <w:abstractNum w:abstractNumId="961">
    <w:nsid w:val="6B92899B"/>
    <w:multiLevelType w:val="hybridMultilevel"/>
    <w:lvl w:ilvl="0">
      <w:lvlJc w:val="left"/>
      <w:lvlText w:val="(%1)"/>
      <w:numFmt w:val="lowerLetter"/>
      <w:start w:val="1"/>
    </w:lvl>
  </w:abstractNum>
  <w:abstractNum w:abstractNumId="962">
    <w:nsid w:val="66BDA96E"/>
    <w:multiLevelType w:val="hybridMultilevel"/>
    <w:lvl w:ilvl="0">
      <w:lvlJc w:val="left"/>
      <w:lvlText w:val="(%1)"/>
      <w:numFmt w:val="lowerLetter"/>
      <w:start w:val="10"/>
    </w:lvl>
  </w:abstractNum>
  <w:abstractNum w:abstractNumId="963">
    <w:nsid w:val="63F76391"/>
    <w:multiLevelType w:val="hybridMultilevel"/>
    <w:lvl w:ilvl="0">
      <w:lvlJc w:val="left"/>
      <w:lvlText w:val="(%1)"/>
      <w:numFmt w:val="lowerLetter"/>
      <w:start w:val="1"/>
    </w:lvl>
  </w:abstractNum>
  <w:abstractNum w:abstractNumId="964">
    <w:nsid w:val="1201EF18"/>
    <w:multiLevelType w:val="hybridMultilevel"/>
    <w:lvl w:ilvl="0">
      <w:lvlJc w:val="left"/>
      <w:lvlText w:val="(%1)"/>
      <w:numFmt w:val="lowerLetter"/>
      <w:start w:val="2"/>
    </w:lvl>
  </w:abstractNum>
  <w:abstractNum w:abstractNumId="965">
    <w:nsid w:val="73E262B9"/>
    <w:multiLevelType w:val="hybridMultilevel"/>
    <w:lvl w:ilvl="0">
      <w:lvlJc w:val="left"/>
      <w:lvlText w:val="(%1)"/>
      <w:numFmt w:val="lowerLetter"/>
      <w:start w:val="1"/>
    </w:lvl>
  </w:abstractNum>
  <w:abstractNum w:abstractNumId="966">
    <w:nsid w:val="8F3EAE3"/>
    <w:multiLevelType w:val="hybridMultilevel"/>
    <w:lvl w:ilvl="0">
      <w:lvlJc w:val="left"/>
      <w:lvlText w:val="%1"/>
      <w:numFmt w:val="upperLetter"/>
      <w:start w:val="1"/>
    </w:lvl>
    <w:lvl w:ilvl="1">
      <w:lvlJc w:val="left"/>
      <w:lvlText w:val="(%2)"/>
      <w:numFmt w:val="lowerLetter"/>
      <w:start w:val="1"/>
    </w:lvl>
  </w:abstractNum>
  <w:abstractNum w:abstractNumId="967">
    <w:nsid w:val="3ED5885B"/>
    <w:multiLevelType w:val="hybridMultilevel"/>
    <w:lvl w:ilvl="0">
      <w:lvlJc w:val="left"/>
      <w:lvlText w:val="(%1)"/>
      <w:numFmt w:val="upperLetter"/>
      <w:start w:val="3"/>
    </w:lvl>
    <w:lvl w:ilvl="1">
      <w:lvlJc w:val="left"/>
      <w:lvlText w:val="%2"/>
      <w:numFmt w:val="lowerLetter"/>
      <w:start w:val="1"/>
    </w:lvl>
  </w:abstractNum>
  <w:abstractNum w:abstractNumId="968">
    <w:nsid w:val="37385BB8"/>
    <w:multiLevelType w:val="hybridMultilevel"/>
    <w:lvl w:ilvl="0">
      <w:lvlJc w:val="left"/>
      <w:lvlText w:val="(%1)"/>
      <w:numFmt w:val="lowerRoman"/>
      <w:start w:val="8"/>
    </w:lvl>
    <w:lvl w:ilvl="1">
      <w:lvlJc w:val="left"/>
      <w:lvlText w:val="(%2)"/>
      <w:numFmt w:val="lowerLetter"/>
      <w:start w:val="3"/>
    </w:lvl>
  </w:abstractNum>
  <w:abstractNum w:abstractNumId="969">
    <w:nsid w:val="70BBEAE6"/>
    <w:multiLevelType w:val="hybridMultilevel"/>
    <w:lvl w:ilvl="0">
      <w:lvlJc w:val="left"/>
      <w:lvlText w:val="(%1)"/>
      <w:numFmt w:val="lowerLetter"/>
      <w:start w:val="1"/>
    </w:lvl>
  </w:abstractNum>
  <w:abstractNum w:abstractNumId="970">
    <w:nsid w:val="32AFBB81"/>
    <w:multiLevelType w:val="hybridMultilevel"/>
    <w:lvl w:ilvl="0">
      <w:lvlJc w:val="left"/>
      <w:lvlText w:val="(%1)"/>
      <w:numFmt w:val="lowerLetter"/>
      <w:start w:val="1"/>
    </w:lvl>
  </w:abstractNum>
  <w:abstractNum w:abstractNumId="971">
    <w:nsid w:val="7927D00E"/>
    <w:multiLevelType w:val="hybridMultilevel"/>
    <w:lvl w:ilvl="0">
      <w:lvlJc w:val="left"/>
      <w:lvlText w:val="(%1)"/>
      <w:numFmt w:val="lowerLetter"/>
      <w:start w:val="2"/>
    </w:lvl>
  </w:abstractNum>
  <w:abstractNum w:abstractNumId="972">
    <w:nsid w:val="43E3308"/>
    <w:multiLevelType w:val="hybridMultilevel"/>
    <w:lvl w:ilvl="0">
      <w:lvlJc w:val="left"/>
      <w:lvlText w:val="(%1)"/>
      <w:numFmt w:val="lowerLetter"/>
      <w:start w:val="1"/>
    </w:lvl>
    <w:lvl w:ilvl="1">
      <w:lvlJc w:val="left"/>
      <w:lvlText w:val="(%2)"/>
      <w:numFmt w:val="lowerRoman"/>
      <w:start w:val="1"/>
    </w:lvl>
  </w:abstractNum>
  <w:abstractNum w:abstractNumId="973">
    <w:nsid w:val="4CA4AA7B"/>
    <w:multiLevelType w:val="hybridMultilevel"/>
    <w:lvl w:ilvl="0">
      <w:lvlJc w:val="left"/>
      <w:lvlText w:val="(%1)"/>
      <w:numFmt w:val="lowerLetter"/>
      <w:start w:val="1"/>
    </w:lvl>
  </w:abstractNum>
  <w:abstractNum w:abstractNumId="974">
    <w:nsid w:val="4A59FF72"/>
    <w:multiLevelType w:val="hybridMultilevel"/>
    <w:lvl w:ilvl="0">
      <w:lvlJc w:val="left"/>
      <w:lvlText w:val="%1"/>
      <w:numFmt w:val="lowerLetter"/>
      <w:start w:val="1"/>
    </w:lvl>
    <w:lvl w:ilvl="1">
      <w:lvlJc w:val="left"/>
      <w:lvlText w:val="(%2)"/>
      <w:numFmt w:val="lowerLetter"/>
      <w:start w:val="1"/>
    </w:lvl>
  </w:abstractNum>
  <w:abstractNum w:abstractNumId="975">
    <w:nsid w:val="45E8F53E"/>
    <w:multiLevelType w:val="hybridMultilevel"/>
    <w:lvl w:ilvl="0">
      <w:lvlJc w:val="left"/>
      <w:lvlText w:val="(%1)"/>
      <w:numFmt w:val="lowerLetter"/>
      <w:start w:val="35"/>
    </w:lvl>
    <w:lvl w:ilvl="1">
      <w:lvlJc w:val="left"/>
      <w:lvlText w:val="%2"/>
      <w:numFmt w:val="lowerLetter"/>
      <w:start w:val="1"/>
    </w:lvl>
  </w:abstractNum>
  <w:abstractNum w:abstractNumId="976">
    <w:nsid w:val="5CD867D3"/>
    <w:multiLevelType w:val="hybridMultilevel"/>
    <w:lvl w:ilvl="0">
      <w:lvlJc w:val="left"/>
      <w:lvlText w:val="%1"/>
      <w:numFmt w:val="decimal"/>
      <w:start w:val="1"/>
    </w:lvl>
    <w:lvl w:ilvl="1">
      <w:lvlJc w:val="left"/>
      <w:lvlText w:val="(%2)"/>
      <w:numFmt w:val="lowerLetter"/>
      <w:start w:val="3"/>
    </w:lvl>
  </w:abstractNum>
  <w:abstractNum w:abstractNumId="977">
    <w:nsid w:val="11A5DA5E"/>
    <w:multiLevelType w:val="hybridMultilevel"/>
    <w:lvl w:ilvl="0">
      <w:lvlJc w:val="left"/>
      <w:lvlText w:val="(%1)"/>
      <w:numFmt w:val="decimal"/>
      <w:start w:val="3"/>
    </w:lvl>
    <w:lvl w:ilvl="1">
      <w:lvlJc w:val="left"/>
      <w:lvlText w:val="%2"/>
      <w:numFmt w:val="lowerLetter"/>
      <w:start w:val="1"/>
    </w:lvl>
  </w:abstractNum>
  <w:abstractNum w:abstractNumId="978">
    <w:nsid w:val="477C0BB4"/>
    <w:multiLevelType w:val="hybridMultilevel"/>
    <w:lvl w:ilvl="0">
      <w:lvlJc w:val="left"/>
      <w:lvlText w:val="(%1)"/>
      <w:numFmt w:val="lowerLetter"/>
      <w:start w:val="35"/>
    </w:lvl>
    <w:lvl w:ilvl="1">
      <w:lvlJc w:val="left"/>
      <w:lvlText w:val="(%2)"/>
      <w:numFmt w:val="lowerLetter"/>
      <w:start w:val="8"/>
    </w:lvl>
  </w:abstractNum>
  <w:abstractNum w:abstractNumId="979">
    <w:nsid w:val="4355FF79"/>
    <w:multiLevelType w:val="hybridMultilevel"/>
    <w:lvl w:ilvl="0">
      <w:lvlJc w:val="left"/>
      <w:lvlText w:val="(%1)"/>
      <w:numFmt w:val="lowerLetter"/>
      <w:start w:val="9"/>
    </w:lvl>
  </w:abstractNum>
  <w:abstractNum w:abstractNumId="980">
    <w:nsid w:val="2241168E"/>
    <w:multiLevelType w:val="hybridMultilevel"/>
    <w:lvl w:ilvl="0">
      <w:lvlJc w:val="left"/>
      <w:lvlText w:val="(%1)"/>
      <w:numFmt w:val="lowerLetter"/>
      <w:start w:val="13"/>
    </w:lvl>
  </w:abstractNum>
  <w:abstractNum w:abstractNumId="981">
    <w:nsid w:val="5E6A0CEE"/>
    <w:multiLevelType w:val="hybridMultilevel"/>
    <w:lvl w:ilvl="0">
      <w:lvlJc w:val="left"/>
      <w:lvlText w:val="(%1)"/>
      <w:numFmt w:val="lowerLetter"/>
      <w:start w:val="1"/>
    </w:lvl>
  </w:abstractNum>
  <w:abstractNum w:abstractNumId="982">
    <w:nsid w:val="E1A7B6A"/>
    <w:multiLevelType w:val="hybridMultilevel"/>
    <w:lvl w:ilvl="0">
      <w:lvlJc w:val="left"/>
      <w:lvlText w:val="(%1)"/>
      <w:numFmt w:val="lowerLetter"/>
      <w:start w:val="2"/>
    </w:lvl>
  </w:abstractNum>
  <w:abstractNum w:abstractNumId="983">
    <w:nsid w:val="5B6BFC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984">
    <w:nsid w:val="665BD92F"/>
    <w:multiLevelType w:val="hybridMultilevel"/>
    <w:lvl w:ilvl="0">
      <w:lvlJc w:val="left"/>
      <w:lvlText w:val="%1"/>
      <w:numFmt w:val="lowerRoman"/>
      <w:start w:val="1"/>
    </w:lvl>
    <w:lvl w:ilvl="1">
      <w:lvlJc w:val="left"/>
      <w:lvlText w:val="(%2)"/>
      <w:numFmt w:val="upperLetter"/>
      <w:start w:val="2"/>
    </w:lvl>
    <w:lvl w:ilvl="2">
      <w:lvlJc w:val="left"/>
      <w:lvlText w:val="%3"/>
      <w:numFmt w:val="upperLetter"/>
      <w:start w:val="1"/>
    </w:lvl>
  </w:abstractNum>
  <w:abstractNum w:abstractNumId="985">
    <w:nsid w:val="11C061F3"/>
    <w:multiLevelType w:val="hybridMultilevel"/>
    <w:lvl w:ilvl="0">
      <w:lvlJc w:val="left"/>
      <w:lvlText w:val="(%1)"/>
      <w:numFmt w:val="lowerRoman"/>
      <w:start w:val="2"/>
    </w:lvl>
    <w:lvl w:ilvl="1">
      <w:lvlJc w:val="left"/>
      <w:lvlText w:val="(%2)"/>
      <w:numFmt w:val="upperLetter"/>
      <w:start w:val="1"/>
    </w:lvl>
    <w:lvl w:ilvl="2">
      <w:lvlJc w:val="left"/>
      <w:lvlText w:val="(%3)"/>
      <w:numFmt w:val="upperLetter"/>
      <w:start w:val="35"/>
    </w:lvl>
  </w:abstractNum>
  <w:abstractNum w:abstractNumId="986">
    <w:nsid w:val="68888ED7"/>
    <w:multiLevelType w:val="hybridMultilevel"/>
    <w:lvl w:ilvl="0">
      <w:lvlJc w:val="left"/>
      <w:lvlText w:val="(%1)"/>
      <w:numFmt w:val="lowerLetter"/>
      <w:start w:val="2"/>
    </w:lvl>
  </w:abstractNum>
  <w:abstractNum w:abstractNumId="987">
    <w:nsid w:val="17EDFFD7"/>
    <w:multiLevelType w:val="hybridMultilevel"/>
    <w:lvl w:ilvl="0">
      <w:lvlJc w:val="left"/>
      <w:lvlText w:val="(%1)"/>
      <w:numFmt w:val="lowerLetter"/>
      <w:start w:val="1"/>
    </w:lvl>
  </w:abstractNum>
  <w:abstractNum w:abstractNumId="988">
    <w:nsid w:val="74837359"/>
    <w:multiLevelType w:val="hybridMultilevel"/>
    <w:lvl w:ilvl="0">
      <w:lvlJc w:val="left"/>
      <w:lvlText w:val="(%1)"/>
      <w:numFmt w:val="lowerLetter"/>
      <w:start w:val="1"/>
    </w:lvl>
  </w:abstractNum>
  <w:abstractNum w:abstractNumId="989">
    <w:nsid w:val="5841D0D9"/>
    <w:multiLevelType w:val="hybridMultilevel"/>
    <w:lvl w:ilvl="0">
      <w:lvlJc w:val="left"/>
      <w:lvlText w:val="(%1)"/>
      <w:numFmt w:val="lowerLetter"/>
      <w:start w:val="2"/>
    </w:lvl>
  </w:abstractNum>
  <w:abstractNum w:abstractNumId="990">
    <w:nsid w:val="3F45C8AF"/>
    <w:multiLevelType w:val="hybridMultilevel"/>
    <w:lvl w:ilvl="0">
      <w:lvlJc w:val="left"/>
      <w:lvlText w:val="(%1)"/>
      <w:numFmt w:val="lowerLetter"/>
      <w:start w:val="3"/>
    </w:lvl>
  </w:abstractNum>
  <w:abstractNum w:abstractNumId="991">
    <w:nsid w:val="3446EA3E"/>
    <w:multiLevelType w:val="hybridMultilevel"/>
    <w:lvl w:ilvl="0">
      <w:lvlJc w:val="left"/>
      <w:lvlText w:val="(%1)"/>
      <w:numFmt w:val="lowerLetter"/>
      <w:start w:val="5"/>
    </w:lvl>
  </w:abstractNum>
  <w:abstractNum w:abstractNumId="992">
    <w:nsid w:val="43D45A74"/>
    <w:multiLevelType w:val="hybridMultilevel"/>
    <w:lvl w:ilvl="0">
      <w:lvlJc w:val="left"/>
      <w:lvlText w:val="(%1)"/>
      <w:numFmt w:val="lowerLetter"/>
      <w:start w:val="8"/>
    </w:lvl>
  </w:abstractNum>
  <w:abstractNum w:abstractNumId="993">
    <w:nsid w:val="2603721D"/>
    <w:multiLevelType w:val="hybridMultilevel"/>
    <w:lvl w:ilvl="0">
      <w:lvlJc w:val="left"/>
      <w:lvlText w:val="%1"/>
      <w:numFmt w:val="lowerLetter"/>
      <w:start w:val="1"/>
    </w:lvl>
    <w:lvl w:ilvl="1">
      <w:lvlJc w:val="left"/>
      <w:lvlText w:val="(%2)"/>
      <w:numFmt w:val="lowerLetter"/>
      <w:start w:val="13"/>
    </w:lvl>
  </w:abstractNum>
  <w:abstractNum w:abstractNumId="994">
    <w:nsid w:val="183E4DCF"/>
    <w:multiLevelType w:val="hybridMultilevel"/>
    <w:lvl w:ilvl="0">
      <w:lvlJc w:val="left"/>
      <w:lvlText w:val="(%1)"/>
      <w:numFmt w:val="lowerLetter"/>
      <w:start w:val="35"/>
    </w:lvl>
    <w:lvl w:ilvl="1">
      <w:lvlJc w:val="left"/>
      <w:lvlText w:val="(%2)"/>
      <w:numFmt w:val="lowerLetter"/>
      <w:start w:val="14"/>
    </w:lvl>
  </w:abstractNum>
  <w:abstractNum w:abstractNumId="995">
    <w:nsid w:val="55D6498C"/>
    <w:multiLevelType w:val="hybridMultilevel"/>
    <w:lvl w:ilvl="0">
      <w:lvlJc w:val="left"/>
      <w:lvlText w:val="(%1)"/>
      <w:numFmt w:val="lowerLetter"/>
      <w:start w:val="14"/>
    </w:lvl>
    <w:lvl w:ilvl="1">
      <w:lvlJc w:val="left"/>
      <w:lvlText w:val="%2"/>
      <w:numFmt w:val="lowerLetter"/>
      <w:start w:val="1"/>
    </w:lvl>
  </w:abstractNum>
  <w:abstractNum w:abstractNumId="996">
    <w:nsid w:val="19E5D4D7"/>
    <w:multiLevelType w:val="hybridMultilevel"/>
    <w:lvl w:ilvl="0">
      <w:lvlJc w:val="left"/>
      <w:lvlText w:val="(%1)"/>
      <w:numFmt w:val="lowerLetter"/>
      <w:start w:val="15"/>
    </w:lvl>
  </w:abstractNum>
  <w:abstractNum w:abstractNumId="997">
    <w:nsid w:val="213238B3"/>
    <w:multiLevelType w:val="hybridMultilevel"/>
    <w:lvl w:ilvl="0">
      <w:lvlJc w:val="left"/>
      <w:lvlText w:val="(%1)"/>
      <w:numFmt w:val="lowerLetter"/>
      <w:start w:val="18"/>
    </w:lvl>
  </w:abstractNum>
  <w:abstractNum w:abstractNumId="998">
    <w:nsid w:val="14ABD1E8"/>
    <w:multiLevelType w:val="hybridMultilevel"/>
    <w:lvl w:ilvl="0">
      <w:lvlJc w:val="left"/>
      <w:lvlText w:val="(%1)"/>
      <w:numFmt w:val="lowerLetter"/>
      <w:start w:val="19"/>
    </w:lvl>
  </w:abstractNum>
  <w:abstractNum w:abstractNumId="999">
    <w:nsid w:val="511E308F"/>
    <w:multiLevelType w:val="hybridMultilevel"/>
    <w:lvl w:ilvl="0">
      <w:lvlJc w:val="left"/>
      <w:lvlText w:val="(%1)"/>
      <w:numFmt w:val="lowerLetter"/>
      <w:start w:val="22"/>
    </w:lvl>
  </w:abstractNum>
  <w:abstractNum w:abstractNumId="1000">
    <w:nsid w:val="11EE2399"/>
    <w:multiLevelType w:val="hybridMultilevel"/>
    <w:lvl w:ilvl="0">
      <w:lvlJc w:val="left"/>
      <w:lvlText w:val="(%1)"/>
      <w:numFmt w:val="lowerLetter"/>
      <w:start w:val="26"/>
    </w:lvl>
  </w:abstractNum>
  <w:abstractNum w:abstractNumId="1001">
    <w:nsid w:val="475B8D69"/>
    <w:multiLevelType w:val="hybridMultilevel"/>
    <w:lvl w:ilvl="0">
      <w:lvlJc w:val="left"/>
      <w:lvlText w:val="(%1)"/>
      <w:numFmt w:val="lowerLetter"/>
      <w:start w:val="27"/>
    </w:lvl>
  </w:abstractNum>
  <w:abstractNum w:abstractNumId="1002">
    <w:nsid w:val="4A46009E"/>
    <w:multiLevelType w:val="hybridMultilevel"/>
    <w:lvl w:ilvl="0">
      <w:lvlJc w:val="left"/>
      <w:lvlText w:val="(%1)"/>
      <w:numFmt w:val="lowerLetter"/>
      <w:start w:val="31"/>
    </w:lvl>
  </w:abstractNum>
  <w:abstractNum w:abstractNumId="1003">
    <w:nsid w:val="162C56A1"/>
    <w:multiLevelType w:val="hybridMultilevel"/>
    <w:lvl w:ilvl="0">
      <w:lvlJc w:val="left"/>
      <w:lvlText w:val="(%1)"/>
      <w:numFmt w:val="lowerLetter"/>
      <w:start w:val="1"/>
    </w:lvl>
  </w:abstractNum>
  <w:abstractNum w:abstractNumId="1004">
    <w:nsid w:val="140037E4"/>
    <w:multiLevelType w:val="hybridMultilevel"/>
    <w:lvl w:ilvl="0">
      <w:lvlJc w:val="left"/>
      <w:lvlText w:val="(%1)"/>
      <w:numFmt w:val="upperLetter"/>
      <w:start w:val="3"/>
    </w:lvl>
  </w:abstractNum>
  <w:abstractNum w:abstractNumId="1005">
    <w:nsid w:val="14A00010"/>
    <w:multiLevelType w:val="hybridMultilevel"/>
    <w:lvl w:ilvl="0">
      <w:lvlJc w:val="left"/>
      <w:lvlText w:val="1"/>
      <w:numFmt w:val="bullet"/>
      <w:start w:val="1"/>
    </w:lvl>
  </w:abstractNum>
  <w:abstractNum w:abstractNumId="1006">
    <w:nsid w:val="5C154BDF"/>
    <w:multiLevelType w:val="hybridMultilevel"/>
    <w:lvl w:ilvl="0">
      <w:lvlJc w:val="left"/>
      <w:lvlText w:val="(%1)"/>
      <w:numFmt w:val="upperLetter"/>
      <w:start w:val="3"/>
    </w:lvl>
  </w:abstractNum>
  <w:abstractNum w:abstractNumId="1007">
    <w:nsid w:val="70D89FB8"/>
    <w:multiLevelType w:val="hybridMultilevel"/>
    <w:lvl w:ilvl="0">
      <w:lvlJc w:val="left"/>
      <w:lvlText w:val="2"/>
      <w:numFmt w:val="bullet"/>
      <w:start w:val="1"/>
    </w:lvl>
  </w:abstractNum>
  <w:abstractNum w:abstractNumId="1008">
    <w:nsid w:val="2645DA6E"/>
    <w:multiLevelType w:val="hybridMultilevel"/>
    <w:lvl w:ilvl="0">
      <w:lvlJc w:val="left"/>
      <w:lvlText w:val="3"/>
      <w:numFmt w:val="bullet"/>
      <w:start w:val="1"/>
    </w:lvl>
  </w:abstractNum>
  <w:abstractNum w:abstractNumId="1009">
    <w:nsid w:val="23915793"/>
    <w:multiLevelType w:val="hybridMultilevel"/>
    <w:lvl w:ilvl="0">
      <w:lvlJc w:val="left"/>
      <w:lvlText w:val="4"/>
      <w:numFmt w:val="bullet"/>
      <w:start w:val="1"/>
    </w:lvl>
  </w:abstractNum>
  <w:abstractNum w:abstractNumId="1010">
    <w:nsid w:val="342E9F31"/>
    <w:multiLevelType w:val="hybridMultilevel"/>
    <w:lvl w:ilvl="0">
      <w:lvlJc w:val="left"/>
      <w:lvlText w:val="5"/>
      <w:numFmt w:val="bullet"/>
      <w:start w:val="1"/>
    </w:lvl>
  </w:abstractNum>
  <w:abstractNum w:abstractNumId="1011">
    <w:nsid w:val="4886F0FD"/>
    <w:multiLevelType w:val="hybridMultilevel"/>
    <w:lvl w:ilvl="0">
      <w:lvlJc w:val="left"/>
      <w:lvlText w:val="6"/>
      <w:numFmt w:val="bullet"/>
      <w:start w:val="1"/>
    </w:lvl>
  </w:abstractNum>
  <w:abstractNum w:abstractNumId="1012">
    <w:nsid w:val="1FB6481"/>
    <w:multiLevelType w:val="hybridMultilevel"/>
    <w:lvl w:ilvl="0">
      <w:lvlJc w:val="left"/>
      <w:lvlText w:val="%1."/>
      <w:numFmt w:val="decimal"/>
      <w:start w:val="5"/>
    </w:lvl>
    <w:lvl w:ilvl="1">
      <w:lvlJc w:val="left"/>
      <w:lvlText w:val="(%2)"/>
      <w:numFmt w:val="lowerLetter"/>
      <w:start w:val="1"/>
    </w:lvl>
  </w:abstractNum>
  <w:abstractNum w:abstractNumId="1013">
    <w:nsid w:val="42491A9B"/>
    <w:multiLevelType w:val="hybridMultilevel"/>
    <w:lvl w:ilvl="0">
      <w:lvlJc w:val="left"/>
      <w:lvlText w:val="%1"/>
      <w:numFmt w:val="decimal"/>
      <w:start w:val="30"/>
    </w:lvl>
    <w:lvl w:ilvl="1">
      <w:lvlJc w:val="left"/>
      <w:lvlText w:val="(%2)"/>
      <w:numFmt w:val="lowerLetter"/>
      <w:start w:val="3"/>
    </w:lvl>
  </w:abstractNum>
  <w:abstractNum w:abstractNumId="1014">
    <w:nsid w:val="23F2ED92"/>
    <w:multiLevelType w:val="hybridMultilevel"/>
    <w:lvl w:ilvl="0">
      <w:lvlJc w:val="left"/>
      <w:lvlText w:val="%1"/>
      <w:numFmt w:val="decimal"/>
      <w:start w:val="1"/>
    </w:lvl>
    <w:lvl w:ilvl="1">
      <w:lvlJc w:val="left"/>
      <w:lvlText w:val="(%2)"/>
      <w:numFmt w:val="lowerLetter"/>
      <w:start w:val="4"/>
    </w:lvl>
  </w:abstractNum>
  <w:abstractNum w:abstractNumId="1015">
    <w:nsid w:val="68573DB1"/>
    <w:multiLevelType w:val="hybridMultilevel"/>
    <w:lvl w:ilvl="0">
      <w:lvlJc w:val="left"/>
      <w:lvlText w:val="%1."/>
      <w:numFmt w:val="decimal"/>
      <w:start w:val="6"/>
    </w:lvl>
    <w:lvl w:ilvl="1">
      <w:lvlJc w:val="left"/>
      <w:lvlText w:val="%2"/>
      <w:numFmt w:val="lowerLetter"/>
      <w:start w:val="1"/>
    </w:lvl>
  </w:abstractNum>
  <w:abstractNum w:abstractNumId="1016">
    <w:nsid w:val="54097C8E"/>
    <w:multiLevelType w:val="hybridMultilevel"/>
    <w:lvl w:ilvl="0">
      <w:lvlJc w:val="left"/>
      <w:lvlText w:val="%1."/>
      <w:numFmt w:val="decimal"/>
      <w:start w:val="7"/>
    </w:lvl>
    <w:lvl w:ilvl="1">
      <w:lvlJc w:val="left"/>
      <w:lvlText w:val="(%2)"/>
      <w:numFmt w:val="lowerLetter"/>
      <w:start w:val="1"/>
    </w:lvl>
  </w:abstractNum>
  <w:abstractNum w:abstractNumId="1017">
    <w:nsid w:val="C7B7C69"/>
    <w:multiLevelType w:val="hybridMultilevel"/>
    <w:lvl w:ilvl="0">
      <w:lvlJc w:val="left"/>
      <w:lvlText w:val="*"/>
      <w:numFmt w:val="bullet"/>
      <w:start w:val="1"/>
    </w:lvl>
  </w:abstractNum>
  <w:abstractNum w:abstractNumId="1018">
    <w:nsid w:val="453D88"/>
    <w:multiLevelType w:val="hybridMultilevel"/>
    <w:lvl w:ilvl="0">
      <w:lvlJc w:val="left"/>
      <w:lvlText w:val="*"/>
      <w:numFmt w:val="bullet"/>
      <w:start w:val="1"/>
    </w:lvl>
  </w:abstractNum>
  <w:abstractNum w:abstractNumId="1019">
    <w:nsid w:val="488CEFE8"/>
    <w:multiLevelType w:val="hybridMultilevel"/>
    <w:lvl w:ilvl="0">
      <w:lvlJc w:val="left"/>
      <w:lvlText w:val="☐"/>
      <w:numFmt w:val="bullet"/>
      <w:start w:val="1"/>
    </w:lvl>
  </w:abstractNum>
  <w:abstractNum w:abstractNumId="1020">
    <w:nsid w:val="64BD4D42"/>
    <w:multiLevelType w:val="hybridMultilevel"/>
    <w:lvl w:ilvl="0">
      <w:lvlJc w:val="left"/>
      <w:lvlText w:val="7"/>
      <w:numFmt w:val="bullet"/>
      <w:start w:val="1"/>
    </w:lvl>
  </w:abstractNum>
  <w:abstractNum w:abstractNumId="1021">
    <w:nsid w:val="3F8B0638"/>
    <w:multiLevelType w:val="hybridMultilevel"/>
    <w:lvl w:ilvl="0">
      <w:lvlJc w:val="left"/>
      <w:lvlText w:val="8"/>
      <w:numFmt w:val="bullet"/>
      <w:start w:val="1"/>
    </w:lvl>
  </w:abstractNum>
  <w:abstractNum w:abstractNumId="1022">
    <w:nsid w:val="7CD3DA26"/>
    <w:multiLevelType w:val="hybridMultilevel"/>
    <w:lvl w:ilvl="0">
      <w:lvlJc w:val="left"/>
      <w:lvlText w:val="☐"/>
      <w:numFmt w:val="bullet"/>
      <w:start w:val="1"/>
    </w:lvl>
  </w:abstractNum>
  <w:abstractNum w:abstractNumId="1023">
    <w:nsid w:val="2891A7B7"/>
    <w:multiLevelType w:val="hybridMultilevel"/>
    <w:lvl w:ilvl="0">
      <w:lvlJc w:val="left"/>
      <w:lvlText w:val="%1."/>
      <w:numFmt w:val="decimal"/>
      <w:start w:val="1"/>
    </w:lvl>
  </w:abstractNum>
  <w:abstractNum w:abstractNumId="1024">
    <w:nsid w:val="658E7855"/>
    <w:multiLevelType w:val="hybridMultilevel"/>
    <w:lvl w:ilvl="0">
      <w:lvlJc w:val="left"/>
      <w:lvlText w:val="%1."/>
      <w:numFmt w:val="decimal"/>
      <w:start w:val="5"/>
    </w:lvl>
  </w:abstractNum>
  <w:abstractNum w:abstractNumId="1025">
    <w:nsid w:val="151227F6"/>
    <w:multiLevelType w:val="hybridMultilevel"/>
    <w:lvl w:ilvl="0">
      <w:lvlJc w:val="left"/>
      <w:lvlText w:val=" "/>
      <w:numFmt w:val="bullet"/>
      <w:start w:val="1"/>
    </w:lvl>
  </w:abstractNum>
  <w:abstractNum w:abstractNumId="1026">
    <w:nsid w:val="7E67F143"/>
    <w:multiLevelType w:val="hybridMultilevel"/>
    <w:lvl w:ilvl="0">
      <w:lvlJc w:val="left"/>
      <w:lvlText w:val="%1."/>
      <w:numFmt w:val="decimal"/>
      <w:start w:val="1"/>
    </w:lvl>
  </w:abstractNum>
  <w:abstractNum w:abstractNumId="1027">
    <w:nsid w:val="7F744D2C"/>
    <w:multiLevelType w:val="hybridMultilevel"/>
    <w:lvl w:ilvl="0">
      <w:lvlJc w:val="left"/>
      <w:lvlText w:val="%1."/>
      <w:numFmt w:val="decimal"/>
      <w:start w:val="3"/>
    </w:lvl>
  </w:abstractNum>
  <w:abstractNum w:abstractNumId="1028">
    <w:nsid w:val="364460A9"/>
    <w:multiLevelType w:val="hybridMultilevel"/>
    <w:lvl w:ilvl="0">
      <w:lvlJc w:val="left"/>
      <w:lvlText w:val="•"/>
      <w:numFmt w:val="bullet"/>
      <w:start w:val="1"/>
    </w:lvl>
  </w:abstractNum>
  <w:abstractNum w:abstractNumId="1029">
    <w:nsid w:val="1313C32B"/>
    <w:multiLevelType w:val="hybridMultilevel"/>
    <w:lvl w:ilvl="0">
      <w:lvlJc w:val="left"/>
      <w:lvlText w:val="•"/>
      <w:numFmt w:val="bullet"/>
      <w:start w:val="1"/>
    </w:lvl>
  </w:abstractNum>
  <w:abstractNum w:abstractNumId="1030">
    <w:nsid w:val="50927DBC"/>
    <w:multiLevelType w:val="hybridMultilevel"/>
    <w:lvl w:ilvl="0">
      <w:lvlJc w:val="left"/>
      <w:lvlText w:val="%1"/>
      <w:numFmt w:val="decimal"/>
      <w:start w:val="1"/>
    </w:lvl>
    <w:lvl w:ilvl="1">
      <w:lvlJc w:val="left"/>
      <w:lvlText w:val="•"/>
      <w:numFmt w:val="bullet"/>
      <w:start w:val="1"/>
    </w:lvl>
  </w:abstractNum>
  <w:abstractNum w:abstractNumId="1031">
    <w:nsid w:val="48328442"/>
    <w:multiLevelType w:val="hybridMultilevel"/>
    <w:lvl w:ilvl="0">
      <w:lvlJc w:val="left"/>
      <w:lvlText w:val="•"/>
      <w:numFmt w:val="bullet"/>
      <w:start w:val="1"/>
    </w:lvl>
  </w:abstractNum>
  <w:abstractNum w:abstractNumId="1032">
    <w:nsid w:val="5A6F5094"/>
    <w:multiLevelType w:val="hybridMultilevel"/>
    <w:lvl w:ilvl="0">
      <w:lvlJc w:val="left"/>
      <w:lvlText w:val="•"/>
      <w:numFmt w:val="bullet"/>
      <w:start w:val="1"/>
    </w:lvl>
  </w:abstractNum>
  <w:abstractNum w:abstractNumId="1033">
    <w:nsid w:val="1AD87E5A"/>
    <w:multiLevelType w:val="hybridMultilevel"/>
    <w:lvl w:ilvl="0">
      <w:lvlJc w:val="left"/>
      <w:lvlText w:val="%1:"/>
      <w:numFmt w:val="upperLetter"/>
      <w:start w:val="17"/>
    </w:lvl>
  </w:abstractNum>
  <w:abstractNum w:abstractNumId="1034">
    <w:nsid w:val="5E5EDAE3"/>
    <w:multiLevelType w:val="hybridMultilevel"/>
    <w:lvl w:ilvl="0">
      <w:lvlJc w:val="left"/>
      <w:lvlText w:val="%1:"/>
      <w:numFmt w:val="upperLetter"/>
      <w:start w:val="1"/>
    </w:lvl>
  </w:abstractNum>
  <w:abstractNum w:abstractNumId="1035">
    <w:nsid w:val="6E6F8879"/>
    <w:multiLevelType w:val="hybridMultilevel"/>
    <w:lvl w:ilvl="0">
      <w:lvlJc w:val="left"/>
      <w:lvlText w:val="%1:"/>
      <w:numFmt w:val="upperLetter"/>
      <w:start w:val="17"/>
    </w:lvl>
  </w:abstractNum>
  <w:abstractNum w:abstractNumId="1036">
    <w:nsid w:val="2F787E6A"/>
    <w:multiLevelType w:val="hybridMultilevel"/>
    <w:lvl w:ilvl="0">
      <w:lvlJc w:val="left"/>
      <w:lvlText w:val="%1:"/>
      <w:numFmt w:val="upperLetter"/>
      <w:start w:val="1"/>
    </w:lvl>
  </w:abstractNum>
  <w:abstractNum w:abstractNumId="1037">
    <w:nsid w:val="3A7426C2"/>
    <w:multiLevelType w:val="hybridMultilevel"/>
    <w:lvl w:ilvl="0">
      <w:lvlJc w:val="left"/>
      <w:lvlText w:val="%1:"/>
      <w:numFmt w:val="upperLetter"/>
      <w:start w:val="17"/>
    </w:lvl>
  </w:abstractNum>
  <w:abstractNum w:abstractNumId="1038">
    <w:nsid w:val="5F482831"/>
    <w:multiLevelType w:val="hybridMultilevel"/>
    <w:lvl w:ilvl="0">
      <w:lvlJc w:val="left"/>
      <w:lvlText w:val="%1:"/>
      <w:numFmt w:val="upperLetter"/>
      <w:start w:val="1"/>
    </w:lvl>
  </w:abstractNum>
  <w:abstractNum w:abstractNumId="1039">
    <w:nsid w:val="55BE58D9"/>
    <w:multiLevelType w:val="hybridMultilevel"/>
    <w:lvl w:ilvl="0">
      <w:lvlJc w:val="left"/>
      <w:lvlText w:val="%1:"/>
      <w:numFmt w:val="upperLetter"/>
      <w:start w:val="17"/>
    </w:lvl>
  </w:abstractNum>
  <w:abstractNum w:abstractNumId="1040">
    <w:nsid w:val="5E057E55"/>
    <w:multiLevelType w:val="hybridMultilevel"/>
    <w:lvl w:ilvl="0">
      <w:lvlJc w:val="left"/>
      <w:lvlText w:val="%1:"/>
      <w:numFmt w:val="upperLetter"/>
      <w:start w:val="1"/>
    </w:lvl>
  </w:abstractNum>
  <w:abstractNum w:abstractNumId="1041">
    <w:nsid w:val="1376C762"/>
    <w:multiLevelType w:val="hybridMultilevel"/>
    <w:lvl w:ilvl="0">
      <w:lvlJc w:val="left"/>
      <w:lvlText w:val="%1:"/>
      <w:numFmt w:val="upperLetter"/>
      <w:start w:val="17"/>
    </w:lvl>
  </w:abstractNum>
  <w:abstractNum w:abstractNumId="1042">
    <w:nsid w:val="1E4549D6"/>
    <w:multiLevelType w:val="hybridMultilevel"/>
    <w:lvl w:ilvl="0">
      <w:lvlJc w:val="left"/>
      <w:lvlText w:val="%1:"/>
      <w:numFmt w:val="upperLetter"/>
      <w:start w:val="1"/>
    </w:lvl>
  </w:abstractNum>
  <w:abstractNum w:abstractNumId="1043">
    <w:nsid w:val="6000E2D6"/>
    <w:multiLevelType w:val="hybridMultilevel"/>
    <w:lvl w:ilvl="0">
      <w:lvlJc w:val="left"/>
      <w:lvlText w:val="%1:"/>
      <w:numFmt w:val="upperLetter"/>
      <w:start w:val="17"/>
    </w:lvl>
  </w:abstractNum>
  <w:abstractNum w:abstractNumId="1044">
    <w:nsid w:val="55BFE1FD"/>
    <w:multiLevelType w:val="hybridMultilevel"/>
    <w:lvl w:ilvl="0">
      <w:lvlJc w:val="left"/>
      <w:lvlText w:val="%1:"/>
      <w:numFmt w:val="upperLetter"/>
      <w:start w:val="1"/>
    </w:lvl>
  </w:abstractNum>
  <w:abstractNum w:abstractNumId="1045">
    <w:nsid w:val="42383768"/>
    <w:multiLevelType w:val="hybridMultilevel"/>
    <w:lvl w:ilvl="0">
      <w:lvlJc w:val="left"/>
      <w:lvlText w:val="%1:"/>
      <w:numFmt w:val="upperLetter"/>
      <w:start w:val="17"/>
    </w:lvl>
  </w:abstractNum>
  <w:abstractNum w:abstractNumId="1046">
    <w:nsid w:val="48582087"/>
    <w:multiLevelType w:val="hybridMultilevel"/>
    <w:lvl w:ilvl="0">
      <w:lvlJc w:val="left"/>
      <w:lvlText w:val="%1:"/>
      <w:numFmt w:val="upperLetter"/>
      <w:start w:val="1"/>
    </w:lvl>
  </w:abstractNum>
  <w:abstractNum w:abstractNumId="1047">
    <w:nsid w:val="29C95E8B"/>
    <w:multiLevelType w:val="hybridMultilevel"/>
    <w:lvl w:ilvl="0">
      <w:lvlJc w:val="left"/>
      <w:lvlText w:val="%1:"/>
      <w:numFmt w:val="upperLetter"/>
      <w:start w:val="17"/>
    </w:lvl>
  </w:abstractNum>
  <w:abstractNum w:abstractNumId="1048">
    <w:nsid w:val="4EB3B3D2"/>
    <w:multiLevelType w:val="hybridMultilevel"/>
    <w:lvl w:ilvl="0">
      <w:lvlJc w:val="left"/>
      <w:lvlText w:val="%1:"/>
      <w:numFmt w:val="upperLetter"/>
      <w:start w:val="17"/>
    </w:lvl>
  </w:abstractNum>
  <w:abstractNum w:abstractNumId="1049">
    <w:nsid w:val="489D5E10"/>
    <w:multiLevelType w:val="hybridMultilevel"/>
    <w:lvl w:ilvl="0">
      <w:lvlJc w:val="left"/>
      <w:lvlText w:val="%1:"/>
      <w:numFmt w:val="upperLetter"/>
      <w:start w:val="1"/>
    </w:lvl>
  </w:abstractNum>
  <w:abstractNum w:abstractNumId="1050">
    <w:nsid w:val="72564E73"/>
    <w:multiLevelType w:val="hybridMultilevel"/>
    <w:lvl w:ilvl="0">
      <w:lvlJc w:val="left"/>
      <w:lvlText w:val="%1:"/>
      <w:numFmt w:val="upperLetter"/>
      <w:start w:val="17"/>
    </w:lvl>
  </w:abstractNum>
  <w:abstractNum w:abstractNumId="1051">
    <w:nsid w:val="33710114"/>
    <w:multiLevelType w:val="hybridMultilevel"/>
    <w:lvl w:ilvl="0">
      <w:lvlJc w:val="left"/>
      <w:lvlText w:val="%1:"/>
      <w:numFmt w:val="upperLetter"/>
      <w:start w:val="1"/>
    </w:lvl>
  </w:abstractNum>
  <w:abstractNum w:abstractNumId="1052">
    <w:nsid w:val="8286448"/>
    <w:multiLevelType w:val="hybridMultilevel"/>
    <w:lvl w:ilvl="0">
      <w:lvlJc w:val="left"/>
      <w:lvlText w:val="%1:"/>
      <w:numFmt w:val="upperLetter"/>
      <w:start w:val="17"/>
    </w:lvl>
  </w:abstractNum>
  <w:abstractNum w:abstractNumId="1053">
    <w:nsid w:val="6F2A289A"/>
    <w:multiLevelType w:val="hybridMultilevel"/>
    <w:lvl w:ilvl="0">
      <w:lvlJc w:val="left"/>
      <w:lvlText w:val="%1:"/>
      <w:numFmt w:val="upperLetter"/>
      <w:start w:val="1"/>
    </w:lvl>
  </w:abstractNum>
  <w:abstractNum w:abstractNumId="1054">
    <w:nsid w:val="5C02A8CB"/>
    <w:multiLevelType w:val="hybridMultilevel"/>
    <w:lvl w:ilvl="0">
      <w:lvlJc w:val="left"/>
      <w:lvlText w:val="%1:"/>
      <w:numFmt w:val="upperLetter"/>
      <w:start w:val="17"/>
    </w:lvl>
  </w:abstractNum>
  <w:abstractNum w:abstractNumId="1055">
    <w:nsid w:val="6DB6DC9D"/>
    <w:multiLevelType w:val="hybridMultilevel"/>
    <w:lvl w:ilvl="0">
      <w:lvlJc w:val="left"/>
      <w:lvlText w:val="%1:"/>
      <w:numFmt w:val="upperLetter"/>
      <w:start w:val="1"/>
    </w:lvl>
  </w:abstractNum>
  <w:abstractNum w:abstractNumId="1056">
    <w:nsid w:val="43C5090"/>
    <w:multiLevelType w:val="hybridMultilevel"/>
    <w:lvl w:ilvl="0">
      <w:lvlJc w:val="left"/>
      <w:lvlText w:val="%1:"/>
      <w:numFmt w:val="upperLetter"/>
      <w:start w:val="17"/>
    </w:lvl>
  </w:abstractNum>
  <w:abstractNum w:abstractNumId="1057">
    <w:nsid w:val="5A6A9A0F"/>
    <w:multiLevelType w:val="hybridMultilevel"/>
    <w:lvl w:ilvl="0">
      <w:lvlJc w:val="left"/>
      <w:lvlText w:val="%1:"/>
      <w:numFmt w:val="upperLetter"/>
      <w:start w:val="1"/>
    </w:lvl>
  </w:abstractNum>
  <w:abstractNum w:abstractNumId="1058">
    <w:nsid w:val="6D2B29CA"/>
    <w:multiLevelType w:val="hybridMultilevel"/>
    <w:lvl w:ilvl="0">
      <w:lvlJc w:val="left"/>
      <w:lvlText w:val="%1:"/>
      <w:numFmt w:val="upperLetter"/>
      <w:start w:val="17"/>
    </w:lvl>
  </w:abstractNum>
  <w:abstractNum w:abstractNumId="1059">
    <w:nsid w:val="3A80B139"/>
    <w:multiLevelType w:val="hybridMultilevel"/>
    <w:lvl w:ilvl="0">
      <w:lvlJc w:val="left"/>
      <w:lvlText w:val="%1:"/>
      <w:numFmt w:val="upperLetter"/>
      <w:start w:val="1"/>
    </w:lvl>
  </w:abstractNum>
  <w:abstractNum w:abstractNumId="1060">
    <w:nsid w:val="6D7E5D3A"/>
    <w:multiLevelType w:val="hybridMultilevel"/>
    <w:lvl w:ilvl="0">
      <w:lvlJc w:val="left"/>
      <w:lvlText w:val="%1:"/>
      <w:numFmt w:val="upperLetter"/>
      <w:start w:val="17"/>
    </w:lvl>
  </w:abstractNum>
  <w:abstractNum w:abstractNumId="1061">
    <w:nsid w:val="3DBDA786"/>
    <w:multiLevelType w:val="hybridMultilevel"/>
    <w:lvl w:ilvl="0">
      <w:lvlJc w:val="left"/>
      <w:lvlText w:val="%1:"/>
      <w:numFmt w:val="upperLetter"/>
      <w:start w:val="1"/>
    </w:lvl>
  </w:abstractNum>
  <w:abstractNum w:abstractNumId="1062">
    <w:nsid w:val="2B3357B"/>
    <w:multiLevelType w:val="hybridMultilevel"/>
    <w:lvl w:ilvl="0">
      <w:lvlJc w:val="left"/>
      <w:lvlText w:val="%1:"/>
      <w:numFmt w:val="upperLetter"/>
      <w:start w:val="17"/>
    </w:lvl>
  </w:abstractNum>
  <w:abstractNum w:abstractNumId="1063">
    <w:nsid w:val="47EDADCF"/>
    <w:multiLevelType w:val="hybridMultilevel"/>
    <w:lvl w:ilvl="0">
      <w:lvlJc w:val="left"/>
      <w:lvlText w:val="%1:"/>
      <w:numFmt w:val="upperLetter"/>
      <w:start w:val="1"/>
    </w:lvl>
  </w:abstractNum>
  <w:abstractNum w:abstractNumId="1064">
    <w:nsid w:val="589625E0"/>
    <w:multiLevelType w:val="hybridMultilevel"/>
    <w:lvl w:ilvl="0">
      <w:lvlJc w:val="left"/>
      <w:lvlText w:val="%1:"/>
      <w:numFmt w:val="upperLetter"/>
      <w:start w:val="17"/>
    </w:lvl>
  </w:abstractNum>
  <w:abstractNum w:abstractNumId="1065">
    <w:nsid w:val="6112105E"/>
    <w:multiLevelType w:val="hybridMultilevel"/>
    <w:lvl w:ilvl="0">
      <w:lvlJc w:val="left"/>
      <w:lvlText w:val="%1:"/>
      <w:numFmt w:val="upperLetter"/>
      <w:start w:val="1"/>
    </w:lvl>
  </w:abstractNum>
  <w:abstractNum w:abstractNumId="1066">
    <w:nsid w:val="365D3648"/>
    <w:multiLevelType w:val="hybridMultilevel"/>
    <w:lvl w:ilvl="0">
      <w:lvlJc w:val="left"/>
      <w:lvlText w:val="%1:"/>
      <w:numFmt w:val="upperLetter"/>
      <w:start w:val="17"/>
    </w:lvl>
  </w:abstractNum>
  <w:abstractNum w:abstractNumId="1067">
    <w:nsid w:val="80EA44A"/>
    <w:multiLevelType w:val="hybridMultilevel"/>
    <w:lvl w:ilvl="0">
      <w:lvlJc w:val="left"/>
      <w:lvlText w:val="%1:"/>
      <w:numFmt w:val="upperLetter"/>
      <w:start w:val="1"/>
    </w:lvl>
  </w:abstractNum>
  <w:abstractNum w:abstractNumId="1068">
    <w:nsid w:val="1B863720"/>
    <w:multiLevelType w:val="hybridMultilevel"/>
    <w:lvl w:ilvl="0">
      <w:lvlJc w:val="left"/>
      <w:lvlText w:val="%1:"/>
      <w:numFmt w:val="upperLetter"/>
      <w:start w:val="17"/>
    </w:lvl>
  </w:abstractNum>
  <w:abstractNum w:abstractNumId="1069">
    <w:nsid w:val="15A55E79"/>
    <w:multiLevelType w:val="hybridMultilevel"/>
    <w:lvl w:ilvl="0">
      <w:lvlJc w:val="left"/>
      <w:lvlText w:val="%1:"/>
      <w:numFmt w:val="upperLetter"/>
      <w:start w:val="1"/>
    </w:lvl>
  </w:abstractNum>
  <w:abstractNum w:abstractNumId="1070">
    <w:nsid w:val="5DCCFD23"/>
    <w:multiLevelType w:val="hybridMultilevel"/>
    <w:lvl w:ilvl="0">
      <w:lvlJc w:val="left"/>
      <w:lvlText w:val="%1:"/>
      <w:numFmt w:val="upperLetter"/>
      <w:start w:val="17"/>
    </w:lvl>
  </w:abstractNum>
  <w:abstractNum w:abstractNumId="1071">
    <w:nsid w:val="798BB575"/>
    <w:multiLevelType w:val="hybridMultilevel"/>
    <w:lvl w:ilvl="0">
      <w:lvlJc w:val="left"/>
      <w:lvlText w:val="%1:"/>
      <w:numFmt w:val="upperLetter"/>
      <w:start w:val="1"/>
    </w:lvl>
  </w:abstractNum>
  <w:abstractNum w:abstractNumId="1072">
    <w:nsid w:val="291C25DB"/>
    <w:multiLevelType w:val="hybridMultilevel"/>
    <w:lvl w:ilvl="0">
      <w:lvlJc w:val="left"/>
      <w:lvlText w:val="%1:"/>
      <w:numFmt w:val="upperLetter"/>
      <w:start w:val="17"/>
    </w:lvl>
  </w:abstractNum>
  <w:abstractNum w:abstractNumId="1073">
    <w:nsid w:val="7C1246F9"/>
    <w:multiLevelType w:val="hybridMultilevel"/>
    <w:lvl w:ilvl="0">
      <w:lvlJc w:val="left"/>
      <w:lvlText w:val="%1:"/>
      <w:numFmt w:val="upperLetter"/>
      <w:start w:val="1"/>
    </w:lvl>
  </w:abstractNum>
  <w:abstractNum w:abstractNumId="1074">
    <w:nsid w:val="598C984B"/>
    <w:multiLevelType w:val="hybridMultilevel"/>
    <w:lvl w:ilvl="0">
      <w:lvlJc w:val="left"/>
      <w:lvlText w:val="%1:"/>
      <w:numFmt w:val="upperLetter"/>
      <w:start w:val="17"/>
    </w:lvl>
  </w:abstractNum>
  <w:abstractNum w:abstractNumId="1075">
    <w:nsid w:val="7EDC07D8"/>
    <w:multiLevelType w:val="hybridMultilevel"/>
    <w:lvl w:ilvl="0">
      <w:lvlJc w:val="left"/>
      <w:lvlText w:val="%1:"/>
      <w:numFmt w:val="upperLetter"/>
      <w:start w:val="1"/>
    </w:lvl>
  </w:abstractNum>
  <w:abstractNum w:abstractNumId="1076">
    <w:nsid w:val="3E4A7E62"/>
    <w:multiLevelType w:val="hybridMultilevel"/>
    <w:lvl w:ilvl="0">
      <w:lvlJc w:val="left"/>
      <w:lvlText w:val="%1:"/>
      <w:numFmt w:val="upperLetter"/>
      <w:start w:val="17"/>
    </w:lvl>
  </w:abstractNum>
  <w:abstractNum w:abstractNumId="1077">
    <w:nsid w:val="21E4B8D3"/>
    <w:multiLevelType w:val="hybridMultilevel"/>
    <w:lvl w:ilvl="0">
      <w:lvlJc w:val="left"/>
      <w:lvlText w:val="%1:"/>
      <w:numFmt w:val="upperLetter"/>
      <w:start w:val="1"/>
    </w:lvl>
  </w:abstractNum>
  <w:abstractNum w:abstractNumId="1078">
    <w:nsid w:val="28A56663"/>
    <w:multiLevelType w:val="hybridMultilevel"/>
    <w:lvl w:ilvl="0">
      <w:lvlJc w:val="left"/>
      <w:lvlText w:val="%1:"/>
      <w:numFmt w:val="upperLetter"/>
      <w:start w:val="17"/>
    </w:lvl>
  </w:abstractNum>
  <w:abstractNum w:abstractNumId="1079">
    <w:nsid w:val="CFE3234"/>
    <w:multiLevelType w:val="hybridMultilevel"/>
    <w:lvl w:ilvl="0">
      <w:lvlJc w:val="left"/>
      <w:lvlText w:val="%1:"/>
      <w:numFmt w:val="upperLetter"/>
      <w:start w:val="1"/>
    </w:lvl>
  </w:abstractNum>
  <w:abstractNum w:abstractNumId="1080">
    <w:nsid w:val="6A8216E3"/>
    <w:multiLevelType w:val="hybridMultilevel"/>
    <w:lvl w:ilvl="0">
      <w:lvlJc w:val="left"/>
      <w:lvlText w:val="%1:"/>
      <w:numFmt w:val="upperLetter"/>
      <w:start w:val="17"/>
    </w:lvl>
  </w:abstractNum>
  <w:abstractNum w:abstractNumId="1081">
    <w:nsid w:val="1AFBB4D7"/>
    <w:multiLevelType w:val="hybridMultilevel"/>
    <w:lvl w:ilvl="0">
      <w:lvlJc w:val="left"/>
      <w:lvlText w:val="%1:"/>
      <w:numFmt w:val="upperLetter"/>
      <w:start w:val="1"/>
    </w:lvl>
  </w:abstractNum>
  <w:abstractNum w:abstractNumId="1082">
    <w:nsid w:val="406F3348"/>
    <w:multiLevelType w:val="hybridMultilevel"/>
    <w:lvl w:ilvl="0">
      <w:lvlJc w:val="left"/>
      <w:lvlText w:val="%1:"/>
      <w:numFmt w:val="upperLetter"/>
      <w:start w:val="17"/>
    </w:lvl>
  </w:abstractNum>
  <w:abstractNum w:abstractNumId="1083">
    <w:nsid w:val="72AA7B2B"/>
    <w:multiLevelType w:val="hybridMultilevel"/>
    <w:lvl w:ilvl="0">
      <w:lvlJc w:val="left"/>
      <w:lvlText w:val="%1:"/>
      <w:numFmt w:val="upperLetter"/>
      <w:start w:val="1"/>
    </w:lvl>
  </w:abstractNum>
  <w:abstractNum w:abstractNumId="1084">
    <w:nsid w:val="A25DD71"/>
    <w:multiLevelType w:val="hybridMultilevel"/>
    <w:lvl w:ilvl="0">
      <w:lvlJc w:val="left"/>
      <w:lvlText w:val="%1:"/>
      <w:numFmt w:val="upperLetter"/>
      <w:start w:val="17"/>
    </w:lvl>
  </w:abstractNum>
  <w:abstractNum w:abstractNumId="1085">
    <w:nsid w:val="1C71DC14"/>
    <w:multiLevelType w:val="hybridMultilevel"/>
    <w:lvl w:ilvl="0">
      <w:lvlJc w:val="left"/>
      <w:lvlText w:val="%1:"/>
      <w:numFmt w:val="upperLetter"/>
      <w:start w:val="1"/>
    </w:lvl>
  </w:abstractNum>
  <w:abstractNum w:abstractNumId="1086">
    <w:nsid w:val="606157C8"/>
    <w:multiLevelType w:val="hybridMultilevel"/>
    <w:lvl w:ilvl="0">
      <w:lvlJc w:val="left"/>
      <w:lvlText w:val="•"/>
      <w:numFmt w:val="bullet"/>
      <w:start w:val="1"/>
    </w:lvl>
  </w:abstractNum>
  <w:abstractNum w:abstractNumId="1087">
    <w:nsid w:val="E622E01"/>
    <w:multiLevelType w:val="hybridMultilevel"/>
    <w:lvl w:ilvl="0">
      <w:lvlJc w:val="left"/>
      <w:lvlText w:val="•"/>
      <w:numFmt w:val="bullet"/>
      <w:start w:val="1"/>
    </w:lvl>
  </w:abstractNum>
  <w:abstractNum w:abstractNumId="1088">
    <w:nsid w:val="76DC7623"/>
    <w:multiLevelType w:val="hybridMultilevel"/>
    <w:lvl w:ilvl="0">
      <w:lvlJc w:val="left"/>
      <w:lvlText w:val="•"/>
      <w:numFmt w:val="bullet"/>
      <w:start w:val="1"/>
    </w:lvl>
  </w:abstractNum>
  <w:abstractNum w:abstractNumId="1089">
    <w:nsid w:val="4D8C8192"/>
    <w:multiLevelType w:val="hybridMultilevel"/>
    <w:lvl w:ilvl="0">
      <w:lvlJc w:val="left"/>
      <w:lvlText w:val="•"/>
      <w:numFmt w:val="bullet"/>
      <w:start w:val="1"/>
    </w:lvl>
  </w:abstractNum>
  <w:abstractNum w:abstractNumId="1090">
    <w:nsid w:val="48E2DF3A"/>
    <w:multiLevelType w:val="hybridMultilevel"/>
    <w:lvl w:ilvl="0">
      <w:lvlJc w:val="left"/>
      <w:lvlText w:val="(%1)"/>
      <w:numFmt w:val="decimal"/>
      <w:start w:val="1"/>
    </w:lvl>
  </w:abstractNum>
  <w:abstractNum w:abstractNumId="1091">
    <w:nsid w:val="645AD35D"/>
    <w:multiLevelType w:val="hybridMultilevel"/>
    <w:lvl w:ilvl="0">
      <w:lvlJc w:val="left"/>
      <w:lvlText w:val="•"/>
      <w:numFmt w:val="bullet"/>
      <w:start w:val="1"/>
    </w:lvl>
  </w:abstractNum>
  <w:abstractNum w:abstractNumId="1092">
    <w:nsid w:val="B4A2918"/>
    <w:multiLevelType w:val="hybridMultilevel"/>
    <w:lvl w:ilvl="0">
      <w:lvlJc w:val="left"/>
      <w:lvlText w:val="•"/>
      <w:numFmt w:val="bullet"/>
      <w:start w:val="1"/>
    </w:lvl>
  </w:abstractNum>
  <w:abstractNum w:abstractNumId="1093">
    <w:nsid w:val="4B9614B5"/>
    <w:multiLevelType w:val="hybridMultilevel"/>
    <w:lvl w:ilvl="0">
      <w:lvlJc w:val="left"/>
      <w:lvlText w:val="•"/>
      <w:numFmt w:val="bullet"/>
      <w:start w:val="1"/>
    </w:lvl>
  </w:abstractNum>
  <w:abstractNum w:abstractNumId="1094">
    <w:nsid w:val="2C48812C"/>
    <w:multiLevelType w:val="hybridMultilevel"/>
    <w:lvl w:ilvl="0">
      <w:lvlJc w:val="left"/>
      <w:lvlText w:val="•"/>
      <w:numFmt w:val="bullet"/>
      <w:start w:val="1"/>
    </w:lvl>
  </w:abstractNum>
  <w:abstractNum w:abstractNumId="1095">
    <w:nsid w:val="63E04EF8"/>
    <w:multiLevelType w:val="hybridMultilevel"/>
    <w:lvl w:ilvl="0">
      <w:lvlJc w:val="left"/>
      <w:lvlText w:val="•"/>
      <w:numFmt w:val="bullet"/>
      <w:start w:val="1"/>
    </w:lvl>
  </w:abstractNum>
  <w:abstractNum w:abstractNumId="1096">
    <w:nsid w:val="2CA82513"/>
    <w:multiLevelType w:val="hybridMultilevel"/>
    <w:lvl w:ilvl="0">
      <w:lvlJc w:val="left"/>
      <w:lvlText w:val="•"/>
      <w:numFmt w:val="bullet"/>
      <w:start w:val="1"/>
    </w:lvl>
  </w:abstractNum>
  <w:abstractNum w:abstractNumId="1097">
    <w:nsid w:val="62A5B774"/>
    <w:multiLevelType w:val="hybridMultilevel"/>
    <w:lvl w:ilvl="0">
      <w:lvlJc w:val="left"/>
      <w:lvlText w:val="•"/>
      <w:numFmt w:val="bullet"/>
      <w:start w:val="1"/>
    </w:lvl>
  </w:abstractNum>
  <w:abstractNum w:abstractNumId="1098">
    <w:nsid w:val="6BEEF343"/>
    <w:multiLevelType w:val="hybridMultilevel"/>
    <w:lvl w:ilvl="0">
      <w:lvlJc w:val="left"/>
      <w:lvlText w:val="•"/>
      <w:numFmt w:val="bullet"/>
      <w:start w:val="1"/>
    </w:lvl>
  </w:abstractNum>
  <w:abstractNum w:abstractNumId="1099">
    <w:nsid w:val="482E5C33"/>
    <w:multiLevelType w:val="hybridMultilevel"/>
    <w:lvl w:ilvl="0">
      <w:lvlJc w:val="left"/>
      <w:lvlText w:val="•"/>
      <w:numFmt w:val="bullet"/>
      <w:start w:val="1"/>
    </w:lvl>
  </w:abstractNum>
  <w:abstractNum w:abstractNumId="1100">
    <w:nsid w:val="784B15ED"/>
    <w:multiLevelType w:val="hybridMultilevel"/>
    <w:lvl w:ilvl="0">
      <w:lvlJc w:val="left"/>
      <w:lvlText w:val="•"/>
      <w:numFmt w:val="bullet"/>
      <w:start w:val="1"/>
    </w:lvl>
  </w:abstractNum>
  <w:abstractNum w:abstractNumId="1101">
    <w:nsid w:val="49BBF066"/>
    <w:multiLevelType w:val="hybridMultilevel"/>
    <w:lvl w:ilvl="0">
      <w:lvlJc w:val="left"/>
      <w:lvlText w:val="•"/>
      <w:numFmt w:val="bullet"/>
      <w:start w:val="1"/>
    </w:lvl>
  </w:abstractNum>
  <w:abstractNum w:abstractNumId="1102">
    <w:nsid w:val="41BA11A8"/>
    <w:multiLevelType w:val="hybridMultilevel"/>
    <w:lvl w:ilvl="0">
      <w:lvlJc w:val="left"/>
      <w:lvlText w:val="•"/>
      <w:numFmt w:val="bullet"/>
      <w:start w:val="1"/>
    </w:lvl>
  </w:abstractNum>
  <w:abstractNum w:abstractNumId="1103">
    <w:nsid w:val="21673BC8"/>
    <w:multiLevelType w:val="hybridMultilevel"/>
    <w:lvl w:ilvl="0">
      <w:lvlJc w:val="left"/>
      <w:lvlText w:val="•"/>
      <w:numFmt w:val="bullet"/>
      <w:start w:val="1"/>
    </w:lvl>
  </w:abstractNum>
  <w:abstractNum w:abstractNumId="1104">
    <w:nsid w:val="45CE3760"/>
    <w:multiLevelType w:val="hybridMultilevel"/>
    <w:lvl w:ilvl="0">
      <w:lvlJc w:val="left"/>
      <w:lvlText w:val="•"/>
      <w:numFmt w:val="bullet"/>
      <w:start w:val="1"/>
    </w:lvl>
  </w:abstractNum>
  <w:abstractNum w:abstractNumId="1105">
    <w:nsid w:val="1B46A9F3"/>
    <w:multiLevelType w:val="hybridMultilevel"/>
    <w:lvl w:ilvl="0">
      <w:lvlJc w:val="left"/>
      <w:lvlText w:val="•"/>
      <w:numFmt w:val="bullet"/>
      <w:start w:val="1"/>
    </w:lvl>
  </w:abstractNum>
  <w:abstractNum w:abstractNumId="1106">
    <w:nsid w:val="204343A0"/>
    <w:multiLevelType w:val="hybridMultilevel"/>
    <w:lvl w:ilvl="0">
      <w:lvlJc w:val="left"/>
      <w:lvlText w:val="•"/>
      <w:numFmt w:val="bullet"/>
      <w:start w:val="1"/>
    </w:lvl>
  </w:abstractNum>
  <w:abstractNum w:abstractNumId="1107">
    <w:nsid w:val="418B5C2"/>
    <w:multiLevelType w:val="hybridMultilevel"/>
    <w:lvl w:ilvl="0">
      <w:lvlJc w:val="left"/>
      <w:lvlText w:val="•"/>
      <w:numFmt w:val="bullet"/>
      <w:start w:val="1"/>
    </w:lvl>
  </w:abstractNum>
  <w:abstractNum w:abstractNumId="1108">
    <w:nsid w:val="3D2B62C6"/>
    <w:multiLevelType w:val="hybridMultilevel"/>
    <w:lvl w:ilvl="0">
      <w:lvlJc w:val="left"/>
      <w:lvlText w:val="•"/>
      <w:numFmt w:val="bullet"/>
      <w:start w:val="1"/>
    </w:lvl>
  </w:abstractNum>
  <w:abstractNum w:abstractNumId="1109">
    <w:nsid w:val="48E8AA04"/>
    <w:multiLevelType w:val="hybridMultilevel"/>
    <w:lvl w:ilvl="0">
      <w:lvlJc w:val="left"/>
      <w:lvlText w:val="•"/>
      <w:numFmt w:val="bullet"/>
      <w:start w:val="1"/>
    </w:lvl>
  </w:abstractNum>
  <w:abstractNum w:abstractNumId="1110">
    <w:nsid w:val="1116E7F6"/>
    <w:multiLevelType w:val="hybridMultilevel"/>
    <w:lvl w:ilvl="0">
      <w:lvlJc w:val="left"/>
      <w:lvlText w:val="•"/>
      <w:numFmt w:val="bullet"/>
      <w:start w:val="1"/>
    </w:lvl>
  </w:abstractNum>
  <w:abstractNum w:abstractNumId="1111">
    <w:nsid w:val="27AD79A9"/>
    <w:multiLevelType w:val="hybridMultilevel"/>
    <w:lvl w:ilvl="0">
      <w:lvlJc w:val="left"/>
      <w:lvlText w:val="•"/>
      <w:numFmt w:val="bullet"/>
      <w:start w:val="1"/>
    </w:lvl>
  </w:abstractNum>
  <w:abstractNum w:abstractNumId="1112">
    <w:nsid w:val="63E45EDB"/>
    <w:multiLevelType w:val="hybridMultilevel"/>
    <w:lvl w:ilvl="0">
      <w:lvlJc w:val="left"/>
      <w:lvlText w:val="•"/>
      <w:numFmt w:val="bullet"/>
      <w:start w:val="1"/>
    </w:lvl>
  </w:abstractNum>
  <w:abstractNum w:abstractNumId="1113">
    <w:nsid w:val="51861B3E"/>
    <w:multiLevelType w:val="hybridMultilevel"/>
    <w:lvl w:ilvl="0">
      <w:lvlJc w:val="left"/>
      <w:lvlText w:val="•"/>
      <w:numFmt w:val="bullet"/>
      <w:start w:val="1"/>
    </w:lvl>
  </w:abstractNum>
  <w:abstractNum w:abstractNumId="1114">
    <w:nsid w:val="1A57F4D4"/>
    <w:multiLevelType w:val="hybridMultilevel"/>
    <w:lvl w:ilvl="0">
      <w:lvlJc w:val="left"/>
      <w:lvlText w:val="•"/>
      <w:numFmt w:val="bullet"/>
      <w:start w:val="1"/>
    </w:lvl>
  </w:abstractNum>
  <w:abstractNum w:abstractNumId="1115">
    <w:nsid w:val="6E0A3C4C"/>
    <w:multiLevelType w:val="hybridMultilevel"/>
    <w:lvl w:ilvl="0">
      <w:lvlJc w:val="left"/>
      <w:lvlText w:val="•"/>
      <w:numFmt w:val="bullet"/>
      <w:start w:val="1"/>
    </w:lvl>
  </w:abstractNum>
  <w:abstractNum w:abstractNumId="1116">
    <w:nsid w:val="6DF7F752"/>
    <w:multiLevelType w:val="hybridMultilevel"/>
    <w:lvl w:ilvl="0">
      <w:lvlJc w:val="left"/>
      <w:lvlText w:val="•"/>
      <w:numFmt w:val="bullet"/>
      <w:start w:val="1"/>
    </w:lvl>
  </w:abstractNum>
  <w:abstractNum w:abstractNumId="1117">
    <w:nsid w:val="7AB94C9D"/>
    <w:multiLevelType w:val="hybridMultilevel"/>
    <w:lvl w:ilvl="0">
      <w:lvlJc w:val="left"/>
      <w:lvlText w:val="(%1)"/>
      <w:numFmt w:val="decimal"/>
      <w:start w:val="1"/>
    </w:lvl>
  </w:abstractNum>
  <w:abstractNum w:abstractNumId="1118">
    <w:nsid w:val="7C6C6A4D"/>
    <w:multiLevelType w:val="hybridMultilevel"/>
    <w:lvl w:ilvl="0">
      <w:lvlJc w:val="left"/>
      <w:lvlText w:val="(%1)"/>
      <w:numFmt w:val="decimal"/>
      <w:start w:val="3"/>
    </w:lvl>
  </w:abstractNum>
  <w:abstractNum w:abstractNumId="1119">
    <w:nsid w:val="64D46D75"/>
    <w:multiLevelType w:val="hybridMultilevel"/>
    <w:lvl w:ilvl="0">
      <w:lvlJc w:val="left"/>
      <w:lvlText w:val="•"/>
      <w:numFmt w:val="bullet"/>
      <w:start w:val="1"/>
    </w:lvl>
  </w:abstractNum>
  <w:abstractNum w:abstractNumId="1120">
    <w:nsid w:val="4845CE2F"/>
    <w:multiLevelType w:val="hybridMultilevel"/>
    <w:lvl w:ilvl="0">
      <w:lvlJc w:val="left"/>
      <w:lvlText w:val="•"/>
      <w:numFmt w:val="bullet"/>
      <w:start w:val="1"/>
    </w:lvl>
  </w:abstractNum>
  <w:abstractNum w:abstractNumId="1121">
    <w:nsid w:val="454F4987"/>
    <w:multiLevelType w:val="hybridMultilevel"/>
    <w:lvl w:ilvl="0">
      <w:lvlJc w:val="left"/>
      <w:lvlText w:val="(%1)"/>
      <w:numFmt w:val="lowerLetter"/>
      <w:start w:val="1"/>
    </w:lvl>
  </w:abstractNum>
  <w:abstractNum w:abstractNumId="1122">
    <w:nsid w:val="492F40D3"/>
    <w:multiLevelType w:val="hybridMultilevel"/>
    <w:lvl w:ilvl="0">
      <w:lvlJc w:val="left"/>
      <w:lvlText w:val="(%1)"/>
      <w:numFmt w:val="lowerLetter"/>
      <w:start w:val="4"/>
    </w:lvl>
  </w:abstractNum>
  <w:abstractNum w:abstractNumId="1123">
    <w:nsid w:val="538FF748"/>
    <w:multiLevelType w:val="hybridMultilevel"/>
    <w:lvl w:ilvl="0">
      <w:lvlJc w:val="left"/>
      <w:lvlText w:val="(%1)"/>
      <w:numFmt w:val="lowerLetter"/>
      <w:start w:val="7"/>
    </w:lvl>
  </w:abstractNum>
  <w:abstractNum w:abstractNumId="1124">
    <w:nsid w:val="10E55E3C"/>
    <w:multiLevelType w:val="hybridMultilevel"/>
    <w:lvl w:ilvl="0">
      <w:lvlJc w:val="left"/>
      <w:lvlText w:val="(%1)"/>
      <w:numFmt w:val="lowerLetter"/>
      <w:start w:val="10"/>
    </w:lvl>
  </w:abstractNum>
  <w:abstractNum w:abstractNumId="1125">
    <w:nsid w:val="7577C1FF"/>
    <w:multiLevelType w:val="hybridMultilevel"/>
    <w:lvl w:ilvl="0">
      <w:lvlJc w:val="left"/>
      <w:lvlText w:val="(%1)"/>
      <w:numFmt w:val="lowerLetter"/>
      <w:start w:val="11"/>
    </w:lvl>
  </w:abstractNum>
  <w:abstractNum w:abstractNumId="1126">
    <w:nsid w:val="37704640"/>
    <w:multiLevelType w:val="hybridMultilevel"/>
    <w:lvl w:ilvl="0">
      <w:lvlJc w:val="left"/>
      <w:lvlText w:val="•"/>
      <w:numFmt w:val="bullet"/>
      <w:start w:val="1"/>
    </w:lvl>
  </w:abstractNum>
  <w:abstractNum w:abstractNumId="1127">
    <w:nsid w:val="3D8D834F"/>
    <w:multiLevelType w:val="hybridMultilevel"/>
    <w:lvl w:ilvl="0">
      <w:lvlJc w:val="left"/>
      <w:lvlText w:val="•"/>
      <w:numFmt w:val="bullet"/>
      <w:start w:val="1"/>
    </w:lvl>
  </w:abstractNum>
  <w:abstractNum w:abstractNumId="1128">
    <w:nsid w:val="581D7974"/>
    <w:multiLevelType w:val="hybridMultilevel"/>
    <w:lvl w:ilvl="0">
      <w:lvlJc w:val="left"/>
      <w:lvlText w:val="(%1)"/>
      <w:numFmt w:val="lowerLetter"/>
      <w:start w:val="1"/>
    </w:lvl>
  </w:abstractNum>
  <w:abstractNum w:abstractNumId="1129">
    <w:nsid w:val="235F3983"/>
    <w:multiLevelType w:val="hybridMultilevel"/>
    <w:lvl w:ilvl="0">
      <w:lvlJc w:val="left"/>
      <w:lvlText w:val="(%1)"/>
      <w:numFmt w:val="lowerLetter"/>
      <w:start w:val="1"/>
    </w:lvl>
  </w:abstractNum>
  <w:abstractNum w:abstractNumId="1130">
    <w:nsid w:val="5BBDF82"/>
    <w:multiLevelType w:val="hybridMultilevel"/>
    <w:lvl w:ilvl="0">
      <w:lvlJc w:val="left"/>
      <w:lvlText w:val="(%1)"/>
      <w:numFmt w:val="lowerLetter"/>
      <w:start w:val="1"/>
    </w:lvl>
  </w:abstractNum>
  <w:abstractNum w:abstractNumId="1131">
    <w:nsid w:val="50688F61"/>
    <w:multiLevelType w:val="hybridMultilevel"/>
    <w:lvl w:ilvl="0">
      <w:lvlJc w:val="left"/>
      <w:lvlText w:val="(%1)"/>
      <w:numFmt w:val="lowerLetter"/>
      <w:start w:val="1"/>
    </w:lvl>
  </w:abstractNum>
  <w:abstractNum w:abstractNumId="1132">
    <w:nsid w:val="6D1B29EA"/>
    <w:multiLevelType w:val="hybridMultilevel"/>
    <w:lvl w:ilvl="0">
      <w:lvlJc w:val="left"/>
      <w:lvlText w:val="•"/>
      <w:numFmt w:val="bullet"/>
      <w:start w:val="1"/>
    </w:lvl>
  </w:abstractNum>
  <w:abstractNum w:abstractNumId="1133">
    <w:nsid w:val="4775F12A"/>
    <w:multiLevelType w:val="hybridMultilevel"/>
    <w:lvl w:ilvl="0">
      <w:lvlJc w:val="left"/>
      <w:lvlText w:val="•"/>
      <w:numFmt w:val="bullet"/>
      <w:start w:val="1"/>
    </w:lvl>
  </w:abstractNum>
  <w:abstractNum w:abstractNumId="1134">
    <w:nsid w:val="71CFCB2A"/>
    <w:multiLevelType w:val="hybridMultilevel"/>
    <w:lvl w:ilvl="0">
      <w:lvlJc w:val="left"/>
      <w:lvlText w:val="•"/>
      <w:numFmt w:val="bullet"/>
      <w:start w:val="1"/>
    </w:lvl>
  </w:abstractNum>
  <w:abstractNum w:abstractNumId="1135">
    <w:nsid w:val="32E9614A"/>
    <w:multiLevelType w:val="hybridMultilevel"/>
    <w:lvl w:ilvl="0">
      <w:lvlJc w:val="left"/>
      <w:lvlText w:val="•"/>
      <w:numFmt w:val="bullet"/>
      <w:start w:val="1"/>
    </w:lvl>
  </w:abstractNum>
  <w:abstractNum w:abstractNumId="1136">
    <w:nsid w:val="62BC9B1D"/>
    <w:multiLevelType w:val="hybridMultilevel"/>
    <w:lvl w:ilvl="0">
      <w:lvlJc w:val="left"/>
      <w:lvlText w:val="2"/>
      <w:numFmt w:val="bullet"/>
      <w:start w:val="1"/>
    </w:lvl>
  </w:abstractNum>
  <w:abstractNum w:abstractNumId="1137">
    <w:nsid w:val="12130ECA"/>
    <w:multiLevelType w:val="hybridMultilevel"/>
    <w:lvl w:ilvl="0">
      <w:lvlJc w:val="left"/>
      <w:lvlText w:val="•"/>
      <w:numFmt w:val="bullet"/>
      <w:start w:val="1"/>
    </w:lvl>
  </w:abstractNum>
  <w:abstractNum w:abstractNumId="1138">
    <w:nsid w:val="3702170C"/>
    <w:multiLevelType w:val="hybridMultilevel"/>
    <w:lvl w:ilvl="0">
      <w:lvlJc w:val="left"/>
      <w:lvlText w:val="•"/>
      <w:numFmt w:val="bullet"/>
      <w:start w:val="1"/>
    </w:lvl>
  </w:abstractNum>
  <w:abstractNum w:abstractNumId="1139">
    <w:nsid w:val="1FE7FDE4"/>
    <w:multiLevelType w:val="hybridMultilevel"/>
    <w:lvl w:ilvl="0">
      <w:lvlJc w:val="left"/>
      <w:lvlText w:val="•"/>
      <w:numFmt w:val="bullet"/>
      <w:start w:val="1"/>
    </w:lvl>
  </w:abstractNum>
  <w:abstractNum w:abstractNumId="1140">
    <w:nsid w:val="5AFBB8CE"/>
    <w:multiLevelType w:val="hybridMultilevel"/>
    <w:lvl w:ilvl="0">
      <w:lvlJc w:val="left"/>
      <w:lvlText w:val="•"/>
      <w:numFmt w:val="bullet"/>
      <w:start w:val="1"/>
    </w:lvl>
  </w:abstractNum>
  <w:abstractNum w:abstractNumId="1141">
    <w:nsid w:val="4818FF02"/>
    <w:multiLevelType w:val="hybridMultilevel"/>
    <w:lvl w:ilvl="0">
      <w:lvlJc w:val="left"/>
      <w:lvlText w:val="•"/>
      <w:numFmt w:val="bullet"/>
      <w:start w:val="1"/>
    </w:lvl>
  </w:abstractNum>
  <w:abstractNum w:abstractNumId="1142">
    <w:nsid w:val="4795778D"/>
    <w:multiLevelType w:val="hybridMultilevel"/>
    <w:lvl w:ilvl="0">
      <w:lvlJc w:val="left"/>
      <w:lvlText w:val="•"/>
      <w:numFmt w:val="bullet"/>
      <w:start w:val="1"/>
    </w:lvl>
  </w:abstractNum>
  <w:abstractNum w:abstractNumId="1143">
    <w:nsid w:val="3EE017A9"/>
    <w:multiLevelType w:val="hybridMultilevel"/>
    <w:lvl w:ilvl="0">
      <w:lvlJc w:val="left"/>
      <w:lvlText w:val="•"/>
      <w:numFmt w:val="bullet"/>
      <w:start w:val="1"/>
    </w:lvl>
  </w:abstractNum>
  <w:abstractNum w:abstractNumId="1144">
    <w:nsid w:val="199F1A40"/>
    <w:multiLevelType w:val="hybridMultilevel"/>
    <w:lvl w:ilvl="0">
      <w:lvlJc w:val="left"/>
      <w:lvlText w:val="•"/>
      <w:numFmt w:val="bullet"/>
      <w:start w:val="1"/>
    </w:lvl>
  </w:abstractNum>
  <w:abstractNum w:abstractNumId="1145">
    <w:nsid w:val="61ED6C62"/>
    <w:multiLevelType w:val="hybridMultilevel"/>
    <w:lvl w:ilvl="0">
      <w:lvlJc w:val="left"/>
      <w:lvlText w:val="•"/>
      <w:numFmt w:val="bullet"/>
      <w:start w:val="1"/>
    </w:lvl>
  </w:abstractNum>
  <w:abstractNum w:abstractNumId="1146">
    <w:nsid w:val="2CEA53F5"/>
    <w:multiLevelType w:val="hybridMultilevel"/>
    <w:lvl w:ilvl="0">
      <w:lvlJc w:val="left"/>
      <w:lvlText w:val="(%1)"/>
      <w:numFmt w:val="lowerLetter"/>
      <w:start w:val="1"/>
    </w:lvl>
  </w:abstractNum>
  <w:abstractNum w:abstractNumId="1147">
    <w:nsid w:val="7971193"/>
    <w:multiLevelType w:val="hybridMultilevel"/>
    <w:lvl w:ilvl="0">
      <w:lvlJc w:val="left"/>
      <w:lvlText w:val="3"/>
      <w:numFmt w:val="bullet"/>
      <w:start w:val="1"/>
    </w:lvl>
  </w:abstractNum>
  <w:abstractNum w:abstractNumId="1148">
    <w:nsid w:val="5CA6B8FF"/>
    <w:multiLevelType w:val="hybridMultilevel"/>
    <w:lvl w:ilvl="0">
      <w:lvlJc w:val="left"/>
      <w:lvlText w:val="(%1)"/>
      <w:numFmt w:val="lowerLetter"/>
      <w:start w:val="1"/>
    </w:lvl>
  </w:abstractNum>
  <w:abstractNum w:abstractNumId="1149">
    <w:nsid w:val="2956BE42"/>
    <w:multiLevelType w:val="hybridMultilevel"/>
    <w:lvl w:ilvl="0">
      <w:lvlJc w:val="left"/>
      <w:lvlText w:val="•"/>
      <w:numFmt w:val="bullet"/>
      <w:start w:val="1"/>
    </w:lvl>
  </w:abstractNum>
  <w:abstractNum w:abstractNumId="1150">
    <w:nsid w:val="6C6B7F08"/>
    <w:multiLevelType w:val="hybridMultilevel"/>
    <w:lvl w:ilvl="0">
      <w:lvlJc w:val="left"/>
      <w:lvlText w:val="•"/>
      <w:numFmt w:val="bullet"/>
      <w:start w:val="1"/>
    </w:lvl>
  </w:abstractNum>
  <w:abstractNum w:abstractNumId="1151">
    <w:nsid w:val="24EC872E"/>
    <w:multiLevelType w:val="hybridMultilevel"/>
    <w:lvl w:ilvl="0">
      <w:lvlJc w:val="left"/>
      <w:lvlText w:val="•"/>
      <w:numFmt w:val="bullet"/>
      <w:start w:val="1"/>
    </w:lvl>
  </w:abstractNum>
  <w:abstractNum w:abstractNumId="1152">
    <w:nsid w:val="6EA607C9"/>
    <w:multiLevelType w:val="hybridMultilevel"/>
    <w:lvl w:ilvl="0">
      <w:lvlJc w:val="left"/>
      <w:lvlText w:val="•"/>
      <w:numFmt w:val="bullet"/>
      <w:start w:val="1"/>
    </w:lvl>
  </w:abstractNum>
  <w:abstractNum w:abstractNumId="1153">
    <w:nsid w:val="359ABFDB"/>
    <w:multiLevelType w:val="hybridMultilevel"/>
    <w:lvl w:ilvl="0">
      <w:lvlJc w:val="left"/>
      <w:lvlText w:val="•"/>
      <w:numFmt w:val="bullet"/>
      <w:start w:val="1"/>
    </w:lvl>
  </w:abstractNum>
  <w:abstractNum w:abstractNumId="1154">
    <w:nsid w:val="787C7E76"/>
    <w:multiLevelType w:val="hybridMultilevel"/>
    <w:lvl w:ilvl="0">
      <w:lvlJc w:val="left"/>
      <w:lvlText w:val="•"/>
      <w:numFmt w:val="bullet"/>
      <w:start w:val="1"/>
    </w:lvl>
  </w:abstractNum>
  <w:abstractNum w:abstractNumId="1155">
    <w:nsid w:val="7F8B6605"/>
    <w:multiLevelType w:val="hybridMultilevel"/>
    <w:lvl w:ilvl="0">
      <w:lvlJc w:val="left"/>
      <w:lvlText w:val="•"/>
      <w:numFmt w:val="bullet"/>
      <w:start w:val="1"/>
    </w:lvl>
  </w:abstractNum>
  <w:abstractNum w:abstractNumId="1156">
    <w:nsid w:val="2B1281DB"/>
    <w:multiLevelType w:val="hybridMultilevel"/>
    <w:lvl w:ilvl="0">
      <w:lvlJc w:val="left"/>
      <w:lvlText w:val="•"/>
      <w:numFmt w:val="bullet"/>
      <w:start w:val="1"/>
    </w:lvl>
  </w:abstractNum>
  <w:abstractNum w:abstractNumId="1157">
    <w:nsid w:val="2FECC4B7"/>
    <w:multiLevelType w:val="hybridMultilevel"/>
    <w:lvl w:ilvl="0">
      <w:lvlJc w:val="left"/>
      <w:lvlText w:val="•"/>
      <w:numFmt w:val="bullet"/>
      <w:start w:val="1"/>
    </w:lvl>
  </w:abstractNum>
  <w:abstractNum w:abstractNumId="1158">
    <w:nsid w:val="3D18E954"/>
    <w:multiLevelType w:val="hybridMultilevel"/>
    <w:lvl w:ilvl="0">
      <w:lvlJc w:val="left"/>
      <w:lvlText w:val="(%1)"/>
      <w:numFmt w:val="decimal"/>
      <w:start w:val="1"/>
    </w:lvl>
  </w:abstractNum>
  <w:abstractNum w:abstractNumId="1159">
    <w:nsid w:val="32FFB4F"/>
    <w:multiLevelType w:val="hybridMultilevel"/>
    <w:lvl w:ilvl="0">
      <w:lvlJc w:val="left"/>
      <w:lvlText w:val="(%1)"/>
      <w:numFmt w:val="decimal"/>
      <w:start w:val="1"/>
    </w:lvl>
  </w:abstractNum>
  <w:abstractNum w:abstractNumId="1160">
    <w:nsid w:val="534BFE3A"/>
    <w:multiLevelType w:val="hybridMultilevel"/>
    <w:lvl w:ilvl="0">
      <w:lvlJc w:val="left"/>
      <w:lvlText w:val="•"/>
      <w:numFmt w:val="bullet"/>
      <w:start w:val="1"/>
    </w:lvl>
  </w:abstractNum>
  <w:abstractNum w:abstractNumId="1161">
    <w:nsid w:val="42D4C8D6"/>
    <w:multiLevelType w:val="hybridMultilevel"/>
    <w:lvl w:ilvl="0">
      <w:lvlJc w:val="left"/>
      <w:lvlText w:val="•"/>
      <w:numFmt w:val="bullet"/>
      <w:start w:val="1"/>
    </w:lvl>
  </w:abstractNum>
  <w:abstractNum w:abstractNumId="1162">
    <w:nsid w:val="53988AB0"/>
    <w:multiLevelType w:val="hybridMultilevel"/>
    <w:lvl w:ilvl="0">
      <w:lvlJc w:val="left"/>
      <w:lvlText w:val="(%1)"/>
      <w:numFmt w:val="decimal"/>
      <w:start w:val="2"/>
    </w:lvl>
  </w:abstractNum>
  <w:abstractNum w:abstractNumId="1163">
    <w:nsid w:val="40672824"/>
    <w:multiLevelType w:val="hybridMultilevel"/>
    <w:lvl w:ilvl="0">
      <w:lvlJc w:val="left"/>
      <w:lvlText w:val="•"/>
      <w:numFmt w:val="bullet"/>
      <w:start w:val="1"/>
    </w:lvl>
  </w:abstractNum>
  <w:abstractNum w:abstractNumId="1164">
    <w:nsid w:val="A4ABA00"/>
    <w:multiLevelType w:val="hybridMultilevel"/>
    <w:lvl w:ilvl="0">
      <w:lvlJc w:val="left"/>
      <w:lvlText w:val="(%1)"/>
      <w:numFmt w:val="lowerLetter"/>
      <w:start w:val="1"/>
    </w:lvl>
  </w:abstractNum>
  <w:abstractNum w:abstractNumId="1165">
    <w:nsid w:val="456855DA"/>
    <w:multiLevelType w:val="hybridMultilevel"/>
    <w:lvl w:ilvl="0">
      <w:lvlJc w:val="left"/>
      <w:lvlText w:val="•"/>
      <w:numFmt w:val="bullet"/>
      <w:start w:val="1"/>
    </w:lvl>
  </w:abstractNum>
  <w:abstractNum w:abstractNumId="1166">
    <w:nsid w:val="7350896E"/>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64"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138" Type="http://schemas.openxmlformats.org/officeDocument/2006/relationships/image" Target="media/image124.png"/><Relationship Id="rId139" Type="http://schemas.openxmlformats.org/officeDocument/2006/relationships/image" Target="media/image125.png"/><Relationship Id="rId140" Type="http://schemas.openxmlformats.org/officeDocument/2006/relationships/image" Target="media/image126.png"/><Relationship Id="rId141" Type="http://schemas.openxmlformats.org/officeDocument/2006/relationships/image" Target="media/image127.png"/><Relationship Id="rId142" Type="http://schemas.openxmlformats.org/officeDocument/2006/relationships/image" Target="media/image128.png"/><Relationship Id="rId143" Type="http://schemas.openxmlformats.org/officeDocument/2006/relationships/image" Target="media/image129.png"/><Relationship Id="rId144" Type="http://schemas.openxmlformats.org/officeDocument/2006/relationships/image" Target="media/image130.png"/><Relationship Id="rId145" Type="http://schemas.openxmlformats.org/officeDocument/2006/relationships/image" Target="media/image131.png"/><Relationship Id="rId146" Type="http://schemas.openxmlformats.org/officeDocument/2006/relationships/image" Target="media/image132.png"/><Relationship Id="rId147" Type="http://schemas.openxmlformats.org/officeDocument/2006/relationships/image" Target="media/image133.png"/><Relationship Id="rId148" Type="http://schemas.openxmlformats.org/officeDocument/2006/relationships/image" Target="media/image134.png"/><Relationship Id="rId149" Type="http://schemas.openxmlformats.org/officeDocument/2006/relationships/image" Target="media/image135.png"/><Relationship Id="rId150" Type="http://schemas.openxmlformats.org/officeDocument/2006/relationships/image" Target="media/image136.png"/><Relationship Id="rId151" Type="http://schemas.openxmlformats.org/officeDocument/2006/relationships/image" Target="media/image137.png"/><Relationship Id="rId152" Type="http://schemas.openxmlformats.org/officeDocument/2006/relationships/image" Target="media/image138.png"/><Relationship Id="rId153" Type="http://schemas.openxmlformats.org/officeDocument/2006/relationships/image" Target="media/image139.png"/><Relationship Id="rId154" Type="http://schemas.openxmlformats.org/officeDocument/2006/relationships/image" Target="media/image140.png"/><Relationship Id="rId155" Type="http://schemas.openxmlformats.org/officeDocument/2006/relationships/image" Target="media/image141.png"/><Relationship Id="rId156" Type="http://schemas.openxmlformats.org/officeDocument/2006/relationships/image" Target="media/image142.png"/><Relationship Id="rId157" Type="http://schemas.openxmlformats.org/officeDocument/2006/relationships/image" Target="media/image143.png"/><Relationship Id="rId158" Type="http://schemas.openxmlformats.org/officeDocument/2006/relationships/image" Target="media/image144.png"/><Relationship Id="rId159" Type="http://schemas.openxmlformats.org/officeDocument/2006/relationships/image" Target="media/image145.png"/><Relationship Id="rId160" Type="http://schemas.openxmlformats.org/officeDocument/2006/relationships/image" Target="media/image146.png"/><Relationship Id="rId161" Type="http://schemas.openxmlformats.org/officeDocument/2006/relationships/image" Target="media/image147.png"/><Relationship Id="rId162" Type="http://schemas.openxmlformats.org/officeDocument/2006/relationships/image" Target="media/image148.png"/><Relationship Id="rId163" Type="http://schemas.openxmlformats.org/officeDocument/2006/relationships/image" Target="media/image149.png"/><Relationship Id="rId164" Type="http://schemas.openxmlformats.org/officeDocument/2006/relationships/image" Target="media/image150.png"/><Relationship Id="rId165" Type="http://schemas.openxmlformats.org/officeDocument/2006/relationships/image" Target="media/image151.png"/><Relationship Id="rId166" Type="http://schemas.openxmlformats.org/officeDocument/2006/relationships/image" Target="media/image152.png"/><Relationship Id="rId167" Type="http://schemas.openxmlformats.org/officeDocument/2006/relationships/image" Target="media/image153.png"/><Relationship Id="rId168" Type="http://schemas.openxmlformats.org/officeDocument/2006/relationships/image" Target="media/image154.png"/><Relationship Id="rId169" Type="http://schemas.openxmlformats.org/officeDocument/2006/relationships/image" Target="media/image155.png"/><Relationship Id="rId170" Type="http://schemas.openxmlformats.org/officeDocument/2006/relationships/image" Target="media/image156.png"/><Relationship Id="rId171" Type="http://schemas.openxmlformats.org/officeDocument/2006/relationships/image" Target="media/image157.png"/><Relationship Id="rId172" Type="http://schemas.openxmlformats.org/officeDocument/2006/relationships/image" Target="media/image158.png"/><Relationship Id="rId173" Type="http://schemas.openxmlformats.org/officeDocument/2006/relationships/image" Target="media/image159.png"/><Relationship Id="rId174" Type="http://schemas.openxmlformats.org/officeDocument/2006/relationships/image" Target="media/image160.png"/><Relationship Id="rId175" Type="http://schemas.openxmlformats.org/officeDocument/2006/relationships/image" Target="media/image161.png"/><Relationship Id="rId176" Type="http://schemas.openxmlformats.org/officeDocument/2006/relationships/image" Target="media/image162.png"/><Relationship Id="rId177" Type="http://schemas.openxmlformats.org/officeDocument/2006/relationships/image" Target="media/image163.png"/><Relationship Id="rId178" Type="http://schemas.openxmlformats.org/officeDocument/2006/relationships/image" Target="media/image164.png"/><Relationship Id="rId179" Type="http://schemas.openxmlformats.org/officeDocument/2006/relationships/image" Target="media/image165.png"/><Relationship Id="rId180" Type="http://schemas.openxmlformats.org/officeDocument/2006/relationships/image" Target="media/image166.png"/><Relationship Id="rId181" Type="http://schemas.openxmlformats.org/officeDocument/2006/relationships/image" Target="media/image167.png"/><Relationship Id="rId182" Type="http://schemas.openxmlformats.org/officeDocument/2006/relationships/image" Target="media/image168.png"/><Relationship Id="rId183" Type="http://schemas.openxmlformats.org/officeDocument/2006/relationships/image" Target="media/image169.png"/><Relationship Id="rId184" Type="http://schemas.openxmlformats.org/officeDocument/2006/relationships/image" Target="media/image170.png"/><Relationship Id="rId185" Type="http://schemas.openxmlformats.org/officeDocument/2006/relationships/image" Target="media/image171.png"/><Relationship Id="rId186" Type="http://schemas.openxmlformats.org/officeDocument/2006/relationships/image" Target="media/image172.png"/><Relationship Id="rId187" Type="http://schemas.openxmlformats.org/officeDocument/2006/relationships/image" Target="media/image173.png"/><Relationship Id="rId188" Type="http://schemas.openxmlformats.org/officeDocument/2006/relationships/image" Target="media/image174.png"/><Relationship Id="rId189" Type="http://schemas.openxmlformats.org/officeDocument/2006/relationships/image" Target="media/image175.png"/><Relationship Id="rId190" Type="http://schemas.openxmlformats.org/officeDocument/2006/relationships/image" Target="media/image176.png"/><Relationship Id="rId191" Type="http://schemas.openxmlformats.org/officeDocument/2006/relationships/image" Target="media/image177.png"/><Relationship Id="rId192" Type="http://schemas.openxmlformats.org/officeDocument/2006/relationships/image" Target="media/image178.png"/><Relationship Id="rId193" Type="http://schemas.openxmlformats.org/officeDocument/2006/relationships/image" Target="media/image179.png"/><Relationship Id="rId194" Type="http://schemas.openxmlformats.org/officeDocument/2006/relationships/image" Target="media/image180.png"/><Relationship Id="rId195" Type="http://schemas.openxmlformats.org/officeDocument/2006/relationships/image" Target="media/image181.png"/><Relationship Id="rId196" Type="http://schemas.openxmlformats.org/officeDocument/2006/relationships/image" Target="media/image182.png"/><Relationship Id="rId197" Type="http://schemas.openxmlformats.org/officeDocument/2006/relationships/image" Target="media/image183.png"/><Relationship Id="rId198" Type="http://schemas.openxmlformats.org/officeDocument/2006/relationships/image" Target="media/image184.png"/><Relationship Id="rId199" Type="http://schemas.openxmlformats.org/officeDocument/2006/relationships/image" Target="media/image185.png"/><Relationship Id="rId200" Type="http://schemas.openxmlformats.org/officeDocument/2006/relationships/image" Target="media/image186.png"/><Relationship Id="rId201" Type="http://schemas.openxmlformats.org/officeDocument/2006/relationships/image" Target="media/image187.png"/><Relationship Id="rId202" Type="http://schemas.openxmlformats.org/officeDocument/2006/relationships/image" Target="media/image188.png"/><Relationship Id="rId203" Type="http://schemas.openxmlformats.org/officeDocument/2006/relationships/image" Target="media/image189.png"/><Relationship Id="rId204" Type="http://schemas.openxmlformats.org/officeDocument/2006/relationships/image" Target="media/image190.png"/><Relationship Id="rId205" Type="http://schemas.openxmlformats.org/officeDocument/2006/relationships/image" Target="media/image191.png"/><Relationship Id="rId206"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12" Type="http://schemas.openxmlformats.org/officeDocument/2006/relationships/image" Target="media/image198.png"/><Relationship Id="rId213" Type="http://schemas.openxmlformats.org/officeDocument/2006/relationships/image" Target="media/image199.png"/><Relationship Id="rId214" Type="http://schemas.openxmlformats.org/officeDocument/2006/relationships/image" Target="media/image200.png"/><Relationship Id="rId215" Type="http://schemas.openxmlformats.org/officeDocument/2006/relationships/image" Target="media/image201.png"/><Relationship Id="rId216" Type="http://schemas.openxmlformats.org/officeDocument/2006/relationships/image" Target="media/image202.png"/><Relationship Id="rId217" Type="http://schemas.openxmlformats.org/officeDocument/2006/relationships/image" Target="media/image203.png"/><Relationship Id="rId218" Type="http://schemas.openxmlformats.org/officeDocument/2006/relationships/image" Target="media/image204.png"/><Relationship Id="rId219" Type="http://schemas.openxmlformats.org/officeDocument/2006/relationships/image" Target="media/image205.png"/><Relationship Id="rId220" Type="http://schemas.openxmlformats.org/officeDocument/2006/relationships/image" Target="media/image206.png"/><Relationship Id="rId221" Type="http://schemas.openxmlformats.org/officeDocument/2006/relationships/image" Target="media/image207.png"/><Relationship Id="rId222" Type="http://schemas.openxmlformats.org/officeDocument/2006/relationships/image" Target="media/image208.png"/><Relationship Id="rId223" Type="http://schemas.openxmlformats.org/officeDocument/2006/relationships/image" Target="media/image209.png"/><Relationship Id="rId224" Type="http://schemas.openxmlformats.org/officeDocument/2006/relationships/image" Target="media/image210.png"/><Relationship Id="rId225" Type="http://schemas.openxmlformats.org/officeDocument/2006/relationships/image" Target="media/image211.png"/><Relationship Id="rId226" Type="http://schemas.openxmlformats.org/officeDocument/2006/relationships/image" Target="media/image212.png"/><Relationship Id="rId227" Type="http://schemas.openxmlformats.org/officeDocument/2006/relationships/image" Target="media/image213.png"/><Relationship Id="rId228" Type="http://schemas.openxmlformats.org/officeDocument/2006/relationships/image" Target="media/image214.png"/><Relationship Id="rId229" Type="http://schemas.openxmlformats.org/officeDocument/2006/relationships/image" Target="media/image215.png"/><Relationship Id="rId230" Type="http://schemas.openxmlformats.org/officeDocument/2006/relationships/image" Target="media/image216.png"/><Relationship Id="rId231" Type="http://schemas.openxmlformats.org/officeDocument/2006/relationships/image" Target="media/image217.png"/><Relationship Id="rId232" Type="http://schemas.openxmlformats.org/officeDocument/2006/relationships/image" Target="media/image218.png"/><Relationship Id="rId233" Type="http://schemas.openxmlformats.org/officeDocument/2006/relationships/image" Target="media/image219.png"/><Relationship Id="rId234" Type="http://schemas.openxmlformats.org/officeDocument/2006/relationships/image" Target="media/image220.png"/><Relationship Id="rId235" Type="http://schemas.openxmlformats.org/officeDocument/2006/relationships/image" Target="media/image221.png"/><Relationship Id="rId236" Type="http://schemas.openxmlformats.org/officeDocument/2006/relationships/image" Target="media/image222.png"/><Relationship Id="rId237" Type="http://schemas.openxmlformats.org/officeDocument/2006/relationships/image" Target="media/image223.png"/><Relationship Id="rId238" Type="http://schemas.openxmlformats.org/officeDocument/2006/relationships/image" Target="media/image224.png"/><Relationship Id="rId239" Type="http://schemas.openxmlformats.org/officeDocument/2006/relationships/image" Target="media/image225.png"/><Relationship Id="rId240" Type="http://schemas.openxmlformats.org/officeDocument/2006/relationships/image" Target="media/image226.png"/><Relationship Id="rId241" Type="http://schemas.openxmlformats.org/officeDocument/2006/relationships/image" Target="media/image227.png"/><Relationship Id="rId242" Type="http://schemas.openxmlformats.org/officeDocument/2006/relationships/image" Target="media/image228.png"/><Relationship Id="rId243" Type="http://schemas.openxmlformats.org/officeDocument/2006/relationships/image" Target="media/image229.png"/><Relationship Id="rId244" Type="http://schemas.openxmlformats.org/officeDocument/2006/relationships/image" Target="media/image230.png"/><Relationship Id="rId245" Type="http://schemas.openxmlformats.org/officeDocument/2006/relationships/image" Target="media/image231.png"/><Relationship Id="rId246" Type="http://schemas.openxmlformats.org/officeDocument/2006/relationships/image" Target="media/image232.png"/><Relationship Id="rId247" Type="http://schemas.openxmlformats.org/officeDocument/2006/relationships/image" Target="media/image233.png"/><Relationship Id="rId248" Type="http://schemas.openxmlformats.org/officeDocument/2006/relationships/image" Target="media/image234.png"/><Relationship Id="rId249" Type="http://schemas.openxmlformats.org/officeDocument/2006/relationships/image" Target="media/image235.png"/><Relationship Id="rId250" Type="http://schemas.openxmlformats.org/officeDocument/2006/relationships/image" Target="media/image236.png"/><Relationship Id="rId251" Type="http://schemas.openxmlformats.org/officeDocument/2006/relationships/image" Target="media/image237.png"/><Relationship Id="rId252" Type="http://schemas.openxmlformats.org/officeDocument/2006/relationships/image" Target="media/image238.png"/><Relationship Id="rId253" Type="http://schemas.openxmlformats.org/officeDocument/2006/relationships/image" Target="media/image239.png"/><Relationship Id="rId254" Type="http://schemas.openxmlformats.org/officeDocument/2006/relationships/image" Target="media/image240.png"/><Relationship Id="rId255" Type="http://schemas.openxmlformats.org/officeDocument/2006/relationships/image" Target="media/image241.png"/><Relationship Id="rId256" Type="http://schemas.openxmlformats.org/officeDocument/2006/relationships/image" Target="media/image242.png"/><Relationship Id="rId257" Type="http://schemas.openxmlformats.org/officeDocument/2006/relationships/image" Target="media/image243.png"/><Relationship Id="rId258" Type="http://schemas.openxmlformats.org/officeDocument/2006/relationships/image" Target="media/image244.png"/><Relationship Id="rId259" Type="http://schemas.openxmlformats.org/officeDocument/2006/relationships/image" Target="media/image245.png"/><Relationship Id="rId260" Type="http://schemas.openxmlformats.org/officeDocument/2006/relationships/image" Target="media/image246.png"/><Relationship Id="rId261" Type="http://schemas.openxmlformats.org/officeDocument/2006/relationships/image" Target="media/image247.png"/><Relationship Id="rId262" Type="http://schemas.openxmlformats.org/officeDocument/2006/relationships/image" Target="media/image248.png"/><Relationship Id="rId263" Type="http://schemas.openxmlformats.org/officeDocument/2006/relationships/image" Target="media/image249.png"/><Relationship Id="rId264" Type="http://schemas.openxmlformats.org/officeDocument/2006/relationships/image" Target="media/image250.png"/><Relationship Id="rId265" Type="http://schemas.openxmlformats.org/officeDocument/2006/relationships/image" Target="media/image251.png"/><Relationship Id="rId266" Type="http://schemas.openxmlformats.org/officeDocument/2006/relationships/image" Target="media/image252.png"/><Relationship Id="rId267" Type="http://schemas.openxmlformats.org/officeDocument/2006/relationships/image" Target="media/image253.png"/><Relationship Id="rId268" Type="http://schemas.openxmlformats.org/officeDocument/2006/relationships/image" Target="media/image254.png"/><Relationship Id="rId269" Type="http://schemas.openxmlformats.org/officeDocument/2006/relationships/image" Target="media/image255.png"/><Relationship Id="rId270" Type="http://schemas.openxmlformats.org/officeDocument/2006/relationships/image" Target="media/image256.png"/><Relationship Id="rId271" Type="http://schemas.openxmlformats.org/officeDocument/2006/relationships/image" Target="media/image257.png"/><Relationship Id="rId272" Type="http://schemas.openxmlformats.org/officeDocument/2006/relationships/image" Target="media/image258.png"/><Relationship Id="rId273" Type="http://schemas.openxmlformats.org/officeDocument/2006/relationships/image" Target="media/image259.png"/><Relationship Id="rId274" Type="http://schemas.openxmlformats.org/officeDocument/2006/relationships/image" Target="media/image260.png"/><Relationship Id="rId275" Type="http://schemas.openxmlformats.org/officeDocument/2006/relationships/image" Target="media/image261.png"/><Relationship Id="rId276" Type="http://schemas.openxmlformats.org/officeDocument/2006/relationships/image" Target="media/image262.png"/><Relationship Id="rId277" Type="http://schemas.openxmlformats.org/officeDocument/2006/relationships/image" Target="media/image263.png"/><Relationship Id="rId278" Type="http://schemas.openxmlformats.org/officeDocument/2006/relationships/image" Target="media/image264.png"/><Relationship Id="rId279" Type="http://schemas.openxmlformats.org/officeDocument/2006/relationships/image" Target="media/image265.png"/><Relationship Id="rId280" Type="http://schemas.openxmlformats.org/officeDocument/2006/relationships/image" Target="media/image266.png"/><Relationship Id="rId281" Type="http://schemas.openxmlformats.org/officeDocument/2006/relationships/image" Target="media/image267.png"/><Relationship Id="rId282" Type="http://schemas.openxmlformats.org/officeDocument/2006/relationships/image" Target="media/image268.png"/><Relationship Id="rId283" Type="http://schemas.openxmlformats.org/officeDocument/2006/relationships/image" Target="media/image269.png"/><Relationship Id="rId284" Type="http://schemas.openxmlformats.org/officeDocument/2006/relationships/image" Target="media/image270.png"/><Relationship Id="rId285" Type="http://schemas.openxmlformats.org/officeDocument/2006/relationships/image" Target="media/image271.png"/><Relationship Id="rId286" Type="http://schemas.openxmlformats.org/officeDocument/2006/relationships/image" Target="media/image272.png"/><Relationship Id="rId287" Type="http://schemas.openxmlformats.org/officeDocument/2006/relationships/image" Target="media/image273.png"/><Relationship Id="rId288" Type="http://schemas.openxmlformats.org/officeDocument/2006/relationships/image" Target="media/image274.png"/><Relationship Id="rId289" Type="http://schemas.openxmlformats.org/officeDocument/2006/relationships/image" Target="media/image275.png"/><Relationship Id="rId290" Type="http://schemas.openxmlformats.org/officeDocument/2006/relationships/image" Target="media/image276.png"/><Relationship Id="rId291" Type="http://schemas.openxmlformats.org/officeDocument/2006/relationships/image" Target="media/image277.png"/><Relationship Id="rId292" Type="http://schemas.openxmlformats.org/officeDocument/2006/relationships/image" Target="media/image278.png"/><Relationship Id="rId293" Type="http://schemas.openxmlformats.org/officeDocument/2006/relationships/image" Target="media/image279.png"/><Relationship Id="rId294" Type="http://schemas.openxmlformats.org/officeDocument/2006/relationships/image" Target="media/image280.png"/><Relationship Id="rId295" Type="http://schemas.openxmlformats.org/officeDocument/2006/relationships/image" Target="media/image281.png"/><Relationship Id="rId296" Type="http://schemas.openxmlformats.org/officeDocument/2006/relationships/image" Target="media/image282.png"/><Relationship Id="rId297" Type="http://schemas.openxmlformats.org/officeDocument/2006/relationships/image" Target="media/image283.png"/><Relationship Id="rId298" Type="http://schemas.openxmlformats.org/officeDocument/2006/relationships/image" Target="media/image284.png"/><Relationship Id="rId299" Type="http://schemas.openxmlformats.org/officeDocument/2006/relationships/image" Target="media/image285.png"/><Relationship Id="rId300" Type="http://schemas.openxmlformats.org/officeDocument/2006/relationships/image" Target="media/image286.png"/><Relationship Id="rId301" Type="http://schemas.openxmlformats.org/officeDocument/2006/relationships/image" Target="media/image287.png"/><Relationship Id="rId302" Type="http://schemas.openxmlformats.org/officeDocument/2006/relationships/image" Target="media/image288.png"/><Relationship Id="rId303" Type="http://schemas.openxmlformats.org/officeDocument/2006/relationships/image" Target="media/image289.png"/><Relationship Id="rId304" Type="http://schemas.openxmlformats.org/officeDocument/2006/relationships/image" Target="media/image290.png"/><Relationship Id="rId305" Type="http://schemas.openxmlformats.org/officeDocument/2006/relationships/image" Target="media/image291.png"/><Relationship Id="rId306" Type="http://schemas.openxmlformats.org/officeDocument/2006/relationships/image" Target="media/image292.png"/><Relationship Id="rId307" Type="http://schemas.openxmlformats.org/officeDocument/2006/relationships/image" Target="media/image293.png"/><Relationship Id="rId308" Type="http://schemas.openxmlformats.org/officeDocument/2006/relationships/image" Target="media/image294.png"/><Relationship Id="rId309" Type="http://schemas.openxmlformats.org/officeDocument/2006/relationships/image" Target="media/image295.png"/><Relationship Id="rId310" Type="http://schemas.openxmlformats.org/officeDocument/2006/relationships/image" Target="media/image296.png"/><Relationship Id="rId311" Type="http://schemas.openxmlformats.org/officeDocument/2006/relationships/image" Target="media/image297.png"/><Relationship Id="rId312" Type="http://schemas.openxmlformats.org/officeDocument/2006/relationships/image" Target="media/image298.png"/><Relationship Id="rId313" Type="http://schemas.openxmlformats.org/officeDocument/2006/relationships/image" Target="media/image299.png"/><Relationship Id="rId314" Type="http://schemas.openxmlformats.org/officeDocument/2006/relationships/image" Target="media/image300.png"/><Relationship Id="rId315" Type="http://schemas.openxmlformats.org/officeDocument/2006/relationships/image" Target="media/image301.png"/><Relationship Id="rId316" Type="http://schemas.openxmlformats.org/officeDocument/2006/relationships/image" Target="media/image302.png"/><Relationship Id="rId317" Type="http://schemas.openxmlformats.org/officeDocument/2006/relationships/image" Target="media/image303.png"/><Relationship Id="rId318" Type="http://schemas.openxmlformats.org/officeDocument/2006/relationships/image" Target="media/image304.png"/><Relationship Id="rId319" Type="http://schemas.openxmlformats.org/officeDocument/2006/relationships/image" Target="media/image305.png"/><Relationship Id="rId320" Type="http://schemas.openxmlformats.org/officeDocument/2006/relationships/image" Target="media/image306.png"/><Relationship Id="rId321" Type="http://schemas.openxmlformats.org/officeDocument/2006/relationships/image" Target="media/image307.png"/><Relationship Id="rId322" Type="http://schemas.openxmlformats.org/officeDocument/2006/relationships/image" Target="media/image308.png"/><Relationship Id="rId323" Type="http://schemas.openxmlformats.org/officeDocument/2006/relationships/image" Target="media/image309.png"/><Relationship Id="rId324" Type="http://schemas.openxmlformats.org/officeDocument/2006/relationships/image" Target="media/image310.png"/><Relationship Id="rId325" Type="http://schemas.openxmlformats.org/officeDocument/2006/relationships/image" Target="media/image311.png"/><Relationship Id="rId326" Type="http://schemas.openxmlformats.org/officeDocument/2006/relationships/image" Target="media/image312.png"/><Relationship Id="rId327" Type="http://schemas.openxmlformats.org/officeDocument/2006/relationships/image" Target="media/image313.png"/><Relationship Id="rId328" Type="http://schemas.openxmlformats.org/officeDocument/2006/relationships/image" Target="media/image314.png"/><Relationship Id="rId329" Type="http://schemas.openxmlformats.org/officeDocument/2006/relationships/image" Target="media/image315.png"/><Relationship Id="rId330" Type="http://schemas.openxmlformats.org/officeDocument/2006/relationships/image" Target="media/image316.png"/><Relationship Id="rId331" Type="http://schemas.openxmlformats.org/officeDocument/2006/relationships/image" Target="media/image317.png"/><Relationship Id="rId332" Type="http://schemas.openxmlformats.org/officeDocument/2006/relationships/image" Target="media/image318.png"/><Relationship Id="rId333" Type="http://schemas.openxmlformats.org/officeDocument/2006/relationships/image" Target="media/image319.png"/><Relationship Id="rId334" Type="http://schemas.openxmlformats.org/officeDocument/2006/relationships/image" Target="media/image320.png"/><Relationship Id="rId335" Type="http://schemas.openxmlformats.org/officeDocument/2006/relationships/image" Target="media/image321.png"/><Relationship Id="rId336" Type="http://schemas.openxmlformats.org/officeDocument/2006/relationships/image" Target="media/image322.png"/><Relationship Id="rId337" Type="http://schemas.openxmlformats.org/officeDocument/2006/relationships/image" Target="media/image323.png"/><Relationship Id="rId338" Type="http://schemas.openxmlformats.org/officeDocument/2006/relationships/image" Target="media/image324.png"/><Relationship Id="rId339" Type="http://schemas.openxmlformats.org/officeDocument/2006/relationships/image" Target="media/image325.png"/><Relationship Id="rId340" Type="http://schemas.openxmlformats.org/officeDocument/2006/relationships/image" Target="media/image326.png"/><Relationship Id="rId341" Type="http://schemas.openxmlformats.org/officeDocument/2006/relationships/image" Target="media/image327.png"/><Relationship Id="rId342" Type="http://schemas.openxmlformats.org/officeDocument/2006/relationships/image" Target="media/image328.png"/><Relationship Id="rId343" Type="http://schemas.openxmlformats.org/officeDocument/2006/relationships/image" Target="media/image329.png"/><Relationship Id="rId344" Type="http://schemas.openxmlformats.org/officeDocument/2006/relationships/image" Target="media/image330.png"/><Relationship Id="rId345" Type="http://schemas.openxmlformats.org/officeDocument/2006/relationships/image" Target="media/image331.png"/><Relationship Id="rId346" Type="http://schemas.openxmlformats.org/officeDocument/2006/relationships/image" Target="media/image332.png"/><Relationship Id="rId347" Type="http://schemas.openxmlformats.org/officeDocument/2006/relationships/image" Target="media/image333.png"/><Relationship Id="rId348" Type="http://schemas.openxmlformats.org/officeDocument/2006/relationships/image" Target="media/image334.png"/><Relationship Id="rId349" Type="http://schemas.openxmlformats.org/officeDocument/2006/relationships/image" Target="media/image335.png"/><Relationship Id="rId350" Type="http://schemas.openxmlformats.org/officeDocument/2006/relationships/image" Target="media/image336.png"/><Relationship Id="rId351" Type="http://schemas.openxmlformats.org/officeDocument/2006/relationships/image" Target="media/image337.png"/><Relationship Id="rId352" Type="http://schemas.openxmlformats.org/officeDocument/2006/relationships/image" Target="media/image338.png"/><Relationship Id="rId353" Type="http://schemas.openxmlformats.org/officeDocument/2006/relationships/image" Target="media/image339.png"/><Relationship Id="rId354" Type="http://schemas.openxmlformats.org/officeDocument/2006/relationships/image" Target="media/image340.png"/><Relationship Id="rId355" Type="http://schemas.openxmlformats.org/officeDocument/2006/relationships/image" Target="media/image341.png"/><Relationship Id="rId356" Type="http://schemas.openxmlformats.org/officeDocument/2006/relationships/image" Target="media/image342.png"/><Relationship Id="rId357" Type="http://schemas.openxmlformats.org/officeDocument/2006/relationships/image" Target="media/image343.png"/><Relationship Id="rId358" Type="http://schemas.openxmlformats.org/officeDocument/2006/relationships/image" Target="media/image344.png"/><Relationship Id="rId359" Type="http://schemas.openxmlformats.org/officeDocument/2006/relationships/image" Target="media/image345.png"/><Relationship Id="rId360" Type="http://schemas.openxmlformats.org/officeDocument/2006/relationships/image" Target="media/image346.png"/><Relationship Id="rId361" Type="http://schemas.openxmlformats.org/officeDocument/2006/relationships/image" Target="media/image347.png"/><Relationship Id="rId362" Type="http://schemas.openxmlformats.org/officeDocument/2006/relationships/image" Target="media/image348.png"/><Relationship Id="rId363" Type="http://schemas.openxmlformats.org/officeDocument/2006/relationships/image" Target="media/image349.png"/><Relationship Id="rId364" Type="http://schemas.openxmlformats.org/officeDocument/2006/relationships/image" Target="media/image350.png"/><Relationship Id="rId365" Type="http://schemas.openxmlformats.org/officeDocument/2006/relationships/image" Target="media/image351.png"/><Relationship Id="rId366" Type="http://schemas.openxmlformats.org/officeDocument/2006/relationships/image" Target="media/image352.png"/><Relationship Id="rId367" Type="http://schemas.openxmlformats.org/officeDocument/2006/relationships/image" Target="media/image353.png"/><Relationship Id="rId368" Type="http://schemas.openxmlformats.org/officeDocument/2006/relationships/image" Target="media/image354.png"/><Relationship Id="rId369" Type="http://schemas.openxmlformats.org/officeDocument/2006/relationships/image" Target="media/image355.png"/><Relationship Id="rId370" Type="http://schemas.openxmlformats.org/officeDocument/2006/relationships/image" Target="media/image356.png"/><Relationship Id="rId371" Type="http://schemas.openxmlformats.org/officeDocument/2006/relationships/image" Target="media/image357.png"/><Relationship Id="rId372" Type="http://schemas.openxmlformats.org/officeDocument/2006/relationships/image" Target="media/image358.png"/><Relationship Id="rId373" Type="http://schemas.openxmlformats.org/officeDocument/2006/relationships/image" Target="media/image359.png"/><Relationship Id="rId374" Type="http://schemas.openxmlformats.org/officeDocument/2006/relationships/image" Target="media/image360.png"/><Relationship Id="rId375" Type="http://schemas.openxmlformats.org/officeDocument/2006/relationships/image" Target="media/image361.png"/><Relationship Id="rId376" Type="http://schemas.openxmlformats.org/officeDocument/2006/relationships/image" Target="media/image362.png"/><Relationship Id="rId377" Type="http://schemas.openxmlformats.org/officeDocument/2006/relationships/image" Target="media/image363.png"/><Relationship Id="rId378" Type="http://schemas.openxmlformats.org/officeDocument/2006/relationships/image" Target="media/image364.png"/><Relationship Id="rId379" Type="http://schemas.openxmlformats.org/officeDocument/2006/relationships/image" Target="media/image365.png"/><Relationship Id="rId380" Type="http://schemas.openxmlformats.org/officeDocument/2006/relationships/image" Target="media/image366.png"/><Relationship Id="rId381" Type="http://schemas.openxmlformats.org/officeDocument/2006/relationships/image" Target="media/image367.png"/><Relationship Id="rId382"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pn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pn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672" Type="http://schemas.openxmlformats.org/officeDocument/2006/relationships/image" Target="media/image658.png"/><Relationship Id="rId673" Type="http://schemas.openxmlformats.org/officeDocument/2006/relationships/image" Target="media/image659.png"/><Relationship Id="rId674" Type="http://schemas.openxmlformats.org/officeDocument/2006/relationships/image" Target="media/image660.png"/><Relationship Id="rId675" Type="http://schemas.openxmlformats.org/officeDocument/2006/relationships/image" Target="media/image661.png"/><Relationship Id="rId676" Type="http://schemas.openxmlformats.org/officeDocument/2006/relationships/image" Target="media/image662.png"/><Relationship Id="rId677" Type="http://schemas.openxmlformats.org/officeDocument/2006/relationships/image" Target="media/image663.png"/><Relationship Id="rId678" Type="http://schemas.openxmlformats.org/officeDocument/2006/relationships/image" Target="media/image664.png"/><Relationship Id="rId679" Type="http://schemas.openxmlformats.org/officeDocument/2006/relationships/image" Target="media/image665.png"/><Relationship Id="rId680" Type="http://schemas.openxmlformats.org/officeDocument/2006/relationships/image" Target="media/image666.png"/><Relationship Id="rId681" Type="http://schemas.openxmlformats.org/officeDocument/2006/relationships/image" Target="media/image667.png"/><Relationship Id="rId682" Type="http://schemas.openxmlformats.org/officeDocument/2006/relationships/image" Target="media/image668.png"/><Relationship Id="rId683" Type="http://schemas.openxmlformats.org/officeDocument/2006/relationships/image" Target="media/image669.png"/><Relationship Id="rId684" Type="http://schemas.openxmlformats.org/officeDocument/2006/relationships/image" Target="media/image670.png"/><Relationship Id="rId685" Type="http://schemas.openxmlformats.org/officeDocument/2006/relationships/image" Target="media/image671.png"/><Relationship Id="rId686" Type="http://schemas.openxmlformats.org/officeDocument/2006/relationships/image" Target="media/image672.png"/><Relationship Id="rId687" Type="http://schemas.openxmlformats.org/officeDocument/2006/relationships/image" Target="media/image673.png"/><Relationship Id="rId688" Type="http://schemas.openxmlformats.org/officeDocument/2006/relationships/image" Target="media/image674.png"/><Relationship Id="rId689" Type="http://schemas.openxmlformats.org/officeDocument/2006/relationships/image" Target="media/image675.png"/><Relationship Id="rId690" Type="http://schemas.openxmlformats.org/officeDocument/2006/relationships/image" Target="media/image676.png"/><Relationship Id="rId691" Type="http://schemas.openxmlformats.org/officeDocument/2006/relationships/image" Target="media/image677.png"/><Relationship Id="rId692" Type="http://schemas.openxmlformats.org/officeDocument/2006/relationships/image" Target="media/image678.png"/><Relationship Id="rId693" Type="http://schemas.openxmlformats.org/officeDocument/2006/relationships/image" Target="media/image679.png"/><Relationship Id="rId694" Type="http://schemas.openxmlformats.org/officeDocument/2006/relationships/image" Target="media/image680.png"/><Relationship Id="rId695" Type="http://schemas.openxmlformats.org/officeDocument/2006/relationships/image" Target="media/image681.png"/><Relationship Id="rId696" Type="http://schemas.openxmlformats.org/officeDocument/2006/relationships/image" Target="media/image682.png"/><Relationship Id="rId697" Type="http://schemas.openxmlformats.org/officeDocument/2006/relationships/image" Target="media/image683.png"/><Relationship Id="rId698" Type="http://schemas.openxmlformats.org/officeDocument/2006/relationships/image" Target="media/image684.png"/><Relationship Id="rId699" Type="http://schemas.openxmlformats.org/officeDocument/2006/relationships/image" Target="media/image685.png"/><Relationship Id="rId700" Type="http://schemas.openxmlformats.org/officeDocument/2006/relationships/image" Target="media/image686.png"/><Relationship Id="rId701" Type="http://schemas.openxmlformats.org/officeDocument/2006/relationships/image" Target="media/image687.png"/><Relationship Id="rId702" Type="http://schemas.openxmlformats.org/officeDocument/2006/relationships/image" Target="media/image688.png"/><Relationship Id="rId703" Type="http://schemas.openxmlformats.org/officeDocument/2006/relationships/image" Target="media/image689.png"/><Relationship Id="rId704" Type="http://schemas.openxmlformats.org/officeDocument/2006/relationships/image" Target="media/image690.png"/><Relationship Id="rId705" Type="http://schemas.openxmlformats.org/officeDocument/2006/relationships/image" Target="media/image691.png"/><Relationship Id="rId706" Type="http://schemas.openxmlformats.org/officeDocument/2006/relationships/image" Target="media/image692.png"/><Relationship Id="rId707" Type="http://schemas.openxmlformats.org/officeDocument/2006/relationships/image" Target="media/image693.png"/><Relationship Id="rId708" Type="http://schemas.openxmlformats.org/officeDocument/2006/relationships/image" Target="media/image694.png"/><Relationship Id="rId709" Type="http://schemas.openxmlformats.org/officeDocument/2006/relationships/image" Target="media/image695.png"/><Relationship Id="rId710" Type="http://schemas.openxmlformats.org/officeDocument/2006/relationships/image" Target="media/image696.png"/><Relationship Id="rId711" Type="http://schemas.openxmlformats.org/officeDocument/2006/relationships/image" Target="media/image697.png"/><Relationship Id="rId712" Type="http://schemas.openxmlformats.org/officeDocument/2006/relationships/image" Target="media/image698.png"/><Relationship Id="rId713" Type="http://schemas.openxmlformats.org/officeDocument/2006/relationships/image" Target="media/image699.png"/><Relationship Id="rId714" Type="http://schemas.openxmlformats.org/officeDocument/2006/relationships/image" Target="media/image700.png"/><Relationship Id="rId715" Type="http://schemas.openxmlformats.org/officeDocument/2006/relationships/image" Target="media/image701.png"/><Relationship Id="rId716" Type="http://schemas.openxmlformats.org/officeDocument/2006/relationships/image" Target="media/image702.png"/><Relationship Id="rId717" Type="http://schemas.openxmlformats.org/officeDocument/2006/relationships/image" Target="media/image703.png"/><Relationship Id="rId718" Type="http://schemas.openxmlformats.org/officeDocument/2006/relationships/image" Target="media/image704.png"/><Relationship Id="rId719" Type="http://schemas.openxmlformats.org/officeDocument/2006/relationships/image" Target="media/image705.png"/><Relationship Id="rId720" Type="http://schemas.openxmlformats.org/officeDocument/2006/relationships/image" Target="media/image706.png"/><Relationship Id="rId721" Type="http://schemas.openxmlformats.org/officeDocument/2006/relationships/image" Target="media/image707.png"/><Relationship Id="rId722" Type="http://schemas.openxmlformats.org/officeDocument/2006/relationships/image" Target="media/image708.png"/><Relationship Id="rId723" Type="http://schemas.openxmlformats.org/officeDocument/2006/relationships/image" Target="media/image709.png"/><Relationship Id="rId724" Type="http://schemas.openxmlformats.org/officeDocument/2006/relationships/image" Target="media/image710.png"/><Relationship Id="rId725" Type="http://schemas.openxmlformats.org/officeDocument/2006/relationships/image" Target="media/image711.png"/><Relationship Id="rId726" Type="http://schemas.openxmlformats.org/officeDocument/2006/relationships/image" Target="media/image712.png"/><Relationship Id="rId727" Type="http://schemas.openxmlformats.org/officeDocument/2006/relationships/image" Target="media/image713.png"/><Relationship Id="rId728" Type="http://schemas.openxmlformats.org/officeDocument/2006/relationships/image" Target="media/image714.png"/><Relationship Id="rId729" Type="http://schemas.openxmlformats.org/officeDocument/2006/relationships/image" Target="media/image715.png"/><Relationship Id="rId730" Type="http://schemas.openxmlformats.org/officeDocument/2006/relationships/image" Target="media/image716.png"/><Relationship Id="rId731" Type="http://schemas.openxmlformats.org/officeDocument/2006/relationships/image" Target="media/image717.png"/><Relationship Id="rId732" Type="http://schemas.openxmlformats.org/officeDocument/2006/relationships/image" Target="media/image718.png"/><Relationship Id="rId733" Type="http://schemas.openxmlformats.org/officeDocument/2006/relationships/image" Target="media/image719.png"/><Relationship Id="rId734" Type="http://schemas.openxmlformats.org/officeDocument/2006/relationships/image" Target="media/image720.png"/><Relationship Id="rId735" Type="http://schemas.openxmlformats.org/officeDocument/2006/relationships/image" Target="media/image721.png"/><Relationship Id="rId736" Type="http://schemas.openxmlformats.org/officeDocument/2006/relationships/image" Target="media/image722.png"/><Relationship Id="rId737" Type="http://schemas.openxmlformats.org/officeDocument/2006/relationships/image" Target="media/image723.png"/><Relationship Id="rId738" Type="http://schemas.openxmlformats.org/officeDocument/2006/relationships/image" Target="media/image724.png"/><Relationship Id="rId739" Type="http://schemas.openxmlformats.org/officeDocument/2006/relationships/image" Target="media/image725.png"/><Relationship Id="rId740" Type="http://schemas.openxmlformats.org/officeDocument/2006/relationships/image" Target="media/image726.png"/><Relationship Id="rId741" Type="http://schemas.openxmlformats.org/officeDocument/2006/relationships/image" Target="media/image727.png"/><Relationship Id="rId742" Type="http://schemas.openxmlformats.org/officeDocument/2006/relationships/image" Target="media/image728.png"/><Relationship Id="rId743" Type="http://schemas.openxmlformats.org/officeDocument/2006/relationships/image" Target="media/image729.png"/><Relationship Id="rId744" Type="http://schemas.openxmlformats.org/officeDocument/2006/relationships/image" Target="media/image730.png"/><Relationship Id="rId745" Type="http://schemas.openxmlformats.org/officeDocument/2006/relationships/image" Target="media/image731.png"/><Relationship Id="rId746" Type="http://schemas.openxmlformats.org/officeDocument/2006/relationships/image" Target="media/image732.png"/><Relationship Id="rId747" Type="http://schemas.openxmlformats.org/officeDocument/2006/relationships/image" Target="media/image733.png"/><Relationship Id="rId748" Type="http://schemas.openxmlformats.org/officeDocument/2006/relationships/image" Target="media/image734.png"/><Relationship Id="rId749" Type="http://schemas.openxmlformats.org/officeDocument/2006/relationships/image" Target="media/image735.png"/><Relationship Id="rId750" Type="http://schemas.openxmlformats.org/officeDocument/2006/relationships/image" Target="media/image736.png"/><Relationship Id="rId751" Type="http://schemas.openxmlformats.org/officeDocument/2006/relationships/image" Target="media/image737.png"/><Relationship Id="rId752" Type="http://schemas.openxmlformats.org/officeDocument/2006/relationships/image" Target="media/image738.png"/><Relationship Id="rId753" Type="http://schemas.openxmlformats.org/officeDocument/2006/relationships/image" Target="media/image739.png"/><Relationship Id="rId754" Type="http://schemas.openxmlformats.org/officeDocument/2006/relationships/image" Target="media/image740.png"/><Relationship Id="rId755" Type="http://schemas.openxmlformats.org/officeDocument/2006/relationships/image" Target="media/image741.png"/><Relationship Id="rId756" Type="http://schemas.openxmlformats.org/officeDocument/2006/relationships/image" Target="media/image742.png"/><Relationship Id="rId757" Type="http://schemas.openxmlformats.org/officeDocument/2006/relationships/image" Target="media/image743.png"/><Relationship Id="rId758" Type="http://schemas.openxmlformats.org/officeDocument/2006/relationships/image" Target="media/image744.png"/><Relationship Id="rId759" Type="http://schemas.openxmlformats.org/officeDocument/2006/relationships/image" Target="media/image745.png"/><Relationship Id="rId760" Type="http://schemas.openxmlformats.org/officeDocument/2006/relationships/image" Target="media/image746.png"/><Relationship Id="rId761" Type="http://schemas.openxmlformats.org/officeDocument/2006/relationships/image" Target="media/image747.png"/><Relationship Id="rId762" Type="http://schemas.openxmlformats.org/officeDocument/2006/relationships/image" Target="media/image748.png"/><Relationship Id="rId763" Type="http://schemas.openxmlformats.org/officeDocument/2006/relationships/image" Target="media/image749.png"/><Relationship Id="rId764" Type="http://schemas.openxmlformats.org/officeDocument/2006/relationships/image" Target="media/image750.png"/><Relationship Id="rId765" Type="http://schemas.openxmlformats.org/officeDocument/2006/relationships/image" Target="media/image751.png"/><Relationship Id="rId766" Type="http://schemas.openxmlformats.org/officeDocument/2006/relationships/image" Target="media/image752.png"/><Relationship Id="rId767" Type="http://schemas.openxmlformats.org/officeDocument/2006/relationships/image" Target="media/image753.png"/><Relationship Id="rId768" Type="http://schemas.openxmlformats.org/officeDocument/2006/relationships/image" Target="media/image754.png"/><Relationship Id="rId769" Type="http://schemas.openxmlformats.org/officeDocument/2006/relationships/image" Target="media/image755.png"/><Relationship Id="rId770" Type="http://schemas.openxmlformats.org/officeDocument/2006/relationships/image" Target="media/image756.png"/><Relationship Id="rId771" Type="http://schemas.openxmlformats.org/officeDocument/2006/relationships/image" Target="media/image757.png"/><Relationship Id="rId772" Type="http://schemas.openxmlformats.org/officeDocument/2006/relationships/image" Target="media/image758.png"/><Relationship Id="rId773" Type="http://schemas.openxmlformats.org/officeDocument/2006/relationships/image" Target="media/image759.png"/><Relationship Id="rId774" Type="http://schemas.openxmlformats.org/officeDocument/2006/relationships/image" Target="media/image760.png"/><Relationship Id="rId775" Type="http://schemas.openxmlformats.org/officeDocument/2006/relationships/image" Target="media/image761.png"/><Relationship Id="rId776" Type="http://schemas.openxmlformats.org/officeDocument/2006/relationships/image" Target="media/image762.png"/><Relationship Id="rId777" Type="http://schemas.openxmlformats.org/officeDocument/2006/relationships/image" Target="media/image763.png"/><Relationship Id="rId778" Type="http://schemas.openxmlformats.org/officeDocument/2006/relationships/image" Target="media/image764.png"/><Relationship Id="rId779" Type="http://schemas.openxmlformats.org/officeDocument/2006/relationships/image" Target="media/image765.png"/><Relationship Id="rId780" Type="http://schemas.openxmlformats.org/officeDocument/2006/relationships/image" Target="media/image766.png"/><Relationship Id="rId781" Type="http://schemas.openxmlformats.org/officeDocument/2006/relationships/image" Target="media/image767.png"/><Relationship Id="rId782" Type="http://schemas.openxmlformats.org/officeDocument/2006/relationships/image" Target="media/image768.png"/><Relationship Id="rId783" Type="http://schemas.openxmlformats.org/officeDocument/2006/relationships/image" Target="media/image769.png"/><Relationship Id="rId784" Type="http://schemas.openxmlformats.org/officeDocument/2006/relationships/image" Target="media/image770.png"/><Relationship Id="rId785" Type="http://schemas.openxmlformats.org/officeDocument/2006/relationships/image" Target="media/image771.png"/><Relationship Id="rId786" Type="http://schemas.openxmlformats.org/officeDocument/2006/relationships/image" Target="media/image772.png"/><Relationship Id="rId787" Type="http://schemas.openxmlformats.org/officeDocument/2006/relationships/image" Target="media/image773.png"/><Relationship Id="rId788" Type="http://schemas.openxmlformats.org/officeDocument/2006/relationships/image" Target="media/image774.png"/><Relationship Id="rId789" Type="http://schemas.openxmlformats.org/officeDocument/2006/relationships/image" Target="media/image775.png"/><Relationship Id="rId790" Type="http://schemas.openxmlformats.org/officeDocument/2006/relationships/image" Target="media/image776.png"/><Relationship Id="rId791" Type="http://schemas.openxmlformats.org/officeDocument/2006/relationships/image" Target="media/image777.png"/><Relationship Id="rId792" Type="http://schemas.openxmlformats.org/officeDocument/2006/relationships/image" Target="media/image778.png"/><Relationship Id="rId793" Type="http://schemas.openxmlformats.org/officeDocument/2006/relationships/image" Target="media/image779.png"/><Relationship Id="rId794" Type="http://schemas.openxmlformats.org/officeDocument/2006/relationships/image" Target="media/image780.png"/><Relationship Id="rId795" Type="http://schemas.openxmlformats.org/officeDocument/2006/relationships/image" Target="media/image781.png"/><Relationship Id="rId796" Type="http://schemas.openxmlformats.org/officeDocument/2006/relationships/image" Target="media/image782.png"/><Relationship Id="rId797" Type="http://schemas.openxmlformats.org/officeDocument/2006/relationships/image" Target="media/image783.png"/><Relationship Id="rId798" Type="http://schemas.openxmlformats.org/officeDocument/2006/relationships/image" Target="media/image784.png"/><Relationship Id="rId799" Type="http://schemas.openxmlformats.org/officeDocument/2006/relationships/image" Target="media/image785.png"/><Relationship Id="rId800" Type="http://schemas.openxmlformats.org/officeDocument/2006/relationships/image" Target="media/image786.png"/><Relationship Id="rId801" Type="http://schemas.openxmlformats.org/officeDocument/2006/relationships/image" Target="media/image787.png"/><Relationship Id="rId802" Type="http://schemas.openxmlformats.org/officeDocument/2006/relationships/image" Target="media/image788.png"/><Relationship Id="rId803" Type="http://schemas.openxmlformats.org/officeDocument/2006/relationships/image" Target="media/image789.png"/><Relationship Id="rId804" Type="http://schemas.openxmlformats.org/officeDocument/2006/relationships/image" Target="media/image790.png"/><Relationship Id="rId805" Type="http://schemas.openxmlformats.org/officeDocument/2006/relationships/image" Target="media/image791.png"/><Relationship Id="rId806" Type="http://schemas.openxmlformats.org/officeDocument/2006/relationships/image" Target="media/image792.png"/><Relationship Id="rId807" Type="http://schemas.openxmlformats.org/officeDocument/2006/relationships/image" Target="media/image793.png"/><Relationship Id="rId808" Type="http://schemas.openxmlformats.org/officeDocument/2006/relationships/image" Target="media/image794.png"/><Relationship Id="rId809" Type="http://schemas.openxmlformats.org/officeDocument/2006/relationships/image" Target="media/image795.png"/><Relationship Id="rId810" Type="http://schemas.openxmlformats.org/officeDocument/2006/relationships/image" Target="media/image796.png"/><Relationship Id="rId811" Type="http://schemas.openxmlformats.org/officeDocument/2006/relationships/image" Target="media/image797.png"/><Relationship Id="rId812" Type="http://schemas.openxmlformats.org/officeDocument/2006/relationships/image" Target="media/image798.png"/><Relationship Id="rId813" Type="http://schemas.openxmlformats.org/officeDocument/2006/relationships/image" Target="media/image799.png"/><Relationship Id="rId814" Type="http://schemas.openxmlformats.org/officeDocument/2006/relationships/image" Target="media/image800.png"/><Relationship Id="rId815" Type="http://schemas.openxmlformats.org/officeDocument/2006/relationships/image" Target="media/image801.png"/><Relationship Id="rId816" Type="http://schemas.openxmlformats.org/officeDocument/2006/relationships/image" Target="media/image802.png"/><Relationship Id="rId817" Type="http://schemas.openxmlformats.org/officeDocument/2006/relationships/image" Target="media/image803.png"/><Relationship Id="rId818" Type="http://schemas.openxmlformats.org/officeDocument/2006/relationships/image" Target="media/image804.png"/><Relationship Id="rId819" Type="http://schemas.openxmlformats.org/officeDocument/2006/relationships/image" Target="media/image805.png"/><Relationship Id="rId820" Type="http://schemas.openxmlformats.org/officeDocument/2006/relationships/image" Target="media/image806.png"/><Relationship Id="rId821" Type="http://schemas.openxmlformats.org/officeDocument/2006/relationships/image" Target="media/image807.png"/><Relationship Id="rId822" Type="http://schemas.openxmlformats.org/officeDocument/2006/relationships/image" Target="media/image808.png"/><Relationship Id="rId823" Type="http://schemas.openxmlformats.org/officeDocument/2006/relationships/image" Target="media/image809.png"/><Relationship Id="rId824" Type="http://schemas.openxmlformats.org/officeDocument/2006/relationships/image" Target="media/image810.png"/><Relationship Id="rId825" Type="http://schemas.openxmlformats.org/officeDocument/2006/relationships/image" Target="media/image811.png"/><Relationship Id="rId826" Type="http://schemas.openxmlformats.org/officeDocument/2006/relationships/image" Target="media/image812.png"/><Relationship Id="rId827" Type="http://schemas.openxmlformats.org/officeDocument/2006/relationships/image" Target="media/image813.png"/><Relationship Id="rId828" Type="http://schemas.openxmlformats.org/officeDocument/2006/relationships/image" Target="media/image814.jpeg"/><Relationship Id="rId829" Type="http://schemas.openxmlformats.org/officeDocument/2006/relationships/image" Target="media/image815.png"/><Relationship Id="rId830" Type="http://schemas.openxmlformats.org/officeDocument/2006/relationships/image" Target="media/image816.png"/><Relationship Id="rId831" Type="http://schemas.openxmlformats.org/officeDocument/2006/relationships/image" Target="media/image817.png"/><Relationship Id="rId832" Type="http://schemas.openxmlformats.org/officeDocument/2006/relationships/image" Target="media/image818.png"/><Relationship Id="rId833" Type="http://schemas.openxmlformats.org/officeDocument/2006/relationships/image" Target="media/image819.png"/><Relationship Id="rId834" Type="http://schemas.openxmlformats.org/officeDocument/2006/relationships/image" Target="media/image820.png"/><Relationship Id="rId835" Type="http://schemas.openxmlformats.org/officeDocument/2006/relationships/image" Target="media/image821.png"/><Relationship Id="rId836" Type="http://schemas.openxmlformats.org/officeDocument/2006/relationships/image" Target="media/image822.png"/><Relationship Id="rId837" Type="http://schemas.openxmlformats.org/officeDocument/2006/relationships/image" Target="media/image823.png"/><Relationship Id="rId838" Type="http://schemas.openxmlformats.org/officeDocument/2006/relationships/image" Target="media/image824.png"/><Relationship Id="rId839" Type="http://schemas.openxmlformats.org/officeDocument/2006/relationships/image" Target="media/image825.png"/><Relationship Id="rId840" Type="http://schemas.openxmlformats.org/officeDocument/2006/relationships/image" Target="media/image826.png"/><Relationship Id="rId841" Type="http://schemas.openxmlformats.org/officeDocument/2006/relationships/image" Target="media/image827.png"/><Relationship Id="rId842" Type="http://schemas.openxmlformats.org/officeDocument/2006/relationships/image" Target="media/image828.png"/><Relationship Id="rId843" Type="http://schemas.openxmlformats.org/officeDocument/2006/relationships/image" Target="media/image829.png"/><Relationship Id="rId844" Type="http://schemas.openxmlformats.org/officeDocument/2006/relationships/image" Target="media/image830.png"/><Relationship Id="rId845" Type="http://schemas.openxmlformats.org/officeDocument/2006/relationships/image" Target="media/image831.png"/><Relationship Id="rId846" Type="http://schemas.openxmlformats.org/officeDocument/2006/relationships/image" Target="media/image832.png"/><Relationship Id="rId847" Type="http://schemas.openxmlformats.org/officeDocument/2006/relationships/image" Target="media/image833.png"/><Relationship Id="rId848" Type="http://schemas.openxmlformats.org/officeDocument/2006/relationships/image" Target="media/image834.png"/><Relationship Id="rId849" Type="http://schemas.openxmlformats.org/officeDocument/2006/relationships/image" Target="media/image835.png"/><Relationship Id="rId850" Type="http://schemas.openxmlformats.org/officeDocument/2006/relationships/image" Target="media/image836.png"/><Relationship Id="rId851" Type="http://schemas.openxmlformats.org/officeDocument/2006/relationships/image" Target="media/image837.png"/><Relationship Id="rId852" Type="http://schemas.openxmlformats.org/officeDocument/2006/relationships/image" Target="media/image838.png"/><Relationship Id="rId853" Type="http://schemas.openxmlformats.org/officeDocument/2006/relationships/image" Target="media/image839.png"/><Relationship Id="rId854" Type="http://schemas.openxmlformats.org/officeDocument/2006/relationships/image" Target="media/image840.png"/><Relationship Id="rId855" Type="http://schemas.openxmlformats.org/officeDocument/2006/relationships/image" Target="media/image841.png"/><Relationship Id="rId856" Type="http://schemas.openxmlformats.org/officeDocument/2006/relationships/image" Target="media/image842.png"/><Relationship Id="rId857" Type="http://schemas.openxmlformats.org/officeDocument/2006/relationships/image" Target="media/image843.png"/><Relationship Id="rId858" Type="http://schemas.openxmlformats.org/officeDocument/2006/relationships/image" Target="media/image844.png"/><Relationship Id="rId859" Type="http://schemas.openxmlformats.org/officeDocument/2006/relationships/image" Target="media/image845.png"/><Relationship Id="rId860" Type="http://schemas.openxmlformats.org/officeDocument/2006/relationships/image" Target="media/image846.png"/><Relationship Id="rId861" Type="http://schemas.openxmlformats.org/officeDocument/2006/relationships/image" Target="media/image847.png"/><Relationship Id="rId862" Type="http://schemas.openxmlformats.org/officeDocument/2006/relationships/image" Target="media/image848.png"/><Relationship Id="rId863" Type="http://schemas.openxmlformats.org/officeDocument/2006/relationships/image" Target="media/image849.png"/><Relationship Id="rId864" Type="http://schemas.openxmlformats.org/officeDocument/2006/relationships/image" Target="media/image850.png"/><Relationship Id="rId865" Type="http://schemas.openxmlformats.org/officeDocument/2006/relationships/image" Target="media/image851.png"/><Relationship Id="rId866" Type="http://schemas.openxmlformats.org/officeDocument/2006/relationships/image" Target="media/image852.png"/><Relationship Id="rId867" Type="http://schemas.openxmlformats.org/officeDocument/2006/relationships/image" Target="media/image853.png"/><Relationship Id="rId868" Type="http://schemas.openxmlformats.org/officeDocument/2006/relationships/image" Target="media/image854.png"/><Relationship Id="rId869" Type="http://schemas.openxmlformats.org/officeDocument/2006/relationships/image" Target="media/image855.png"/><Relationship Id="rId870" Type="http://schemas.openxmlformats.org/officeDocument/2006/relationships/image" Target="media/image856.png"/><Relationship Id="rId871" Type="http://schemas.openxmlformats.org/officeDocument/2006/relationships/image" Target="media/image857.png"/><Relationship Id="rId872" Type="http://schemas.openxmlformats.org/officeDocument/2006/relationships/image" Target="media/image858.png"/><Relationship Id="rId873" Type="http://schemas.openxmlformats.org/officeDocument/2006/relationships/image" Target="media/image859.png"/><Relationship Id="rId874" Type="http://schemas.openxmlformats.org/officeDocument/2006/relationships/image" Target="media/image860.png"/><Relationship Id="rId875" Type="http://schemas.openxmlformats.org/officeDocument/2006/relationships/image" Target="media/image861.png"/><Relationship Id="rId876" Type="http://schemas.openxmlformats.org/officeDocument/2006/relationships/image" Target="media/image862.png"/><Relationship Id="rId877" Type="http://schemas.openxmlformats.org/officeDocument/2006/relationships/image" Target="media/image863.png"/><Relationship Id="rId878" Type="http://schemas.openxmlformats.org/officeDocument/2006/relationships/image" Target="media/image864.png"/><Relationship Id="rId879" Type="http://schemas.openxmlformats.org/officeDocument/2006/relationships/image" Target="media/image865.png"/><Relationship Id="rId880" Type="http://schemas.openxmlformats.org/officeDocument/2006/relationships/image" Target="media/image866.png"/><Relationship Id="rId881" Type="http://schemas.openxmlformats.org/officeDocument/2006/relationships/image" Target="media/image867.png"/><Relationship Id="rId882" Type="http://schemas.openxmlformats.org/officeDocument/2006/relationships/image" Target="media/image868.png"/><Relationship Id="rId883" Type="http://schemas.openxmlformats.org/officeDocument/2006/relationships/image" Target="media/image869.png"/><Relationship Id="rId884" Type="http://schemas.openxmlformats.org/officeDocument/2006/relationships/image" Target="media/image870.png"/><Relationship Id="rId885" Type="http://schemas.openxmlformats.org/officeDocument/2006/relationships/image" Target="media/image871.png"/><Relationship Id="rId886" Type="http://schemas.openxmlformats.org/officeDocument/2006/relationships/image" Target="media/image872.png"/><Relationship Id="rId887" Type="http://schemas.openxmlformats.org/officeDocument/2006/relationships/image" Target="media/image873.png"/><Relationship Id="rId888" Type="http://schemas.openxmlformats.org/officeDocument/2006/relationships/image" Target="media/image874.png"/><Relationship Id="rId889" Type="http://schemas.openxmlformats.org/officeDocument/2006/relationships/image" Target="media/image875.png"/><Relationship Id="rId890" Type="http://schemas.openxmlformats.org/officeDocument/2006/relationships/image" Target="media/image876.png"/><Relationship Id="rId891" Type="http://schemas.openxmlformats.org/officeDocument/2006/relationships/image" Target="media/image877.png"/><Relationship Id="rId892" Type="http://schemas.openxmlformats.org/officeDocument/2006/relationships/image" Target="media/image878.png"/><Relationship Id="rId893" Type="http://schemas.openxmlformats.org/officeDocument/2006/relationships/image" Target="media/image879.png"/><Relationship Id="rId894" Type="http://schemas.openxmlformats.org/officeDocument/2006/relationships/image" Target="media/image880.png"/><Relationship Id="rId895" Type="http://schemas.openxmlformats.org/officeDocument/2006/relationships/image" Target="media/image881.png"/><Relationship Id="rId896" Type="http://schemas.openxmlformats.org/officeDocument/2006/relationships/image" Target="media/image882.png"/><Relationship Id="rId897" Type="http://schemas.openxmlformats.org/officeDocument/2006/relationships/image" Target="media/image883.png"/><Relationship Id="rId898" Type="http://schemas.openxmlformats.org/officeDocument/2006/relationships/image" Target="media/image884.png"/><Relationship Id="rId899" Type="http://schemas.openxmlformats.org/officeDocument/2006/relationships/image" Target="media/image885.png"/><Relationship Id="rId900" Type="http://schemas.openxmlformats.org/officeDocument/2006/relationships/image" Target="media/image886.png"/><Relationship Id="rId901" Type="http://schemas.openxmlformats.org/officeDocument/2006/relationships/image" Target="media/image887.png"/><Relationship Id="rId902" Type="http://schemas.openxmlformats.org/officeDocument/2006/relationships/image" Target="media/image888.png"/><Relationship Id="rId903" Type="http://schemas.openxmlformats.org/officeDocument/2006/relationships/image" Target="media/image889.png"/><Relationship Id="rId904" Type="http://schemas.openxmlformats.org/officeDocument/2006/relationships/image" Target="media/image890.png"/><Relationship Id="rId905" Type="http://schemas.openxmlformats.org/officeDocument/2006/relationships/image" Target="media/image891.png"/><Relationship Id="rId906" Type="http://schemas.openxmlformats.org/officeDocument/2006/relationships/image" Target="media/image892.png"/><Relationship Id="rId907" Type="http://schemas.openxmlformats.org/officeDocument/2006/relationships/image" Target="media/image893.png"/><Relationship Id="rId908" Type="http://schemas.openxmlformats.org/officeDocument/2006/relationships/image" Target="media/image894.png"/><Relationship Id="rId909" Type="http://schemas.openxmlformats.org/officeDocument/2006/relationships/image" Target="media/image895.png"/><Relationship Id="rId910" Type="http://schemas.openxmlformats.org/officeDocument/2006/relationships/image" Target="media/image896.png"/><Relationship Id="rId911" Type="http://schemas.openxmlformats.org/officeDocument/2006/relationships/image" Target="media/image897.png"/><Relationship Id="rId912" Type="http://schemas.openxmlformats.org/officeDocument/2006/relationships/image" Target="media/image898.png"/><Relationship Id="rId913" Type="http://schemas.openxmlformats.org/officeDocument/2006/relationships/image" Target="media/image899.png"/><Relationship Id="rId914" Type="http://schemas.openxmlformats.org/officeDocument/2006/relationships/image" Target="media/image900.png"/><Relationship Id="rId915" Type="http://schemas.openxmlformats.org/officeDocument/2006/relationships/image" Target="media/image901.png"/><Relationship Id="rId916" Type="http://schemas.openxmlformats.org/officeDocument/2006/relationships/image" Target="media/image902.png"/><Relationship Id="rId917" Type="http://schemas.openxmlformats.org/officeDocument/2006/relationships/image" Target="media/image903.png"/><Relationship Id="rId918" Type="http://schemas.openxmlformats.org/officeDocument/2006/relationships/image" Target="media/image904.png"/><Relationship Id="rId919" Type="http://schemas.openxmlformats.org/officeDocument/2006/relationships/image" Target="media/image905.png"/><Relationship Id="rId920" Type="http://schemas.openxmlformats.org/officeDocument/2006/relationships/image" Target="media/image906.png"/><Relationship Id="rId921" Type="http://schemas.openxmlformats.org/officeDocument/2006/relationships/image" Target="media/image907.png"/><Relationship Id="rId922" Type="http://schemas.openxmlformats.org/officeDocument/2006/relationships/image" Target="media/image908.png"/><Relationship Id="rId923" Type="http://schemas.openxmlformats.org/officeDocument/2006/relationships/image" Target="media/image909.png"/><Relationship Id="rId924" Type="http://schemas.openxmlformats.org/officeDocument/2006/relationships/image" Target="media/image910.png"/><Relationship Id="rId925" Type="http://schemas.openxmlformats.org/officeDocument/2006/relationships/image" Target="media/image911.png"/><Relationship Id="rId926" Type="http://schemas.openxmlformats.org/officeDocument/2006/relationships/image" Target="media/image912.png"/><Relationship Id="rId927" Type="http://schemas.openxmlformats.org/officeDocument/2006/relationships/image" Target="media/image913.png"/><Relationship Id="rId928" Type="http://schemas.openxmlformats.org/officeDocument/2006/relationships/image" Target="media/image914.png"/><Relationship Id="rId929" Type="http://schemas.openxmlformats.org/officeDocument/2006/relationships/image" Target="media/image915.png"/><Relationship Id="rId930" Type="http://schemas.openxmlformats.org/officeDocument/2006/relationships/image" Target="media/image916.png"/><Relationship Id="rId931" Type="http://schemas.openxmlformats.org/officeDocument/2006/relationships/image" Target="media/image917.png"/><Relationship Id="rId932" Type="http://schemas.openxmlformats.org/officeDocument/2006/relationships/image" Target="media/image918.png"/><Relationship Id="rId933" Type="http://schemas.openxmlformats.org/officeDocument/2006/relationships/image" Target="media/image919.png"/><Relationship Id="rId934" Type="http://schemas.openxmlformats.org/officeDocument/2006/relationships/image" Target="media/image920.png"/><Relationship Id="rId935" Type="http://schemas.openxmlformats.org/officeDocument/2006/relationships/image" Target="media/image921.png"/><Relationship Id="rId936" Type="http://schemas.openxmlformats.org/officeDocument/2006/relationships/image" Target="media/image922.png"/><Relationship Id="rId937" Type="http://schemas.openxmlformats.org/officeDocument/2006/relationships/image" Target="media/image923.png"/><Relationship Id="rId938" Type="http://schemas.openxmlformats.org/officeDocument/2006/relationships/image" Target="media/image924.png"/><Relationship Id="rId939" Type="http://schemas.openxmlformats.org/officeDocument/2006/relationships/image" Target="media/image925.png"/><Relationship Id="rId940" Type="http://schemas.openxmlformats.org/officeDocument/2006/relationships/image" Target="media/image926.png"/><Relationship Id="rId941" Type="http://schemas.openxmlformats.org/officeDocument/2006/relationships/image" Target="media/image927.png"/><Relationship Id="rId942" Type="http://schemas.openxmlformats.org/officeDocument/2006/relationships/image" Target="media/image928.png"/><Relationship Id="rId943" Type="http://schemas.openxmlformats.org/officeDocument/2006/relationships/image" Target="media/image929.png"/><Relationship Id="rId944" Type="http://schemas.openxmlformats.org/officeDocument/2006/relationships/image" Target="media/image930.png"/><Relationship Id="rId945" Type="http://schemas.openxmlformats.org/officeDocument/2006/relationships/image" Target="media/image931.png"/><Relationship Id="rId946" Type="http://schemas.openxmlformats.org/officeDocument/2006/relationships/image" Target="media/image932.png"/><Relationship Id="rId947" Type="http://schemas.openxmlformats.org/officeDocument/2006/relationships/image" Target="media/image933.png"/><Relationship Id="rId948" Type="http://schemas.openxmlformats.org/officeDocument/2006/relationships/image" Target="media/image934.png"/><Relationship Id="rId949" Type="http://schemas.openxmlformats.org/officeDocument/2006/relationships/image" Target="media/image935.png"/><Relationship Id="rId950" Type="http://schemas.openxmlformats.org/officeDocument/2006/relationships/image" Target="media/image936.png"/><Relationship Id="rId951" Type="http://schemas.openxmlformats.org/officeDocument/2006/relationships/image" Target="media/image937.png"/><Relationship Id="rId952" Type="http://schemas.openxmlformats.org/officeDocument/2006/relationships/image" Target="media/image938.png"/><Relationship Id="rId953" Type="http://schemas.openxmlformats.org/officeDocument/2006/relationships/image" Target="media/image939.png"/><Relationship Id="rId954" Type="http://schemas.openxmlformats.org/officeDocument/2006/relationships/image" Target="media/image940.png"/><Relationship Id="rId955" Type="http://schemas.openxmlformats.org/officeDocument/2006/relationships/image" Target="media/image941.png"/><Relationship Id="rId956" Type="http://schemas.openxmlformats.org/officeDocument/2006/relationships/image" Target="media/image942.png"/><Relationship Id="rId957" Type="http://schemas.openxmlformats.org/officeDocument/2006/relationships/image" Target="media/image943.png"/><Relationship Id="rId958" Type="http://schemas.openxmlformats.org/officeDocument/2006/relationships/image" Target="media/image944.png"/><Relationship Id="rId959" Type="http://schemas.openxmlformats.org/officeDocument/2006/relationships/image" Target="media/image945.png"/><Relationship Id="rId960" Type="http://schemas.openxmlformats.org/officeDocument/2006/relationships/image" Target="media/image946.png"/><Relationship Id="rId961" Type="http://schemas.openxmlformats.org/officeDocument/2006/relationships/image" Target="media/image947.png"/><Relationship Id="rId962" Type="http://schemas.openxmlformats.org/officeDocument/2006/relationships/image" Target="media/image948.png"/><Relationship Id="rId963" Type="http://schemas.openxmlformats.org/officeDocument/2006/relationships/image" Target="media/image949.png"/><Relationship Id="rId964" Type="http://schemas.openxmlformats.org/officeDocument/2006/relationships/image" Target="media/image950.png"/><Relationship Id="rId965" Type="http://schemas.openxmlformats.org/officeDocument/2006/relationships/image" Target="media/image951.png"/><Relationship Id="rId966" Type="http://schemas.openxmlformats.org/officeDocument/2006/relationships/image" Target="media/image952.png"/><Relationship Id="rId967" Type="http://schemas.openxmlformats.org/officeDocument/2006/relationships/image" Target="media/image953.png"/><Relationship Id="rId968" Type="http://schemas.openxmlformats.org/officeDocument/2006/relationships/image" Target="media/image954.png"/><Relationship Id="rId969" Type="http://schemas.openxmlformats.org/officeDocument/2006/relationships/image" Target="media/image955.png"/><Relationship Id="rId970" Type="http://schemas.openxmlformats.org/officeDocument/2006/relationships/image" Target="media/image956.png"/><Relationship Id="rId971" Type="http://schemas.openxmlformats.org/officeDocument/2006/relationships/image" Target="media/image957.png"/><Relationship Id="rId972" Type="http://schemas.openxmlformats.org/officeDocument/2006/relationships/image" Target="media/image958.png"/><Relationship Id="rId973" Type="http://schemas.openxmlformats.org/officeDocument/2006/relationships/image" Target="media/image959.png"/><Relationship Id="rId974" Type="http://schemas.openxmlformats.org/officeDocument/2006/relationships/image" Target="media/image960.png"/><Relationship Id="rId975" Type="http://schemas.openxmlformats.org/officeDocument/2006/relationships/image" Target="media/image961.png"/><Relationship Id="rId976" Type="http://schemas.openxmlformats.org/officeDocument/2006/relationships/image" Target="media/image962.png"/><Relationship Id="rId977" Type="http://schemas.openxmlformats.org/officeDocument/2006/relationships/image" Target="media/image963.png"/><Relationship Id="rId978" Type="http://schemas.openxmlformats.org/officeDocument/2006/relationships/image" Target="media/image964.png"/><Relationship Id="rId979" Type="http://schemas.openxmlformats.org/officeDocument/2006/relationships/image" Target="media/image965.png"/><Relationship Id="rId980" Type="http://schemas.openxmlformats.org/officeDocument/2006/relationships/image" Target="media/image966.png"/><Relationship Id="rId981" Type="http://schemas.openxmlformats.org/officeDocument/2006/relationships/image" Target="media/image967.png"/><Relationship Id="rId982" Type="http://schemas.openxmlformats.org/officeDocument/2006/relationships/image" Target="media/image968.png"/><Relationship Id="rId983" Type="http://schemas.openxmlformats.org/officeDocument/2006/relationships/image" Target="media/image969.png"/><Relationship Id="rId984" Type="http://schemas.openxmlformats.org/officeDocument/2006/relationships/image" Target="media/image970.png"/><Relationship Id="rId985" Type="http://schemas.openxmlformats.org/officeDocument/2006/relationships/image" Target="media/image971.png"/><Relationship Id="rId986" Type="http://schemas.openxmlformats.org/officeDocument/2006/relationships/image" Target="media/image972.png"/><Relationship Id="rId987" Type="http://schemas.openxmlformats.org/officeDocument/2006/relationships/image" Target="media/image973.png"/><Relationship Id="rId988" Type="http://schemas.openxmlformats.org/officeDocument/2006/relationships/image" Target="media/image974.png"/><Relationship Id="rId989" Type="http://schemas.openxmlformats.org/officeDocument/2006/relationships/image" Target="media/image975.png"/><Relationship Id="rId990" Type="http://schemas.openxmlformats.org/officeDocument/2006/relationships/image" Target="media/image976.png"/><Relationship Id="rId991" Type="http://schemas.openxmlformats.org/officeDocument/2006/relationships/image" Target="media/image977.png"/><Relationship Id="rId992" Type="http://schemas.openxmlformats.org/officeDocument/2006/relationships/image" Target="media/image978.png"/><Relationship Id="rId993" Type="http://schemas.openxmlformats.org/officeDocument/2006/relationships/image" Target="media/image979.png"/><Relationship Id="rId994" Type="http://schemas.openxmlformats.org/officeDocument/2006/relationships/image" Target="media/image980.png"/><Relationship Id="rId995" Type="http://schemas.openxmlformats.org/officeDocument/2006/relationships/image" Target="media/image981.png"/><Relationship Id="rId996" Type="http://schemas.openxmlformats.org/officeDocument/2006/relationships/image" Target="media/image982.png"/><Relationship Id="rId997" Type="http://schemas.openxmlformats.org/officeDocument/2006/relationships/image" Target="media/image983.png"/><Relationship Id="rId998" Type="http://schemas.openxmlformats.org/officeDocument/2006/relationships/image" Target="media/image984.png"/><Relationship Id="rId999" Type="http://schemas.openxmlformats.org/officeDocument/2006/relationships/image" Target="media/image985.png"/><Relationship Id="rId1000" Type="http://schemas.openxmlformats.org/officeDocument/2006/relationships/image" Target="media/image986.png"/><Relationship Id="rId1001" Type="http://schemas.openxmlformats.org/officeDocument/2006/relationships/image" Target="media/image987.png"/><Relationship Id="rId1002" Type="http://schemas.openxmlformats.org/officeDocument/2006/relationships/image" Target="media/image988.png"/><Relationship Id="rId1003" Type="http://schemas.openxmlformats.org/officeDocument/2006/relationships/image" Target="media/image989.png"/><Relationship Id="rId1004" Type="http://schemas.openxmlformats.org/officeDocument/2006/relationships/image" Target="media/image990.png"/><Relationship Id="rId1005" Type="http://schemas.openxmlformats.org/officeDocument/2006/relationships/image" Target="media/image991.png"/><Relationship Id="rId1006" Type="http://schemas.openxmlformats.org/officeDocument/2006/relationships/image" Target="media/image992.png"/><Relationship Id="rId1007" Type="http://schemas.openxmlformats.org/officeDocument/2006/relationships/image" Target="media/image993.png"/><Relationship Id="rId1008" Type="http://schemas.openxmlformats.org/officeDocument/2006/relationships/image" Target="media/image994.png"/><Relationship Id="rId1009" Type="http://schemas.openxmlformats.org/officeDocument/2006/relationships/image" Target="media/image995.png"/><Relationship Id="rId1010" Type="http://schemas.openxmlformats.org/officeDocument/2006/relationships/image" Target="media/image996.png"/><Relationship Id="rId1011" Type="http://schemas.openxmlformats.org/officeDocument/2006/relationships/image" Target="media/image997.png"/><Relationship Id="rId1012" Type="http://schemas.openxmlformats.org/officeDocument/2006/relationships/image" Target="media/image998.png"/><Relationship Id="rId1013" Type="http://schemas.openxmlformats.org/officeDocument/2006/relationships/image" Target="media/image999.png"/><Relationship Id="rId1014" Type="http://schemas.openxmlformats.org/officeDocument/2006/relationships/image" Target="media/image1000.png"/><Relationship Id="rId1015" Type="http://schemas.openxmlformats.org/officeDocument/2006/relationships/image" Target="media/image1001.png"/><Relationship Id="rId1016" Type="http://schemas.openxmlformats.org/officeDocument/2006/relationships/image" Target="media/image1002.png"/><Relationship Id="rId1017" Type="http://schemas.openxmlformats.org/officeDocument/2006/relationships/image" Target="media/image1003.png"/><Relationship Id="rId1018" Type="http://schemas.openxmlformats.org/officeDocument/2006/relationships/image" Target="media/image1004.png"/><Relationship Id="rId1019" Type="http://schemas.openxmlformats.org/officeDocument/2006/relationships/image" Target="media/image1005.png"/><Relationship Id="rId1020" Type="http://schemas.openxmlformats.org/officeDocument/2006/relationships/image" Target="media/image1006.png"/><Relationship Id="rId1021" Type="http://schemas.openxmlformats.org/officeDocument/2006/relationships/image" Target="media/image1007.png"/><Relationship Id="rId20" Type="http://schemas.openxmlformats.org/officeDocument/2006/relationships/hyperlink" Target="http://www.sec.gov/Archives/edgar/data/0002067876/000119312525207527/d894612dex21.htm" TargetMode="External"/><Relationship Id="rId21" Type="http://schemas.openxmlformats.org/officeDocument/2006/relationships/hyperlink" Target="http://www.sec.gov/Archives/edgar/data/2067876/000119312525207527/d894612dex31.htm" TargetMode="External"/><Relationship Id="rId22" Type="http://schemas.openxmlformats.org/officeDocument/2006/relationships/hyperlink" Target="http://www.sec.gov/Archives/edgar/data/0002067876/000119312525207527/d894612dex32.htm" TargetMode="External"/><Relationship Id="rId23" Type="http://schemas.openxmlformats.org/officeDocument/2006/relationships/hyperlink" Target="http://www.sec.gov/Archives/edgar/data/0002067876/000119312525207527/d894612dex101.htm" TargetMode="External"/><Relationship Id="rId24" Type="http://schemas.openxmlformats.org/officeDocument/2006/relationships/hyperlink" Target="http://www.sec.gov/Archives/edgar/data/0002067876/000119312525207527/d894612dex102.htm" TargetMode="External"/><Relationship Id="rId25" Type="http://schemas.openxmlformats.org/officeDocument/2006/relationships/hyperlink" Target="http://www.sec.gov/Archives/edgar/data/0002067876/000119312525207527/d894612dex104.htm" TargetMode="External"/><Relationship Id="rId26" Type="http://schemas.openxmlformats.org/officeDocument/2006/relationships/hyperlink" Target="http://www.sec.gov/Archives/edgar/data/0002067876/000119312525207527/d894612d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2025-10-31T14:38:04Z</dcterms:created>
  <dcterms:modified xsi:type="dcterms:W3CDTF">2025-10-31T14:38:04Z</dcterms:modified>
</cp:coreProperties>
</file>