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 w:type="dxa"/>
        <w:tblCellMar>
          <w:top w:w="0" w:type="dxa"/>
          <w:left w:w="0" w:type="dxa"/>
          <w:bottom w:w="0" w:type="dxa"/>
          <w:right w:w="0" w:type="dxa"/>
        </w:tblCellMar>
      </w:tblPr>
      <w:tr>
        <w:trPr>
          <w:trHeight w:val="264"/>
        </w:trPr>
        <w:tc>
          <w:tcPr>
            <w:tcW w:w="12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320" w:type="dxa"/>
            <w:vAlign w:val="bottom"/>
          </w:tcPr>
          <w:p>
            <w:pPr>
              <w:jc w:val="center"/>
              <w:ind w:left="750"/>
              <w:spacing w:after="0"/>
              <w:rPr>
                <w:sz w:val="20"/>
                <w:szCs w:val="20"/>
                <w:color w:val="auto"/>
              </w:rPr>
            </w:pPr>
            <w:r>
              <w:rPr>
                <w:rFonts w:ascii="Times New Roman" w:cs="Times New Roman" w:eastAsia="Times New Roman" w:hAnsi="Times New Roman"/>
                <w:sz w:val="20"/>
                <w:szCs w:val="20"/>
                <w:b w:val="1"/>
                <w:bCs w:val="1"/>
                <w:color w:val="auto"/>
              </w:rPr>
              <w:t>UNITED STATES</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280" w:type="dxa"/>
            <w:vAlign w:val="bottom"/>
          </w:tcPr>
          <w:p>
            <w:pPr>
              <w:spacing w:after="0"/>
              <w:rPr>
                <w:sz w:val="24"/>
                <w:szCs w:val="24"/>
                <w:color w:val="auto"/>
              </w:rPr>
            </w:pPr>
          </w:p>
        </w:tc>
        <w:tc>
          <w:tcPr>
            <w:tcW w:w="8620" w:type="dxa"/>
            <w:vAlign w:val="bottom"/>
            <w:gridSpan w:val="6"/>
          </w:tcPr>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tc>
        <w:tc>
          <w:tcPr>
            <w:tcW w:w="0" w:type="dxa"/>
            <w:vAlign w:val="bottom"/>
          </w:tcPr>
          <w:p>
            <w:pPr>
              <w:spacing w:after="0"/>
              <w:rPr>
                <w:sz w:val="1"/>
                <w:szCs w:val="1"/>
                <w:color w:val="auto"/>
              </w:rPr>
            </w:pPr>
          </w:p>
        </w:tc>
      </w:tr>
      <w:tr>
        <w:trPr>
          <w:trHeight w:val="300"/>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jc w:val="center"/>
              <w:ind w:left="750"/>
              <w:spacing w:after="0"/>
              <w:rPr>
                <w:sz w:val="20"/>
                <w:szCs w:val="20"/>
                <w:color w:val="auto"/>
              </w:rPr>
            </w:pPr>
            <w:r>
              <w:rPr>
                <w:rFonts w:ascii="Times New Roman" w:cs="Times New Roman" w:eastAsia="Times New Roman" w:hAnsi="Times New Roman"/>
                <w:sz w:val="20"/>
                <w:szCs w:val="20"/>
                <w:b w:val="1"/>
                <w:bCs w:val="1"/>
                <w:color w:val="auto"/>
              </w:rPr>
              <w:t>Washington, D.C. 20549</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4"/>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jc w:val="center"/>
              <w:ind w:left="750"/>
              <w:spacing w:after="0"/>
              <w:rPr>
                <w:sz w:val="20"/>
                <w:szCs w:val="20"/>
                <w:color w:val="auto"/>
              </w:rPr>
            </w:pPr>
            <w:r>
              <w:rPr>
                <w:rFonts w:ascii="Times New Roman" w:cs="Times New Roman" w:eastAsia="Times New Roman" w:hAnsi="Times New Roman"/>
                <w:sz w:val="24"/>
                <w:szCs w:val="24"/>
                <w:b w:val="1"/>
                <w:bCs w:val="1"/>
                <w:color w:val="auto"/>
                <w:w w:val="98"/>
              </w:rPr>
              <w:t>FORM 10-K</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(Mark One)</w:t>
            </w:r>
          </w:p>
        </w:tc>
        <w:tc>
          <w:tcPr>
            <w:tcW w:w="2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28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280" w:type="dxa"/>
            <w:vAlign w:val="bottom"/>
          </w:tcPr>
          <w:p>
            <w:pPr>
              <w:ind w:left="1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862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71"/>
        </w:trPr>
        <w:tc>
          <w:tcPr>
            <w:tcW w:w="12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360" w:type="dxa"/>
            <w:vAlign w:val="bottom"/>
            <w:gridSpan w:val="4"/>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w w:val="99"/>
              </w:rPr>
              <w:t>For the fiscal year ended December 31, 2025</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20" w:type="dxa"/>
            <w:vAlign w:val="bottom"/>
          </w:tcPr>
          <w:p>
            <w:pPr>
              <w:jc w:val="center"/>
              <w:ind w:left="750"/>
              <w:spacing w:after="0"/>
              <w:rPr>
                <w:sz w:val="20"/>
                <w:szCs w:val="20"/>
                <w:color w:val="auto"/>
              </w:rPr>
            </w:pPr>
            <w:r>
              <w:rPr>
                <w:rFonts w:ascii="Times New Roman" w:cs="Times New Roman" w:eastAsia="Times New Roman" w:hAnsi="Times New Roman"/>
                <w:sz w:val="12"/>
                <w:szCs w:val="12"/>
                <w:b w:val="1"/>
                <w:bCs w:val="1"/>
                <w:color w:val="auto"/>
              </w:rPr>
              <w:t>or</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280" w:type="dxa"/>
            <w:vAlign w:val="bottom"/>
          </w:tcPr>
          <w:p>
            <w:pPr>
              <w:ind w:left="140"/>
              <w:spacing w:after="0" w:line="161" w:lineRule="exact"/>
              <w:rPr>
                <w:sz w:val="20"/>
                <w:szCs w:val="20"/>
                <w:color w:val="auto"/>
              </w:rPr>
            </w:pPr>
            <w:r>
              <w:rPr>
                <w:rFonts w:ascii="MS PGothic" w:cs="MS PGothic" w:eastAsia="MS PGothic" w:hAnsi="MS PGothic"/>
                <w:sz w:val="16"/>
                <w:szCs w:val="16"/>
                <w:b w:val="1"/>
                <w:bCs w:val="1"/>
                <w:color w:val="auto"/>
              </w:rPr>
              <w:t>☐</w:t>
            </w:r>
          </w:p>
        </w:tc>
        <w:tc>
          <w:tcPr>
            <w:tcW w:w="8620" w:type="dxa"/>
            <w:vAlign w:val="bottom"/>
            <w:gridSpan w:val="6"/>
          </w:tcPr>
          <w:p>
            <w:pPr>
              <w:ind w:left="480"/>
              <w:spacing w:after="0"/>
              <w:rPr>
                <w:sz w:val="20"/>
                <w:szCs w:val="20"/>
                <w:color w:val="auto"/>
              </w:rPr>
            </w:pPr>
            <w:r>
              <w:rPr>
                <w:rFonts w:ascii="Times New Roman" w:cs="Times New Roman" w:eastAsia="Times New Roman" w:hAnsi="Times New Roman"/>
                <w:sz w:val="16"/>
                <w:szCs w:val="16"/>
                <w:b w:val="1"/>
                <w:bCs w:val="1"/>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313"/>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to</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Commission File Number: 001-42856</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2235200</wp:posOffset>
                </wp:positionH>
                <wp:positionV relativeFrom="paragraph">
                  <wp:posOffset>87630</wp:posOffset>
                </wp:positionV>
                <wp:extent cx="27432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pt,6.9pt" to="392pt,6.9pt" o:allowincell="f" strokecolor="#000000" strokeweight="1pt"/>
            </w:pict>
          </mc:Fallback>
        </mc:AlternateContent>
        <w:drawing>
          <wp:anchor simplePos="0" relativeHeight="251657728" behindDoc="1" locked="0" layoutInCell="0" allowOverlap="1">
            <wp:simplePos x="0" y="0"/>
            <wp:positionH relativeFrom="column">
              <wp:posOffset>2692400</wp:posOffset>
            </wp:positionH>
            <wp:positionV relativeFrom="paragraph">
              <wp:posOffset>151765</wp:posOffset>
            </wp:positionV>
            <wp:extent cx="1828800"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extLst>
                    </a:blip>
                    <a:srcRect/>
                    <a:stretch>
                      <a:fillRect/>
                    </a:stretch>
                  </pic:blipFill>
                  <pic:spPr bwMode="auto">
                    <a:xfrm>
                      <a:off x="0" y="0"/>
                      <a:ext cx="1828800"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Versant Media Group, Inc.</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2235200</wp:posOffset>
                </wp:positionH>
                <wp:positionV relativeFrom="paragraph">
                  <wp:posOffset>53975</wp:posOffset>
                </wp:positionV>
                <wp:extent cx="27432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43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pt,4.25pt" to="392pt,4.25pt" o:allowincell="f" strokecolor="#000000" strokeweight="1pt"/>
            </w:pict>
          </mc:Fallback>
        </mc:AlternateContent>
      </w:r>
    </w:p>
    <w:p>
      <w:pPr>
        <w:spacing w:after="0" w:line="210" w:lineRule="exact"/>
        <w:rPr>
          <w:sz w:val="24"/>
          <w:szCs w:val="24"/>
          <w:color w:val="auto"/>
        </w:rPr>
      </w:pPr>
    </w:p>
    <w:tbl>
      <w:tblPr>
        <w:tblLayout w:type="fixed"/>
        <w:tblInd w:w="1360" w:type="dxa"/>
        <w:tblCellMar>
          <w:top w:w="0" w:type="dxa"/>
          <w:left w:w="0" w:type="dxa"/>
          <w:bottom w:w="0" w:type="dxa"/>
          <w:right w:w="0" w:type="dxa"/>
        </w:tblCellMar>
      </w:tblPr>
      <w:tr>
        <w:trPr>
          <w:trHeight w:val="259"/>
        </w:trPr>
        <w:tc>
          <w:tcPr>
            <w:tcW w:w="4640" w:type="dxa"/>
            <w:vAlign w:val="bottom"/>
          </w:tcPr>
          <w:p>
            <w:pPr>
              <w:jc w:val="center"/>
              <w:ind w:right="728"/>
              <w:spacing w:after="0"/>
              <w:rPr>
                <w:sz w:val="20"/>
                <w:szCs w:val="20"/>
                <w:color w:val="auto"/>
              </w:rPr>
            </w:pPr>
            <w:r>
              <w:rPr>
                <w:rFonts w:ascii="Times New Roman" w:cs="Times New Roman" w:eastAsia="Times New Roman" w:hAnsi="Times New Roman"/>
                <w:sz w:val="20"/>
                <w:szCs w:val="20"/>
                <w:b w:val="1"/>
                <w:bCs w:val="1"/>
                <w:color w:val="auto"/>
              </w:rPr>
              <w:t>Pennsylvania</w:t>
            </w:r>
          </w:p>
        </w:tc>
        <w:tc>
          <w:tcPr>
            <w:tcW w:w="3420" w:type="dxa"/>
            <w:vAlign w:val="bottom"/>
          </w:tcPr>
          <w:p>
            <w:pPr>
              <w:jc w:val="right"/>
              <w:ind w:right="730"/>
              <w:spacing w:after="0"/>
              <w:rPr>
                <w:sz w:val="20"/>
                <w:szCs w:val="20"/>
                <w:color w:val="auto"/>
              </w:rPr>
            </w:pPr>
            <w:r>
              <w:rPr>
                <w:rFonts w:ascii="Times New Roman" w:cs="Times New Roman" w:eastAsia="Times New Roman" w:hAnsi="Times New Roman"/>
                <w:sz w:val="20"/>
                <w:szCs w:val="20"/>
                <w:b w:val="1"/>
                <w:bCs w:val="1"/>
                <w:color w:val="auto"/>
              </w:rPr>
              <w:t>39-2087186</w:t>
            </w:r>
          </w:p>
        </w:tc>
      </w:tr>
      <w:tr>
        <w:trPr>
          <w:trHeight w:val="209"/>
        </w:trPr>
        <w:tc>
          <w:tcPr>
            <w:tcW w:w="4640" w:type="dxa"/>
            <w:vAlign w:val="bottom"/>
          </w:tcPr>
          <w:p>
            <w:pPr>
              <w:jc w:val="center"/>
              <w:ind w:right="728"/>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3420" w:type="dxa"/>
            <w:vAlign w:val="bottom"/>
          </w:tcPr>
          <w:p>
            <w:pPr>
              <w:jc w:val="center"/>
              <w:ind w:left="710"/>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231"/>
        </w:trPr>
        <w:tc>
          <w:tcPr>
            <w:tcW w:w="4640" w:type="dxa"/>
            <w:vAlign w:val="bottom"/>
          </w:tcPr>
          <w:p>
            <w:pPr>
              <w:jc w:val="center"/>
              <w:ind w:right="748"/>
              <w:spacing w:after="0"/>
              <w:rPr>
                <w:sz w:val="20"/>
                <w:szCs w:val="20"/>
                <w:color w:val="auto"/>
              </w:rPr>
            </w:pPr>
            <w:r>
              <w:rPr>
                <w:rFonts w:ascii="Times New Roman" w:cs="Times New Roman" w:eastAsia="Times New Roman" w:hAnsi="Times New Roman"/>
                <w:sz w:val="20"/>
                <w:szCs w:val="20"/>
                <w:b w:val="1"/>
                <w:bCs w:val="1"/>
                <w:color w:val="auto"/>
              </w:rPr>
              <w:t>229 West 43rd Street</w:t>
            </w:r>
          </w:p>
        </w:tc>
        <w:tc>
          <w:tcPr>
            <w:tcW w:w="3420" w:type="dxa"/>
            <w:vAlign w:val="bottom"/>
          </w:tcPr>
          <w:p>
            <w:pPr>
              <w:spacing w:after="0"/>
              <w:rPr>
                <w:sz w:val="20"/>
                <w:szCs w:val="20"/>
                <w:color w:val="auto"/>
              </w:rPr>
            </w:pPr>
          </w:p>
        </w:tc>
      </w:tr>
      <w:tr>
        <w:trPr>
          <w:trHeight w:val="264"/>
        </w:trPr>
        <w:tc>
          <w:tcPr>
            <w:tcW w:w="4640" w:type="dxa"/>
            <w:vAlign w:val="bottom"/>
          </w:tcPr>
          <w:p>
            <w:pPr>
              <w:jc w:val="center"/>
              <w:ind w:right="728"/>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420" w:type="dxa"/>
            <w:vAlign w:val="bottom"/>
          </w:tcPr>
          <w:p>
            <w:pPr>
              <w:jc w:val="right"/>
              <w:ind w:right="970"/>
              <w:spacing w:after="0"/>
              <w:rPr>
                <w:sz w:val="20"/>
                <w:szCs w:val="20"/>
                <w:color w:val="auto"/>
              </w:rPr>
            </w:pPr>
            <w:r>
              <w:rPr>
                <w:rFonts w:ascii="Times New Roman" w:cs="Times New Roman" w:eastAsia="Times New Roman" w:hAnsi="Times New Roman"/>
                <w:sz w:val="20"/>
                <w:szCs w:val="20"/>
                <w:b w:val="1"/>
                <w:bCs w:val="1"/>
                <w:color w:val="auto"/>
              </w:rPr>
              <w:t>10036</w:t>
            </w:r>
          </w:p>
        </w:tc>
      </w:tr>
      <w:tr>
        <w:trPr>
          <w:trHeight w:val="224"/>
        </w:trPr>
        <w:tc>
          <w:tcPr>
            <w:tcW w:w="4640" w:type="dxa"/>
            <w:vAlign w:val="bottom"/>
          </w:tcPr>
          <w:p>
            <w:pPr>
              <w:jc w:val="center"/>
              <w:ind w:right="728"/>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420" w:type="dxa"/>
            <w:vAlign w:val="bottom"/>
          </w:tcPr>
          <w:p>
            <w:pPr>
              <w:jc w:val="center"/>
              <w:ind w:left="710"/>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20"/>
          <w:szCs w:val="20"/>
          <w:b w:val="1"/>
          <w:bCs w:val="1"/>
          <w:color w:val="auto"/>
        </w:rPr>
        <w:t>(646) 832-1000</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46"/>
        </w:trPr>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8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100" w:type="dxa"/>
            <w:vAlign w:val="bottom"/>
          </w:tcPr>
          <w:p>
            <w:pPr>
              <w:spacing w:after="0"/>
              <w:rPr>
                <w:sz w:val="21"/>
                <w:szCs w:val="21"/>
                <w:color w:val="auto"/>
              </w:rPr>
            </w:pPr>
          </w:p>
        </w:tc>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$0.01 per share</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VSNT</w:t>
            </w:r>
          </w:p>
        </w:tc>
        <w:tc>
          <w:tcPr>
            <w:tcW w:w="10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0"/>
        </w:trPr>
        <w:tc>
          <w:tcPr>
            <w:tcW w:w="49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60" w:type="dxa"/>
            <w:vAlign w:val="bottom"/>
          </w:tcPr>
          <w:p>
            <w:pPr>
              <w:spacing w:after="0"/>
              <w:rPr>
                <w:sz w:val="20"/>
                <w:szCs w:val="20"/>
                <w:color w:val="auto"/>
              </w:rPr>
            </w:pPr>
          </w:p>
        </w:tc>
      </w:tr>
    </w:tbl>
    <w:p>
      <w:pPr>
        <w:spacing w:after="0" w:line="47" w:lineRule="exact"/>
        <w:rPr>
          <w:sz w:val="24"/>
          <w:szCs w:val="24"/>
          <w:color w:val="auto"/>
        </w:rPr>
      </w:pPr>
    </w:p>
    <w:p>
      <w:pPr>
        <w:ind w:right="1680"/>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11" w:lineRule="exact"/>
        <w:rPr>
          <w:sz w:val="24"/>
          <w:szCs w:val="24"/>
          <w:color w:val="auto"/>
        </w:rPr>
      </w:pPr>
    </w:p>
    <w:p>
      <w:pPr>
        <w:ind w:right="400"/>
        <w:spacing w:after="0" w:line="20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12" w:lineRule="exact"/>
        <w:rPr>
          <w:sz w:val="24"/>
          <w:szCs w:val="24"/>
          <w:color w:val="auto"/>
        </w:rPr>
      </w:pPr>
    </w:p>
    <w:p>
      <w:pPr>
        <w:ind w:right="220"/>
        <w:spacing w:after="0" w:line="20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12" w:lineRule="exact"/>
        <w:rPr>
          <w:sz w:val="24"/>
          <w:szCs w:val="24"/>
          <w:color w:val="auto"/>
        </w:rPr>
      </w:pPr>
    </w:p>
    <w:p>
      <w:pPr>
        <w:ind w:right="380"/>
        <w:spacing w:after="0" w:line="22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0" w:type="dxa"/>
        <w:tblCellMar>
          <w:top w:w="0" w:type="dxa"/>
          <w:left w:w="0" w:type="dxa"/>
          <w:bottom w:w="0" w:type="dxa"/>
          <w:right w:w="0" w:type="dxa"/>
        </w:tblCellMar>
      </w:tblPr>
      <w:tr>
        <w:trPr>
          <w:trHeight w:val="23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420"/>
              <w:spacing w:after="0" w:line="161" w:lineRule="exact"/>
              <w:rPr>
                <w:sz w:val="20"/>
                <w:szCs w:val="20"/>
                <w:color w:val="auto"/>
              </w:rPr>
            </w:pPr>
            <w:r>
              <w:rPr>
                <w:rFonts w:ascii="MS PGothic" w:cs="MS PGothic" w:eastAsia="MS PGothic" w:hAnsi="MS PGothic"/>
                <w:sz w:val="16"/>
                <w:szCs w:val="16"/>
                <w:b w:val="1"/>
                <w:bCs w:val="1"/>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Accelerated filer</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420"/>
              <w:spacing w:after="0" w:line="161" w:lineRule="exact"/>
              <w:rPr>
                <w:sz w:val="20"/>
                <w:szCs w:val="20"/>
                <w:color w:val="auto"/>
              </w:rPr>
            </w:pPr>
            <w:r>
              <w:rPr>
                <w:rFonts w:ascii="MS PGothic" w:cs="MS PGothic" w:eastAsia="MS PGothic" w:hAnsi="MS PGothic"/>
                <w:sz w:val="16"/>
                <w:szCs w:val="16"/>
                <w:b w:val="1"/>
                <w:bCs w:val="1"/>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b w:val="1"/>
                <w:bCs w:val="1"/>
                <w:color w:val="auto"/>
                <w:w w:val="74"/>
              </w:rPr>
              <w:t>☐</w:t>
            </w:r>
          </w:p>
        </w:tc>
      </w:tr>
      <w:tr>
        <w:trPr>
          <w:trHeight w:val="234"/>
        </w:trPr>
        <w:tc>
          <w:tcPr>
            <w:tcW w:w="18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12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40" w:type="dxa"/>
            <w:vAlign w:val="bottom"/>
          </w:tcPr>
          <w:p>
            <w:pPr>
              <w:ind w:left="800"/>
              <w:spacing w:after="0" w:line="161" w:lineRule="exact"/>
              <w:rPr>
                <w:sz w:val="20"/>
                <w:szCs w:val="20"/>
                <w:color w:val="auto"/>
              </w:rPr>
            </w:pPr>
            <w:r>
              <w:rPr>
                <w:rFonts w:ascii="MS PGothic" w:cs="MS PGothic" w:eastAsia="MS PGothic" w:hAnsi="MS PGothic"/>
                <w:sz w:val="16"/>
                <w:szCs w:val="16"/>
                <w:b w:val="1"/>
                <w:bCs w:val="1"/>
                <w:color w:val="auto"/>
                <w:w w:val="74"/>
              </w:rPr>
              <w:t>☐</w:t>
            </w:r>
          </w:p>
        </w:tc>
      </w:tr>
    </w:tbl>
    <w:p>
      <w:pPr>
        <w:spacing w:after="0" w:line="44" w:lineRule="exact"/>
        <w:rPr>
          <w:sz w:val="24"/>
          <w:szCs w:val="24"/>
          <w:color w:val="auto"/>
        </w:rPr>
      </w:pPr>
    </w:p>
    <w:p>
      <w:pPr>
        <w:ind w:right="60"/>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11" w:lineRule="exact"/>
        <w:rPr>
          <w:sz w:val="24"/>
          <w:szCs w:val="24"/>
          <w:color w:val="auto"/>
        </w:rPr>
      </w:pPr>
    </w:p>
    <w:p>
      <w:pPr>
        <w:ind w:right="20"/>
        <w:spacing w:after="0" w:line="221"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w:t>
      </w:r>
    </w:p>
    <w:p>
      <w:pPr>
        <w:spacing w:after="0" w:line="230" w:lineRule="exact"/>
        <w:rPr>
          <w:sz w:val="20"/>
          <w:szCs w:val="20"/>
          <w:color w:val="auto"/>
        </w:rPr>
      </w:pPr>
      <w:r>
        <w:rPr>
          <w:rFonts w:ascii="Times New Roman" w:cs="Times New Roman" w:eastAsia="Times New Roman" w:hAnsi="Times New Roman"/>
          <w:sz w:val="18"/>
          <w:szCs w:val="18"/>
          <w:color w:val="auto"/>
        </w:rPr>
        <w:t xml:space="preserve">its audit report. Yes </w:t>
      </w:r>
      <w:r>
        <w:rPr>
          <w:rFonts w:ascii="MS PGothic" w:cs="MS PGothic" w:eastAsia="MS PGothic" w:hAnsi="MS PGothic"/>
          <w:sz w:val="20"/>
          <w:szCs w:val="20"/>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40" w:lineRule="exact"/>
        <w:rPr>
          <w:sz w:val="24"/>
          <w:szCs w:val="24"/>
          <w:color w:val="auto"/>
        </w:rPr>
      </w:pPr>
    </w:p>
    <w:p>
      <w:pPr>
        <w:ind w:right="400"/>
        <w:spacing w:after="0" w:line="210"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11" w:lineRule="exact"/>
        <w:rPr>
          <w:sz w:val="24"/>
          <w:szCs w:val="24"/>
          <w:color w:val="auto"/>
        </w:rPr>
      </w:pPr>
    </w:p>
    <w:p>
      <w:pPr>
        <w:ind w:right="200"/>
        <w:spacing w:after="0" w:line="21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8"/>
          <w:szCs w:val="18"/>
          <w:b w:val="1"/>
          <w:bCs w:val="1"/>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b w:val="1"/>
          <w:bCs w:val="1"/>
          <w:color w:val="auto"/>
        </w:rPr>
        <w:t>☒</w:t>
      </w:r>
    </w:p>
    <w:p>
      <w:pPr>
        <w:spacing w:after="0" w:line="63" w:lineRule="exact"/>
        <w:rPr>
          <w:sz w:val="24"/>
          <w:szCs w:val="24"/>
          <w:color w:val="auto"/>
        </w:rPr>
      </w:pPr>
    </w:p>
    <w:p>
      <w:pPr>
        <w:ind w:right="260"/>
        <w:spacing w:after="0"/>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there was no established public market for the registrant’s common stock. The registrant’s Class A common stock began “regular way” trading on The Nasdaq Stock Market LLC on January 5, 2026.</w:t>
      </w:r>
    </w:p>
    <w:p>
      <w:pPr>
        <w:spacing w:after="0" w:line="26" w:lineRule="exact"/>
        <w:rPr>
          <w:sz w:val="24"/>
          <w:szCs w:val="24"/>
          <w:color w:val="auto"/>
        </w:rPr>
      </w:pPr>
    </w:p>
    <w:p>
      <w:pPr>
        <w:ind w:right="580"/>
        <w:spacing w:after="0"/>
        <w:rPr>
          <w:sz w:val="20"/>
          <w:szCs w:val="20"/>
          <w:color w:val="auto"/>
        </w:rPr>
      </w:pPr>
      <w:r>
        <w:rPr>
          <w:rFonts w:ascii="Times New Roman" w:cs="Times New Roman" w:eastAsia="Times New Roman" w:hAnsi="Times New Roman"/>
          <w:sz w:val="18"/>
          <w:szCs w:val="18"/>
          <w:color w:val="auto"/>
        </w:rPr>
        <w:t>As of February 20, 2026, Versant Media Group, Inc. had 143,790,841 shares of Class A common stock and 377,775 shares of Class B common stock outstanding.</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2216150</wp:posOffset>
                </wp:positionH>
                <wp:positionV relativeFrom="paragraph">
                  <wp:posOffset>48260</wp:posOffset>
                </wp:positionV>
                <wp:extent cx="27813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813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5pt,3.8pt" to="393.5pt,3.8pt" o:allowincell="f" strokecolor="#000000" strokeweight="1pt"/>
            </w:pict>
          </mc:Fallback>
        </mc:AlternateConten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ectPr>
          <w:pgSz w:w="12240" w:h="15840" w:orient="portrait"/>
          <w:cols w:equalWidth="0" w:num="1">
            <w:col w:w="11340"/>
          </w:cols>
          <w:pgMar w:left="440" w:top="377" w:right="460" w:bottom="86" w:gutter="0" w:footer="0" w:header="0"/>
        </w:sectPr>
      </w:pPr>
    </w:p>
    <w:p>
      <w:pPr>
        <w:spacing w:after="0" w:line="27"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8"/>
          <w:szCs w:val="18"/>
          <w:color w:val="auto"/>
        </w:rPr>
        <w:t>Certain information required for Part III of this Annual Report on Form 10-K is incorporated by reference to the registrant’s definitive proxy statement for its 2026 annual meeting of shareholders. Such proxy statement will be filed with the Securities and Exchange Commission within 120 days of the registrant’s fiscal year ended December 31, 2025.</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49530</wp:posOffset>
                </wp:positionV>
                <wp:extent cx="72009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00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3.9pt" to="567.3pt,3.9pt" o:allowincell="f" strokecolor="#000000" strokeweight="1pt"/>
            </w:pict>
          </mc:Fallback>
        </mc:AlternateContent>
      </w:r>
    </w:p>
    <w:p>
      <w:pPr>
        <w:sectPr>
          <w:pgSz w:w="12240" w:h="15840" w:orient="portrait"/>
          <w:cols w:equalWidth="0" w:num="1">
            <w:col w:w="11340"/>
          </w:cols>
          <w:pgMar w:left="440" w:top="377" w:right="460" w:bottom="86" w:gutter="0" w:footer="0" w:header="0"/>
          <w:type w:val="continuous"/>
        </w:sectPr>
      </w:pPr>
    </w:p>
    <w:bookmarkStart w:id="1" w:name="page2"/>
    <w:bookmarkEnd w:id="1"/>
    <w:p>
      <w:pPr>
        <w:spacing w:after="0" w:line="200" w:lineRule="exact"/>
        <w:rPr>
          <w:sz w:val="20"/>
          <w:szCs w:val="20"/>
          <w:color w:val="auto"/>
        </w:rPr>
      </w:pPr>
    </w:p>
    <w:p>
      <w:pPr>
        <w:spacing w:after="0" w:line="298" w:lineRule="exact"/>
        <w:rPr>
          <w:sz w:val="20"/>
          <w:szCs w:val="20"/>
          <w:color w:val="auto"/>
        </w:rPr>
      </w:pPr>
    </w:p>
    <w:p>
      <w:pPr>
        <w:ind w:right="160"/>
        <w:spacing w:after="0" w:line="318" w:lineRule="auto"/>
        <w:rPr>
          <w:sz w:val="20"/>
          <w:szCs w:val="20"/>
          <w:color w:val="auto"/>
        </w:rPr>
      </w:pPr>
      <w:r>
        <w:rPr>
          <w:rFonts w:ascii="Times New Roman" w:cs="Times New Roman" w:eastAsia="Times New Roman" w:hAnsi="Times New Roman"/>
          <w:sz w:val="20"/>
          <w:szCs w:val="20"/>
          <w:b w:val="1"/>
          <w:bCs w:val="1"/>
          <w:color w:val="auto"/>
        </w:rPr>
        <w:t xml:space="preserve">PART I </w:t>
      </w:r>
      <w:r>
        <w:rPr>
          <w:rFonts w:ascii="Times New Roman" w:cs="Times New Roman" w:eastAsia="Times New Roman" w:hAnsi="Times New Roman"/>
          <w:sz w:val="20"/>
          <w:szCs w:val="20"/>
          <w:color w:val="auto"/>
        </w:rPr>
        <w:t>Item 1 Item 1A Item 1B Item 1C Item 2 Item 3 Item 4</w:t>
      </w:r>
    </w:p>
    <w:p>
      <w:pPr>
        <w:spacing w:after="0" w:line="37" w:lineRule="exact"/>
        <w:rPr>
          <w:sz w:val="20"/>
          <w:szCs w:val="20"/>
          <w:color w:val="auto"/>
        </w:rPr>
      </w:pPr>
    </w:p>
    <w:p>
      <w:pPr>
        <w:ind w:right="80"/>
        <w:spacing w:after="0" w:line="352" w:lineRule="auto"/>
        <w:rPr>
          <w:sz w:val="20"/>
          <w:szCs w:val="20"/>
          <w:color w:val="auto"/>
        </w:rPr>
      </w:pPr>
      <w:r>
        <w:rPr>
          <w:rFonts w:ascii="Times New Roman" w:cs="Times New Roman" w:eastAsia="Times New Roman" w:hAnsi="Times New Roman"/>
          <w:sz w:val="20"/>
          <w:szCs w:val="20"/>
          <w:b w:val="1"/>
          <w:bCs w:val="1"/>
          <w:color w:val="auto"/>
        </w:rPr>
        <w:t xml:space="preserve">PART II </w:t>
      </w:r>
      <w:r>
        <w:rPr>
          <w:rFonts w:ascii="Times New Roman" w:cs="Times New Roman" w:eastAsia="Times New Roman" w:hAnsi="Times New Roman"/>
          <w:sz w:val="20"/>
          <w:szCs w:val="20"/>
          <w:color w:val="auto"/>
        </w:rPr>
        <w:t>Item 5</w:t>
      </w:r>
    </w:p>
    <w:p>
      <w:pPr>
        <w:spacing w:after="0" w:line="128" w:lineRule="exact"/>
        <w:rPr>
          <w:sz w:val="20"/>
          <w:szCs w:val="20"/>
          <w:color w:val="auto"/>
        </w:rPr>
      </w:pPr>
    </w:p>
    <w:p>
      <w:pPr>
        <w:ind w:right="180"/>
        <w:spacing w:after="0" w:line="333" w:lineRule="auto"/>
        <w:rPr>
          <w:sz w:val="20"/>
          <w:szCs w:val="20"/>
          <w:color w:val="auto"/>
        </w:rPr>
      </w:pPr>
      <w:r>
        <w:rPr>
          <w:rFonts w:ascii="Times New Roman" w:cs="Times New Roman" w:eastAsia="Times New Roman" w:hAnsi="Times New Roman"/>
          <w:sz w:val="19"/>
          <w:szCs w:val="19"/>
          <w:color w:val="auto"/>
        </w:rPr>
        <w:t>Item 6 Item 7 Item 7A Item 8 Item 9 Item 9A Item 9B Item 9C</w:t>
      </w:r>
    </w:p>
    <w:p>
      <w:pPr>
        <w:spacing w:after="0" w:line="28" w:lineRule="exact"/>
        <w:rPr>
          <w:sz w:val="20"/>
          <w:szCs w:val="20"/>
          <w:color w:val="auto"/>
        </w:rPr>
      </w:pPr>
    </w:p>
    <w:p>
      <w:pPr>
        <w:spacing w:after="0" w:line="320" w:lineRule="auto"/>
        <w:rPr>
          <w:sz w:val="20"/>
          <w:szCs w:val="20"/>
          <w:color w:val="auto"/>
        </w:rPr>
      </w:pPr>
      <w:r>
        <w:rPr>
          <w:rFonts w:ascii="Times New Roman" w:cs="Times New Roman" w:eastAsia="Times New Roman" w:hAnsi="Times New Roman"/>
          <w:sz w:val="20"/>
          <w:szCs w:val="20"/>
          <w:b w:val="1"/>
          <w:bCs w:val="1"/>
          <w:color w:val="auto"/>
        </w:rPr>
        <w:t xml:space="preserve">PART III </w:t>
      </w:r>
      <w:r>
        <w:rPr>
          <w:rFonts w:ascii="Times New Roman" w:cs="Times New Roman" w:eastAsia="Times New Roman" w:hAnsi="Times New Roman"/>
          <w:sz w:val="20"/>
          <w:szCs w:val="20"/>
          <w:color w:val="auto"/>
        </w:rPr>
        <w:t>Item 10 Item 11 Item 12 Item 13 Item 14</w:t>
      </w:r>
    </w:p>
    <w:p>
      <w:pPr>
        <w:spacing w:after="0" w:line="35" w:lineRule="exact"/>
        <w:rPr>
          <w:sz w:val="20"/>
          <w:szCs w:val="20"/>
          <w:color w:val="auto"/>
        </w:rPr>
      </w:pPr>
    </w:p>
    <w:p>
      <w:pPr>
        <w:spacing w:after="0" w:line="347" w:lineRule="auto"/>
        <w:rPr>
          <w:sz w:val="20"/>
          <w:szCs w:val="20"/>
          <w:color w:val="auto"/>
        </w:rPr>
      </w:pPr>
      <w:r>
        <w:rPr>
          <w:rFonts w:ascii="Times New Roman" w:cs="Times New Roman" w:eastAsia="Times New Roman" w:hAnsi="Times New Roman"/>
          <w:sz w:val="19"/>
          <w:szCs w:val="19"/>
          <w:b w:val="1"/>
          <w:bCs w:val="1"/>
          <w:color w:val="auto"/>
        </w:rPr>
        <w:t xml:space="preserve">PART IV </w:t>
      </w:r>
      <w:r>
        <w:rPr>
          <w:rFonts w:ascii="Times New Roman" w:cs="Times New Roman" w:eastAsia="Times New Roman" w:hAnsi="Times New Roman"/>
          <w:sz w:val="19"/>
          <w:szCs w:val="19"/>
          <w:color w:val="auto"/>
        </w:rPr>
        <w:t>Item 15 Item 16 Signatures</w:t>
      </w:r>
    </w:p>
    <w:p>
      <w:pPr>
        <w:spacing w:after="0" w:line="20" w:lineRule="exact"/>
        <w:rPr>
          <w:sz w:val="20"/>
          <w:szCs w:val="20"/>
          <w:color w:val="auto"/>
        </w:rPr>
      </w:pPr>
      <w:r>
        <w:rPr>
          <w:sz w:val="20"/>
          <w:szCs w:val="20"/>
          <w:color w:val="auto"/>
        </w:rPr>
        <w:br w:type="column"/>
      </w:r>
    </w:p>
    <w:p>
      <w:pPr>
        <w:ind w:left="2940"/>
        <w:spacing w:after="0"/>
        <w:rPr>
          <w:sz w:val="20"/>
          <w:szCs w:val="20"/>
          <w:color w:val="auto"/>
        </w:rPr>
      </w:pPr>
      <w:r>
        <w:rPr>
          <w:rFonts w:ascii="Arial" w:cs="Arial" w:eastAsia="Arial" w:hAnsi="Arial"/>
          <w:sz w:val="28"/>
          <w:szCs w:val="28"/>
          <w:color w:val="auto"/>
        </w:rPr>
        <w:t>Table of Contents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Risk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Unresolved Staff Comments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Cybersecurity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Properties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Legal Proceedings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Mine Safety Disclosures</w:t>
      </w:r>
    </w:p>
    <w:p>
      <w:pPr>
        <w:spacing w:after="0" w:line="200" w:lineRule="exact"/>
        <w:rPr>
          <w:sz w:val="20"/>
          <w:szCs w:val="20"/>
          <w:color w:val="auto"/>
        </w:rPr>
      </w:pPr>
    </w:p>
    <w:p>
      <w:pPr>
        <w:spacing w:after="0" w:line="20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pacing w:after="0" w:line="70" w:lineRule="exact"/>
        <w:rPr>
          <w:sz w:val="20"/>
          <w:szCs w:val="20"/>
          <w:color w:val="auto"/>
        </w:rPr>
      </w:pPr>
    </w:p>
    <w:p>
      <w:pPr>
        <w:ind w:right="1000"/>
        <w:spacing w:after="0" w:line="313" w:lineRule="auto"/>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 Quantitative and Qualitative Disclosures About Market Risk Financial Statements and Supplementary Data</w:t>
      </w:r>
    </w:p>
    <w:p>
      <w:pPr>
        <w:ind w:right="980"/>
        <w:spacing w:after="0" w:line="305" w:lineRule="auto"/>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 Controls and Procedures</w:t>
      </w:r>
    </w:p>
    <w:p>
      <w:pPr>
        <w:spacing w:after="0"/>
        <w:rPr>
          <w:sz w:val="20"/>
          <w:szCs w:val="20"/>
          <w:color w:val="auto"/>
        </w:rPr>
      </w:pPr>
      <w:r>
        <w:rPr>
          <w:rFonts w:ascii="Times New Roman" w:cs="Times New Roman" w:eastAsia="Times New Roman" w:hAnsi="Times New Roman"/>
          <w:sz w:val="20"/>
          <w:szCs w:val="20"/>
          <w:color w:val="auto"/>
        </w:rPr>
        <w:t>Other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p>
      <w:pPr>
        <w:spacing w:after="0" w:line="200" w:lineRule="exact"/>
        <w:rPr>
          <w:sz w:val="20"/>
          <w:szCs w:val="20"/>
          <w:color w:val="auto"/>
        </w:rPr>
      </w:pPr>
    </w:p>
    <w:p>
      <w:pPr>
        <w:spacing w:after="0" w:line="245" w:lineRule="exact"/>
        <w:rPr>
          <w:sz w:val="20"/>
          <w:szCs w:val="20"/>
          <w:color w:val="auto"/>
        </w:rPr>
      </w:pPr>
    </w:p>
    <w:p>
      <w:pPr>
        <w:ind w:right="3620"/>
        <w:spacing w:after="0" w:line="313" w:lineRule="auto"/>
        <w:rPr>
          <w:sz w:val="20"/>
          <w:szCs w:val="20"/>
          <w:color w:val="auto"/>
        </w:rPr>
      </w:pPr>
      <w:r>
        <w:rPr>
          <w:rFonts w:ascii="Times New Roman" w:cs="Times New Roman" w:eastAsia="Times New Roman" w:hAnsi="Times New Roman"/>
          <w:sz w:val="20"/>
          <w:szCs w:val="20"/>
          <w:color w:val="auto"/>
        </w:rPr>
        <w:t>Directors, Executive Officers and Corporate Governance Executive Compensation</w:t>
      </w:r>
    </w:p>
    <w:p>
      <w:pPr>
        <w:ind w:right="80"/>
        <w:spacing w:after="0" w:line="328" w:lineRule="auto"/>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 Certain Relationships and Related Transactions, and Director Independence Principal Accountant Fees and Services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 and Financial Statement Schedules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10-K 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3">
            <w:col w:w="840" w:space="200"/>
            <w:col w:w="8180" w:space="720"/>
            <w:col w:w="200"/>
          </w:cols>
          <w:pgMar w:left="1040" w:top="1209" w:right="106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GENERAL MATTERS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Definitions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“us,” “our,” “Company,” and “Versant,” refer to Versant Media Group, Inc., and its consolidated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Trademarks and Trade Names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own and license various trademark registrations, trademark applications and unregistered trademarks. All other trade names, trademarks and service marks of other companies appearing in this Annual Report on Form 10-K are the property of their respective holders. Solely for convenience, the trademarks and trade names in this Annual Report on Form 10-K may be referred to without the ®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and Industry Data</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Annual Report on Form 10-K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 contained therein has been obtained from sources believed to be reliable. Each publication, study and report speaks as of its original publication date (and not as of the date of this Annual Report on Form 10-K).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Statements,” and “Management’s Discussion and Analysis of Financial Condition and Results of Operations” in this Annual Report on Form 10-K. These and other factors could cause results to differ materially from those expressed in the estimates and beliefs made by third parties and by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Rounding</w:t>
      </w:r>
    </w:p>
    <w:p>
      <w:pPr>
        <w:spacing w:after="0" w:line="7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Numerical information in this report is presented on a rounded basis using actual amounts. Minor differences in totals and percentage calculations may exist due to rounding.</w:t>
      </w:r>
    </w:p>
    <w:p>
      <w:pPr>
        <w:sectPr>
          <w:pgSz w:w="12240" w:h="15840" w:orient="portrait"/>
          <w:cols w:equalWidth="0" w:num="1">
            <w:col w:w="9360"/>
          </w:cols>
          <w:pgMar w:left="1440" w:top="1371"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Annual Report on Form 10-K includes statements, including under the captions “Item 1. Business,” “Item 1A. Risk Factors,” and “Item 7. Management’s Discussion and Analysis of Financial Condition and Results of Operations,” that may constitute forward-looking statements within the meaning of the Private Securities Litigation Reform Act of 1995, Section 27A of the Securities Act of 1933, and Section 21E of the Securities Exchange Act of 1934. In some cases, you can identify these statements by forward-looking words such as “may,” “might,” “would,” “will,” “should,” “could,” “expects,” “plans,” “intends,” “anticipates,” “believes,” “estimates,” “predicts,” “potential” “opportunity,” “strategy,” “future,” “goal,” “commit,”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risks and uncertainties discussed in this Annual Report on Form 10-K under the caption entitled “Risk Factors” and in other reports we file with the U.S. Securities and Exchange Commission (“SEC”).</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Although we believe the expectations reflected in the forward-looking statements are reasonable, we cannot guarantee future results, level of activity, performance or achievements. Readers are cautioned not to place undue reliance on forward-looking statements, which speak only as of the date they are made. Except as required by law, we undertake no obligation to update or revise publicly any of these forward-looking statements after the date of this Annual Report on Form 10-K to conform our prior statements to actual results, revised expectations or otherwise.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Investing in our securities involves a high degree of risk. The following is a summary of the principal factors that make an investment in our securities speculative or risky, all of which are more fully described below in the section titled “Item 1A. Risk Factors.” This summary should be read in conjunction with “Item 1A. Risk Factors” and should not be relied upon as an exhaustive summary of the material risks facing our business. In addition to the following summary, you should consider the information set forth in “Item 1A. Risk Factors” and the other information contained in this Annual Report on Form 10-K before investing in our securities.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Risk Factors</w:t>
      </w:r>
    </w:p>
    <w:p>
      <w:pPr>
        <w:spacing w:after="0" w:line="197" w:lineRule="exact"/>
        <w:rPr>
          <w:sz w:val="20"/>
          <w:szCs w:val="20"/>
          <w:color w:val="auto"/>
        </w:rPr>
      </w:pPr>
    </w:p>
    <w:p>
      <w:pPr>
        <w:ind w:left="360" w:hanging="360"/>
        <w:spacing w:after="0" w:line="281" w:lineRule="auto"/>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intense competition, and if we are unable to compete effectively, our business, financial condition and results of operations could suffer.</w:t>
      </w:r>
    </w:p>
    <w:p>
      <w:pPr>
        <w:spacing w:after="0" w:line="121" w:lineRule="exact"/>
        <w:rPr>
          <w:rFonts w:ascii="Times New Roman" w:cs="Times New Roman" w:eastAsia="Times New Roman" w:hAnsi="Times New Roman"/>
          <w:sz w:val="20"/>
          <w:szCs w:val="20"/>
          <w:color w:val="auto"/>
        </w:rPr>
      </w:pPr>
    </w:p>
    <w:p>
      <w:pPr>
        <w:ind w:left="360" w:hanging="360"/>
        <w:spacing w:after="0" w:line="281" w:lineRule="auto"/>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consumer behavior, evolving technologies and distribution platforms continue to adversely affect our business.</w:t>
      </w:r>
    </w:p>
    <w:p>
      <w:pPr>
        <w:spacing w:after="0" w:line="121" w:lineRule="exact"/>
        <w:rPr>
          <w:rFonts w:ascii="Times New Roman" w:cs="Times New Roman" w:eastAsia="Times New Roman" w:hAnsi="Times New Roman"/>
          <w:sz w:val="20"/>
          <w:szCs w:val="20"/>
          <w:color w:val="auto"/>
        </w:rPr>
      </w:pPr>
    </w:p>
    <w:p>
      <w:pPr>
        <w:ind w:left="360" w:hanging="360"/>
        <w:spacing w:after="0" w:line="281" w:lineRule="auto"/>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programming distribution agreements, or the renewal of these agreements on less favorable terms, could adversely affect our businesses.</w:t>
      </w:r>
    </w:p>
    <w:p>
      <w:pPr>
        <w:spacing w:after="0" w:line="121"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in advertisers’ expenditures or changes in advertising markets could negatively impact our business.</w:t>
      </w:r>
    </w:p>
    <w:p>
      <w:pPr>
        <w:spacing w:after="0" w:line="190" w:lineRule="exact"/>
        <w:rPr>
          <w:rFonts w:ascii="Times New Roman" w:cs="Times New Roman" w:eastAsia="Times New Roman" w:hAnsi="Times New Roman"/>
          <w:sz w:val="20"/>
          <w:szCs w:val="20"/>
          <w:color w:val="auto"/>
        </w:rPr>
      </w:pPr>
    </w:p>
    <w:p>
      <w:pPr>
        <w:ind w:left="360" w:hanging="360"/>
        <w:spacing w:after="0" w:line="281" w:lineRule="auto"/>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Damage to our brands or our reputation could have a material adverse effect on our business, financial condition or results of operations.</w:t>
      </w:r>
    </w:p>
    <w:p>
      <w:pPr>
        <w:spacing w:after="0" w:line="121" w:lineRule="exact"/>
        <w:rPr>
          <w:rFonts w:ascii="Times New Roman" w:cs="Times New Roman" w:eastAsia="Times New Roman" w:hAnsi="Times New Roman"/>
          <w:sz w:val="20"/>
          <w:szCs w:val="20"/>
          <w:color w:val="auto"/>
        </w:rPr>
      </w:pPr>
    </w:p>
    <w:p>
      <w:pPr>
        <w:ind w:left="360" w:hanging="360"/>
        <w:spacing w:after="0" w:line="281" w:lineRule="auto"/>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depends on the continued appeal of the content we distribute. The preferences of our viewers and distributors are difficult to forecast and subject to change.</w:t>
      </w:r>
    </w:p>
    <w:p>
      <w:pPr>
        <w:spacing w:after="0" w:line="121" w:lineRule="exact"/>
        <w:rPr>
          <w:rFonts w:ascii="Times New Roman" w:cs="Times New Roman" w:eastAsia="Times New Roman" w:hAnsi="Times New Roman"/>
          <w:sz w:val="20"/>
          <w:szCs w:val="20"/>
          <w:color w:val="auto"/>
        </w:rPr>
      </w:pPr>
    </w:p>
    <w:p>
      <w:pPr>
        <w:ind w:left="360" w:hanging="360"/>
        <w:spacing w:after="0" w:line="281" w:lineRule="auto"/>
        <w:tabs>
          <w:tab w:leader="none" w:pos="3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growth of our digital platforms depends on our ability to attract new customers, retain existing customers and continue to grow the revenue we derive from these businesses.</w:t>
      </w:r>
    </w:p>
    <w:p>
      <w:pPr>
        <w:sectPr>
          <w:pgSz w:w="12240" w:h="15840" w:orient="portrait"/>
          <w:cols w:equalWidth="0" w:num="1">
            <w:col w:w="9360"/>
          </w:cols>
          <w:pgMar w:left="1440" w:top="1371" w:right="1440" w:bottom="1440" w:gutter="0" w:footer="0" w:header="0"/>
        </w:sectPr>
      </w:pPr>
    </w:p>
    <w:bookmarkStart w:id="4" w:name="page5"/>
    <w:bookmarkEnd w:id="4"/>
    <w:p>
      <w:pPr>
        <w:ind w:left="720" w:hanging="36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businesses depend on using and protecting certain intellectual property rights and on not infringing, misappropriating or otherwise violating the intellectual property rights of others.</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60"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cyber incident or attack, information or security breach, or technology disruption or failure, may negatively impact our ability to conduct our business or result in the misuse of confidential information, including personal information or other sensitive business information, all of which could adversely affect our reputation and our business, financial condition and results of operations.</w:t>
      </w:r>
    </w:p>
    <w:p>
      <w:pPr>
        <w:spacing w:after="0" w:line="143"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complex and evolving laws and regulations related to privacy and data protection.</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network rebrands may result in customer confusion and disruption, leading to lower ratings and monetization.</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Weak economic conditions may have a negative impact on our businesses.</w:t>
      </w:r>
    </w:p>
    <w:p>
      <w:pPr>
        <w:spacing w:after="0" w:line="19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from time to time record impairment charges for goodwill and intangible assets.</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loss of key management personnel or popular on-air and creative talent could have an adverse effect on our businesses.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Labor disputes, whether involving employees or sports organizations, may disrupt our operations and adversely affect our businesses.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regulation by federal, state and local authorities, which impose additional costs and restrictions on our businesses.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litigation or governmental investigation results could require us to pay significant amounts or lead to onerous operating procedures.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successfully make investments in, or acquire and integrate, other businesses, assets, products or technologies could harm our business, financial condition or operating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Spin-Related Risk Factors</w:t>
      </w:r>
    </w:p>
    <w:p>
      <w:pPr>
        <w:spacing w:after="0" w:line="197" w:lineRule="exact"/>
        <w:rPr>
          <w:sz w:val="20"/>
          <w:szCs w:val="20"/>
          <w:color w:val="auto"/>
        </w:rPr>
      </w:pPr>
    </w:p>
    <w:p>
      <w:pPr>
        <w:ind w:left="72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realize the anticipated benefits from our separation (the “Separation”) from Comcast Corporation (“Comcast”), and the Separation could harm our business.</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 history of operating as an independent company, and our combined financial statements are not necessarily representative of the results that we would have achieved as an independent, publicly traded company and may not be a reliable indicator of our future results.</w:t>
      </w:r>
    </w:p>
    <w:p>
      <w:pPr>
        <w:spacing w:after="0" w:line="135"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historically operated within Comcast, and there are risks associated with the Separation.</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and will incur significant costs to create the infrastructure necessary to operate as an independent public company and may experience operational disruptions in connection with the Separation.</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associated with being a public company will require significant resources and management attention.</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Separation, Comcast agreed to indemnify us for certain liabilities, and we agreed to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ectPr>
          <w:pgSz w:w="12240" w:h="15840" w:orient="portrait"/>
          <w:cols w:equalWidth="0" w:num="1">
            <w:col w:w="9720"/>
          </w:cols>
          <w:pgMar w:left="1080" w:top="1378" w:right="1440" w:bottom="1021" w:gutter="0" w:footer="0" w:header="0"/>
        </w:sectPr>
      </w:pPr>
    </w:p>
    <w:bookmarkStart w:id="5" w:name="page6"/>
    <w:bookmarkEnd w:id="5"/>
    <w:p>
      <w:pPr>
        <w:ind w:left="720" w:hanging="36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Separation, we incurred substantial indebtedness, which could restrict our business and adversely impact our cash flows, business, financial condition and results of operations.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potentially could have received better terms from unaffiliated third parties than the terms we will receive in our agreements with Comcast.</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corporate reorganization transactions which resulted in our ownership of the assets, liabilities and legal entities comprising our business (the “Transactions”) and the distribution of our common stock by Comcast to holders of Comcast common stock (the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143"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Separation is taxable to Comcast as a result of a breach by us of any covenant or representation made by us in the tax matters agreement, we generally will be required to indemnify Comcast and the obligation to make payments on this indemnification obligation could have a material adverse effect on us.</w:t>
      </w:r>
    </w:p>
    <w:p>
      <w:pPr>
        <w:spacing w:after="0" w:line="135"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significant restrictions on our actions following the Separation in order to avoid triggering significant tax-related liabilities.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Common Stock Risk Factors</w:t>
      </w:r>
    </w:p>
    <w:p>
      <w:pPr>
        <w:spacing w:after="0" w:line="197" w:lineRule="exact"/>
        <w:rPr>
          <w:sz w:val="20"/>
          <w:szCs w:val="20"/>
          <w:color w:val="auto"/>
        </w:rPr>
      </w:pPr>
    </w:p>
    <w:p>
      <w:pPr>
        <w:ind w:left="72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and trading volume of our Class A common stock may be volatile, and our shareholders could lose all or part of their investment in the Company.</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in our articles of incorporation and bylaws and certain provisions of Pennsylvania law could delay or prevent a change in control of Versant.</w:t>
      </w:r>
    </w:p>
    <w:p>
      <w:pPr>
        <w:spacing w:after="0" w:line="121"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percentage ownership in Versant may be diluted in the future.</w:t>
      </w:r>
    </w:p>
    <w:p>
      <w:pPr>
        <w:spacing w:after="0" w:line="190"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common stock is and will be subordinate to all of our existing and future indebtedness and any preferred stock, and effectively subordinated to all indebtedness and preferred equity claims against our subsidiaries.</w:t>
      </w:r>
    </w:p>
    <w:p>
      <w:pPr>
        <w:spacing w:after="0" w:line="121"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cannot assure you that our Board will declare dividends or that we will purchase our common stock pursuant to our share repurchase program in the foreseeable future.</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Class B common stock has substantial voting rights and separate approval rights over certain potentially material transactions, and Brian L. Roberts, the Chairman and CEO of Comcast, has considerable influence over Versant through his beneficial ownership of our Class B common stock.</w:t>
      </w:r>
    </w:p>
    <w:p>
      <w:pPr>
        <w:sectPr>
          <w:pgSz w:w="12240" w:h="15840" w:orient="portrait"/>
          <w:cols w:equalWidth="0" w:num="1">
            <w:col w:w="9720"/>
          </w:cols>
          <w:pgMar w:left="1080" w:top="1378" w:right="1440" w:bottom="1440" w:gutter="0" w:footer="0" w:header="0"/>
        </w:sectPr>
      </w:pPr>
    </w:p>
    <w:bookmarkStart w:id="6" w:name="page7"/>
    <w:bookmarkEnd w:id="6"/>
    <w:p>
      <w:pPr>
        <w:ind w:left="6"/>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20"/>
          <w:szCs w:val="20"/>
          <w:color w:val="auto"/>
        </w:rPr>
        <w:t>Versant is a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television networks operating primarily in the United States, including MS NOW, CNBC, USA Network, Golf Channel, E!, SYFY and Oxygen, and our complementary digital platforms GolfNow, Fandango and Rotten Tomatoes.</w:t>
      </w:r>
    </w:p>
    <w:p>
      <w:pPr>
        <w:spacing w:after="0" w:line="204"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20"/>
          <w:szCs w:val="20"/>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We present our operations in one reportable business segment.</w:t>
      </w:r>
    </w:p>
    <w:p>
      <w:pPr>
        <w:spacing w:after="0" w:line="204" w:lineRule="exact"/>
        <w:rPr>
          <w:sz w:val="20"/>
          <w:szCs w:val="20"/>
          <w:color w:val="auto"/>
        </w:rPr>
      </w:pPr>
    </w:p>
    <w:p>
      <w:pPr>
        <w:jc w:val="both"/>
        <w:ind w:left="6"/>
        <w:spacing w:after="0" w:line="254" w:lineRule="auto"/>
        <w:rPr>
          <w:sz w:val="20"/>
          <w:szCs w:val="20"/>
          <w:color w:val="auto"/>
        </w:rPr>
      </w:pPr>
      <w:r>
        <w:rPr>
          <w:rFonts w:ascii="Times New Roman" w:cs="Times New Roman" w:eastAsia="Times New Roman" w:hAnsi="Times New Roman"/>
          <w:sz w:val="20"/>
          <w:szCs w:val="20"/>
          <w:color w:val="auto"/>
        </w:rPr>
        <w:t>Versant was incorporated in Pennsylvania on May 1, 2025. Prior to January 2, 2026, we were a wholly owned subsidiary of Comcast Corporation (“Comcast”) and operated as a part of Comcast’s Media Segment. On January 2, 2026, we separated (the “Separation”) from Comcast and became a standalone publicly traded company and on January 5, 2026, Versant’s Class A common stock began trading under the ticker symbol “VSNT” on the Nasdaq Global Select Market LLC (“Nasdaq”). In connection with the Separation, the Company entered into several agreements that govern certain aspects of the Company’s relationship with Comcast following the Separation, including a separation and distribution agreement, a tax matters agreement, a transition services agreement, and an employee matters agreement, as well as agreements relating to intellectual property licenses and commercial arrangements.</w:t>
      </w:r>
    </w:p>
    <w:p>
      <w:pPr>
        <w:spacing w:after="0" w:line="1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Our Brands</w:t>
      </w:r>
    </w:p>
    <w:p>
      <w:pPr>
        <w:spacing w:after="0" w:line="19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color w:val="auto"/>
        </w:rPr>
        <w:t>Our portfolio of brands deliver news, sports and entertainment content through our networks and digital platforms:</w:t>
      </w:r>
    </w:p>
    <w:p>
      <w:pPr>
        <w:spacing w:after="0" w:line="190" w:lineRule="exact"/>
        <w:rPr>
          <w:sz w:val="20"/>
          <w:szCs w:val="20"/>
          <w:color w:val="auto"/>
        </w:rPr>
      </w:pPr>
    </w:p>
    <w:p>
      <w:pPr>
        <w:ind w:left="366" w:hanging="366"/>
        <w:spacing w:after="0" w:line="281"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MS NOW features politics, news and opinion programming, operating across multiple media platforms: multichannel video programming distributors (“MVPDs”), digital, social platforms, podcasts and live events.</w:t>
      </w:r>
    </w:p>
    <w:p>
      <w:pPr>
        <w:spacing w:after="0" w:line="121" w:lineRule="exact"/>
        <w:rPr>
          <w:rFonts w:ascii="Times New Roman" w:cs="Times New Roman" w:eastAsia="Times New Roman" w:hAnsi="Times New Roman"/>
          <w:sz w:val="20"/>
          <w:szCs w:val="20"/>
          <w:color w:val="auto"/>
        </w:rPr>
      </w:pPr>
    </w:p>
    <w:p>
      <w:pPr>
        <w:jc w:val="both"/>
        <w:ind w:left="366" w:hanging="366"/>
        <w:spacing w:after="0" w:line="260"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CNBC features business and personal finance news, with real-time financial market coverage and analysis, including business coverage through franchises such as Squawk Box, Squawk on the Street, Closing Bell and Mad Money. In addition to distribution through MVPDs, CNBC has expanded its offerings through a portfolio of branded products, including direct-to-consumer services, podcasts, conferences and other live events.</w:t>
      </w:r>
    </w:p>
    <w:p>
      <w:pPr>
        <w:spacing w:after="0" w:line="143" w:lineRule="exact"/>
        <w:rPr>
          <w:rFonts w:ascii="Times New Roman" w:cs="Times New Roman" w:eastAsia="Times New Roman" w:hAnsi="Times New Roman"/>
          <w:sz w:val="20"/>
          <w:szCs w:val="20"/>
          <w:color w:val="auto"/>
        </w:rPr>
      </w:pPr>
    </w:p>
    <w:p>
      <w:pPr>
        <w:ind w:left="366" w:right="220" w:hanging="366"/>
        <w:spacing w:after="0" w:line="260"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USA Network features sports, entertainment and live event programming, including WWE Smackdown, NASCAR, the WNBA (starting with the 2026 season), golf (including the U.S. Open, The Open Championship and the Ryder Cup), the Premier League, the PAC-12 (beginning in fall 2026), League One Volleyball (starting with the 2026 season) and the Olympics.</w:t>
      </w:r>
    </w:p>
    <w:p>
      <w:pPr>
        <w:spacing w:after="0" w:line="143" w:lineRule="exact"/>
        <w:rPr>
          <w:rFonts w:ascii="Times New Roman" w:cs="Times New Roman" w:eastAsia="Times New Roman" w:hAnsi="Times New Roman"/>
          <w:sz w:val="20"/>
          <w:szCs w:val="20"/>
          <w:color w:val="auto"/>
        </w:rPr>
      </w:pPr>
    </w:p>
    <w:p>
      <w:pPr>
        <w:ind w:left="366" w:hanging="366"/>
        <w:spacing w:after="0" w:line="281"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Golf Channel features live golf and related content, including news, instruction, documentaries and library programming. Its content is distributed on a variety of platforms to viewers in more than 50 countries.</w:t>
      </w:r>
    </w:p>
    <w:p>
      <w:pPr>
        <w:spacing w:after="0" w:line="121" w:lineRule="exact"/>
        <w:rPr>
          <w:rFonts w:ascii="Times New Roman" w:cs="Times New Roman" w:eastAsia="Times New Roman" w:hAnsi="Times New Roman"/>
          <w:sz w:val="20"/>
          <w:szCs w:val="20"/>
          <w:color w:val="auto"/>
        </w:rPr>
      </w:pPr>
    </w:p>
    <w:p>
      <w:pPr>
        <w:jc w:val="both"/>
        <w:ind w:left="366" w:hanging="366"/>
        <w:spacing w:after="0" w:line="260"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GolfNow is an online tee time marketplace in various countries throughout the world, helping golfers and golf courses better connect by offering tee time bookings at 9,000 courses worldwide. GolfNow also offers golf course technology, software and related services to help manage course operations, including solutions that facilitate on-site payments for tee times, food and beverage and merchandise.</w:t>
      </w:r>
    </w:p>
    <w:p>
      <w:pPr>
        <w:spacing w:after="0" w:line="143" w:lineRule="exact"/>
        <w:rPr>
          <w:rFonts w:ascii="Times New Roman" w:cs="Times New Roman" w:eastAsia="Times New Roman" w:hAnsi="Times New Roman"/>
          <w:sz w:val="20"/>
          <w:szCs w:val="20"/>
          <w:color w:val="auto"/>
        </w:rPr>
      </w:pPr>
    </w:p>
    <w:p>
      <w:pPr>
        <w:ind w:left="366" w:hanging="366"/>
        <w:spacing w:after="0" w:line="281"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SportsEngine is a suite of digital products and services that facilitate management of youth sport leagues, teams, participants and their families, and the processing of related payments.</w:t>
      </w:r>
    </w:p>
    <w:p>
      <w:pPr>
        <w:spacing w:after="0" w:line="181" w:lineRule="exact"/>
        <w:rPr>
          <w:rFonts w:ascii="Times New Roman" w:cs="Times New Roman" w:eastAsia="Times New Roman" w:hAnsi="Times New Roman"/>
          <w:sz w:val="20"/>
          <w:szCs w:val="20"/>
          <w:color w:val="auto"/>
        </w:rPr>
      </w:pPr>
    </w:p>
    <w:p>
      <w:pPr>
        <w:jc w:val="both"/>
        <w:ind w:left="366" w:hanging="366"/>
        <w:spacing w:after="0" w:line="266" w:lineRule="auto"/>
        <w:tabs>
          <w:tab w:leader="none" w:pos="36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is a pop culture network featuring news, unscripted originals, live events, such as Live from E!, and high-profile acquired content, such as Sex and the City and a variety of primarily female-focused films. E! News Digital delivers premium content to fans across owned and third-party digital and social platforms.</w:t>
      </w:r>
    </w:p>
    <w:p>
      <w:pPr>
        <w:sectPr>
          <w:pgSz w:w="12240" w:h="15840" w:orient="portrait"/>
          <w:cols w:equalWidth="0" w:num="1">
            <w:col w:w="10246"/>
          </w:cols>
          <w:pgMar w:left="994" w:top="11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246"/>
          </w:cols>
          <w:pgMar w:left="994" w:top="1198" w:right="1000" w:bottom="0" w:gutter="0" w:footer="0" w:header="0"/>
          <w:type w:val="continuous"/>
        </w:sectPr>
      </w:pPr>
    </w:p>
    <w:bookmarkStart w:id="7" w:name="page8"/>
    <w:bookmarkEnd w:id="7"/>
    <w:p>
      <w:pPr>
        <w:jc w:val="both"/>
        <w:ind w:left="366" w:hanging="366"/>
        <w:spacing w:after="0" w:line="266" w:lineRule="auto"/>
        <w:tabs>
          <w:tab w:leader="none" w:pos="36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SYFY is a science fiction genre network featuring science fiction, fantasy, action, adventure, paranormal and superhero programming, along with fan-focused film franchises. SYFY provides content on a multiplatform basis through SYFY’s network and related digital services.</w:t>
      </w:r>
    </w:p>
    <w:p>
      <w:pPr>
        <w:spacing w:after="0" w:line="135" w:lineRule="exact"/>
        <w:rPr>
          <w:rFonts w:ascii="Times New Roman" w:cs="Times New Roman" w:eastAsia="Times New Roman" w:hAnsi="Times New Roman"/>
          <w:sz w:val="20"/>
          <w:szCs w:val="20"/>
          <w:color w:val="auto"/>
        </w:rPr>
      </w:pPr>
    </w:p>
    <w:p>
      <w:pPr>
        <w:jc w:val="both"/>
        <w:ind w:left="366" w:hanging="366"/>
        <w:spacing w:after="0" w:line="266" w:lineRule="auto"/>
        <w:tabs>
          <w:tab w:leader="none" w:pos="36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Oxygen True Crime is a multiplatform brand featuring true crime programming, including the Snapped franchise, Cold Justice, Killer Relationship with Faith Jenkins and event specials such as The Pike County Murders: A Family Massacre, Selena &amp; Yolanda: The Secrets Between Them and The Disappearance of Alissa Turney.</w:t>
      </w:r>
    </w:p>
    <w:p>
      <w:pPr>
        <w:spacing w:after="0" w:line="135" w:lineRule="exact"/>
        <w:rPr>
          <w:rFonts w:ascii="Times New Roman" w:cs="Times New Roman" w:eastAsia="Times New Roman" w:hAnsi="Times New Roman"/>
          <w:sz w:val="20"/>
          <w:szCs w:val="20"/>
          <w:color w:val="auto"/>
        </w:rPr>
      </w:pPr>
    </w:p>
    <w:p>
      <w:pPr>
        <w:jc w:val="both"/>
        <w:ind w:left="366" w:hanging="366"/>
        <w:spacing w:after="0" w:line="260" w:lineRule="auto"/>
        <w:tabs>
          <w:tab w:leader="none" w:pos="36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Fandango is an online platform for movie and television information, providing movie ticketing to over 30,000 U.S. screens and access to trailers and movie reviews and hosting a digital video-on-demand service. Fandango includes Rotten Tomatoes, a source for movie and television reviews. In December 2025, Fandango acquired Indy Cinema, which provides technology solutions to cinema operators for ticketing, concessions, loyalty programs, marketing, and analytics.</w:t>
      </w:r>
    </w:p>
    <w:p>
      <w:pPr>
        <w:spacing w:after="0" w:line="143" w:lineRule="exact"/>
        <w:rPr>
          <w:rFonts w:ascii="Times New Roman" w:cs="Times New Roman" w:eastAsia="Times New Roman" w:hAnsi="Times New Roman"/>
          <w:sz w:val="20"/>
          <w:szCs w:val="20"/>
          <w:color w:val="auto"/>
        </w:rPr>
      </w:pPr>
    </w:p>
    <w:p>
      <w:pPr>
        <w:ind w:left="366" w:hanging="366"/>
        <w:spacing w:after="0" w:line="281" w:lineRule="auto"/>
        <w:tabs>
          <w:tab w:leader="none" w:pos="366"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2026, we acquired Free TV Networks, which operates four national free over-the-air (“OTA”) digital broadcast channels and free ad-supported streaming television (“FAST”) channels, including 365BLK, Defy, Outlaw and Busted.</w:t>
      </w:r>
    </w:p>
    <w:p>
      <w:pPr>
        <w:spacing w:after="0" w:line="121" w:lineRule="exact"/>
        <w:rPr>
          <w:sz w:val="20"/>
          <w:szCs w:val="20"/>
          <w:color w:val="auto"/>
        </w:rPr>
      </w:pPr>
    </w:p>
    <w:p>
      <w:pPr>
        <w:ind w:left="6" w:right="300"/>
        <w:spacing w:after="0" w:line="281" w:lineRule="auto"/>
        <w:rPr>
          <w:sz w:val="20"/>
          <w:szCs w:val="20"/>
          <w:color w:val="auto"/>
        </w:rPr>
      </w:pPr>
      <w:r>
        <w:rPr>
          <w:rFonts w:ascii="Times New Roman" w:cs="Times New Roman" w:eastAsia="Times New Roman" w:hAnsi="Times New Roman"/>
          <w:sz w:val="20"/>
          <w:szCs w:val="20"/>
          <w:color w:val="auto"/>
        </w:rPr>
        <w:t>Our portfolio of networks operates predominantly in the United States. The table below presents a summary of our networks and their advertising reach to U.S. households as of December 31, 2025.</w:t>
      </w:r>
    </w:p>
    <w:p>
      <w:pPr>
        <w:spacing w:after="0" w:line="170"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Approx. U.S.</w:t>
            </w:r>
          </w:p>
        </w:tc>
        <w:tc>
          <w:tcPr>
            <w:tcW w:w="0" w:type="dxa"/>
            <w:vAlign w:val="bottom"/>
          </w:tcPr>
          <w:p>
            <w:pPr>
              <w:spacing w:after="0"/>
              <w:rPr>
                <w:sz w:val="1"/>
                <w:szCs w:val="1"/>
                <w:color w:val="auto"/>
              </w:rPr>
            </w:pPr>
          </w:p>
        </w:tc>
      </w:tr>
      <w:tr>
        <w:trPr>
          <w:trHeight w:val="160"/>
        </w:trPr>
        <w:tc>
          <w:tcPr>
            <w:tcW w:w="91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Cable Television Audience</w:t>
            </w:r>
          </w:p>
        </w:tc>
        <w:tc>
          <w:tcPr>
            <w:tcW w:w="60" w:type="dxa"/>
            <w:vAlign w:val="bottom"/>
          </w:tcPr>
          <w:p>
            <w:pPr>
              <w:spacing w:after="0"/>
              <w:rPr>
                <w:sz w:val="13"/>
                <w:szCs w:val="13"/>
                <w:color w:val="auto"/>
              </w:rPr>
            </w:pPr>
          </w:p>
        </w:tc>
        <w:tc>
          <w:tcPr>
            <w:tcW w:w="104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Households</w:t>
            </w:r>
          </w:p>
        </w:tc>
        <w:tc>
          <w:tcPr>
            <w:tcW w:w="0" w:type="dxa"/>
            <w:vAlign w:val="bottom"/>
          </w:tcPr>
          <w:p>
            <w:pPr>
              <w:spacing w:after="0"/>
              <w:rPr>
                <w:sz w:val="1"/>
                <w:szCs w:val="1"/>
                <w:color w:val="auto"/>
              </w:rPr>
            </w:pPr>
          </w:p>
        </w:tc>
      </w:tr>
      <w:tr>
        <w:trPr>
          <w:trHeight w:val="214"/>
        </w:trPr>
        <w:tc>
          <w:tcPr>
            <w:tcW w:w="91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14" w:lineRule="exact"/>
              <w:rPr>
                <w:sz w:val="20"/>
                <w:szCs w:val="20"/>
                <w:color w:val="auto"/>
              </w:rPr>
            </w:pPr>
            <w:r>
              <w:rPr>
                <w:rFonts w:ascii="Times New Roman" w:cs="Times New Roman" w:eastAsia="Times New Roman" w:hAnsi="Times New Roman"/>
                <w:sz w:val="16"/>
                <w:szCs w:val="16"/>
                <w:b w:val="1"/>
                <w:bCs w:val="1"/>
                <w:color w:val="auto"/>
                <w:w w:val="90"/>
              </w:rPr>
              <w:t>(mm)</w:t>
            </w:r>
            <w:r>
              <w:rPr>
                <w:rFonts w:ascii="Times New Roman" w:cs="Times New Roman" w:eastAsia="Times New Roman" w:hAnsi="Times New Roman"/>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92"/>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MS NOW</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85"/>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CNBC</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85"/>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USA Network</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85"/>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Golf Channel</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w:t>
            </w:r>
          </w:p>
        </w:tc>
        <w:tc>
          <w:tcPr>
            <w:tcW w:w="0" w:type="dxa"/>
            <w:vAlign w:val="bottom"/>
          </w:tcPr>
          <w:p>
            <w:pPr>
              <w:spacing w:after="0"/>
              <w:rPr>
                <w:sz w:val="1"/>
                <w:szCs w:val="1"/>
                <w:color w:val="auto"/>
              </w:rPr>
            </w:pPr>
          </w:p>
        </w:tc>
      </w:tr>
      <w:tr>
        <w:trPr>
          <w:trHeight w:val="285"/>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85"/>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SYFY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85"/>
        </w:trPr>
        <w:tc>
          <w:tcPr>
            <w:tcW w:w="9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Oxygen True Crime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-1289685</wp:posOffset>
            </wp:positionV>
            <wp:extent cx="6530975"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530975" cy="131127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290195</wp:posOffset>
                </wp:positionV>
                <wp:extent cx="65722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85pt" to="51.75pt,22.85pt" o:allowincell="f" strokecolor="#000000" strokeweight="0.75pt"/>
            </w:pict>
          </mc:Fallback>
        </mc:AlternateContent>
      </w:r>
    </w:p>
    <w:p>
      <w:pPr>
        <w:spacing w:after="0" w:line="200" w:lineRule="exact"/>
        <w:rPr>
          <w:sz w:val="20"/>
          <w:szCs w:val="20"/>
          <w:color w:val="auto"/>
        </w:rPr>
      </w:pPr>
    </w:p>
    <w:p>
      <w:pPr>
        <w:spacing w:after="0" w:line="336" w:lineRule="exact"/>
        <w:rPr>
          <w:sz w:val="20"/>
          <w:szCs w:val="20"/>
          <w:color w:val="auto"/>
        </w:rPr>
      </w:pPr>
    </w:p>
    <w:p>
      <w:pPr>
        <w:jc w:val="both"/>
        <w:ind w:left="366" w:hanging="366"/>
        <w:spacing w:after="0"/>
        <w:tabs>
          <w:tab w:leader="none" w:pos="382"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Household data is based on information from Nielsen as of December 31, 2025 using its Cable Coverage Universe Estimates report and dynamic ad insertion estimates. The Nielsen estimates 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w:t>
      </w:r>
    </w:p>
    <w:p>
      <w:pPr>
        <w:spacing w:after="0" w:line="3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How We Generate Revenue</w:t>
      </w:r>
    </w:p>
    <w:p>
      <w:pPr>
        <w:spacing w:after="0" w:line="1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Linear Distribution</w:t>
      </w:r>
    </w:p>
    <w:p>
      <w:pPr>
        <w:spacing w:after="0" w:line="199"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20"/>
          <w:szCs w:val="20"/>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Advertising</w:t>
      </w:r>
    </w:p>
    <w:p>
      <w:pPr>
        <w:spacing w:after="0" w:line="199"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20"/>
          <w:szCs w:val="20"/>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 Effective with the Separation and pursuant to a commercial agreement between NBCUniversal and us, NBCUniversal will sell domestic linear and related digital advertising inventory on our behalf for approximately two years.</w:t>
      </w:r>
    </w:p>
    <w:p>
      <w:pPr>
        <w:sectPr>
          <w:pgSz w:w="12240" w:h="15840" w:orient="portrait"/>
          <w:cols w:equalWidth="0" w:num="1">
            <w:col w:w="10246"/>
          </w:cols>
          <w:pgMar w:left="994" w:top="120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246"/>
          </w:cols>
          <w:pgMar w:left="994" w:top="1205" w:right="1000" w:bottom="0" w:gutter="0" w:footer="0" w:header="0"/>
          <w:type w:val="continuous"/>
        </w:sectPr>
      </w:pPr>
    </w:p>
    <w:bookmarkStart w:id="8" w:name="page9"/>
    <w:bookmarkEnd w:id="8"/>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Platforms</w:t>
      </w:r>
    </w:p>
    <w:p>
      <w:pPr>
        <w:spacing w:after="0" w:line="199" w:lineRule="exact"/>
        <w:rPr>
          <w:sz w:val="20"/>
          <w:szCs w:val="20"/>
          <w:color w:val="auto"/>
        </w:rPr>
      </w:pPr>
    </w:p>
    <w:p>
      <w:pPr>
        <w:jc w:val="both"/>
        <w:ind w:left="6"/>
        <w:spacing w:after="0" w:line="254" w:lineRule="auto"/>
        <w:rPr>
          <w:sz w:val="20"/>
          <w:szCs w:val="20"/>
          <w:color w:val="auto"/>
        </w:rPr>
      </w:pPr>
      <w:r>
        <w:rPr>
          <w:rFonts w:ascii="Times New Roman" w:cs="Times New Roman" w:eastAsia="Times New Roman" w:hAnsi="Times New Roman"/>
          <w:sz w:val="20"/>
          <w:szCs w:val="20"/>
          <w:color w:val="auto"/>
        </w:rPr>
        <w:t>We generate revenue from services provided through our digital platforms. The GolfNow, Fandango and SportsEngine platforms facilitate consumer transactions with golf courses, movie cinemas and studios, and youth sports leagues, respectively. Our GolfNow, Fandango and SportsEngine offerings also include cloud-based technology solutions and related services to golf courses, movie cinemas and youth sports organizations, respectively. We also offer subscription services, including CNBC’s branded offerings, which provide live and on-demand personal finance programming and GolfPass, which offers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14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Content Licensing</w:t>
      </w:r>
    </w:p>
    <w:p>
      <w:pPr>
        <w:spacing w:after="0" w:line="199" w:lineRule="exact"/>
        <w:rPr>
          <w:sz w:val="20"/>
          <w:szCs w:val="20"/>
          <w:color w:val="auto"/>
        </w:rPr>
      </w:pPr>
    </w:p>
    <w:p>
      <w:pPr>
        <w:jc w:val="both"/>
        <w:ind w:left="6"/>
        <w:spacing w:after="0" w:line="281" w:lineRule="auto"/>
        <w:rPr>
          <w:sz w:val="20"/>
          <w:szCs w:val="20"/>
          <w:color w:val="auto"/>
        </w:rPr>
      </w:pPr>
      <w:r>
        <w:rPr>
          <w:rFonts w:ascii="Times New Roman" w:cs="Times New Roman" w:eastAsia="Times New Roman" w:hAnsi="Times New Roman"/>
          <w:sz w:val="20"/>
          <w:szCs w:val="20"/>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How We Acquire Content</w:t>
      </w:r>
    </w:p>
    <w:p>
      <w:pPr>
        <w:spacing w:after="0" w:line="197" w:lineRule="exact"/>
        <w:rPr>
          <w:sz w:val="20"/>
          <w:szCs w:val="20"/>
          <w:color w:val="auto"/>
        </w:rPr>
      </w:pPr>
    </w:p>
    <w:p>
      <w:pPr>
        <w:jc w:val="both"/>
        <w:ind w:left="6"/>
        <w:spacing w:after="0" w:line="281" w:lineRule="auto"/>
        <w:rPr>
          <w:sz w:val="20"/>
          <w:szCs w:val="20"/>
          <w:color w:val="auto"/>
        </w:rPr>
      </w:pPr>
      <w:r>
        <w:rPr>
          <w:rFonts w:ascii="Times New Roman" w:cs="Times New Roman" w:eastAsia="Times New Roman" w:hAnsi="Times New Roman"/>
          <w:sz w:val="20"/>
          <w:szCs w:val="20"/>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112"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News Programming</w:t>
      </w:r>
    </w:p>
    <w:p>
      <w:pPr>
        <w:spacing w:after="0" w:line="199" w:lineRule="exact"/>
        <w:rPr>
          <w:sz w:val="20"/>
          <w:szCs w:val="20"/>
          <w:color w:val="auto"/>
        </w:rPr>
      </w:pPr>
    </w:p>
    <w:p>
      <w:pPr>
        <w:jc w:val="both"/>
        <w:ind w:left="6"/>
        <w:spacing w:after="0" w:line="260" w:lineRule="auto"/>
        <w:rPr>
          <w:sz w:val="20"/>
          <w:szCs w:val="20"/>
          <w:color w:val="auto"/>
        </w:rPr>
      </w:pPr>
      <w:r>
        <w:rPr>
          <w:rFonts w:ascii="Times New Roman" w:cs="Times New Roman" w:eastAsia="Times New Roman" w:hAnsi="Times New Roman"/>
          <w:sz w:val="20"/>
          <w:szCs w:val="20"/>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134"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i w:val="1"/>
          <w:iCs w:val="1"/>
          <w:color w:val="auto"/>
        </w:rPr>
        <w:t>Sports Programming</w:t>
      </w:r>
    </w:p>
    <w:p>
      <w:pPr>
        <w:spacing w:after="0" w:line="199" w:lineRule="exact"/>
        <w:rPr>
          <w:sz w:val="20"/>
          <w:szCs w:val="20"/>
          <w:color w:val="auto"/>
        </w:rPr>
      </w:pPr>
    </w:p>
    <w:p>
      <w:pPr>
        <w:jc w:val="both"/>
        <w:ind w:left="6"/>
        <w:spacing w:after="0" w:line="255" w:lineRule="auto"/>
        <w:rPr>
          <w:sz w:val="20"/>
          <w:szCs w:val="20"/>
          <w:color w:val="auto"/>
        </w:rPr>
      </w:pPr>
      <w:r>
        <w:rPr>
          <w:rFonts w:ascii="Times New Roman" w:cs="Times New Roman" w:eastAsia="Times New Roman" w:hAnsi="Times New Roman"/>
          <w:sz w:val="20"/>
          <w:szCs w:val="20"/>
          <w:color w:val="auto"/>
        </w:rPr>
        <w:t>Our sports programming and related content is typically licensed under multiyear contractual agreements with the relevant sports leagues. The table below presents a summary of our most significant sports rights agreements. Additionally, certain content from the 2026 Olympic Winter Games and the 2028 Summer Olympic Games will be distributed on our networks through time purchase agreements pursuant to which NBCUniversal is permitted to exhibit such content on our networks and platforms. Our sports programming is produced by a combination of in-house and third-party teams. In November 2025, we introduced USA Sports, our new brand and division name for our sports portfolio and programming across USA Network and Golf Channel.</w:t>
      </w:r>
    </w:p>
    <w:p>
      <w:pPr>
        <w:spacing w:after="0" w:line="256"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78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Sports Rights</w:t>
            </w:r>
            <w:r>
              <w:rPr>
                <w:rFonts w:ascii="Times New Roman" w:cs="Times New Roman" w:eastAsia="Times New Roman" w:hAnsi="Times New Roman"/>
                <w:sz w:val="20"/>
                <w:szCs w:val="20"/>
                <w:b w:val="1"/>
                <w:bCs w:val="1"/>
                <w:color w:val="auto"/>
                <w:vertAlign w:val="superscript"/>
              </w:rPr>
              <w:t>(1)</w:t>
            </w:r>
          </w:p>
        </w:tc>
        <w:tc>
          <w:tcPr>
            <w:tcW w:w="60" w:type="dxa"/>
            <w:vAlign w:val="bottom"/>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 Expiration</w:t>
            </w:r>
          </w:p>
        </w:tc>
      </w:tr>
      <w:tr>
        <w:trPr>
          <w:trHeight w:val="292"/>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Premier League</w:t>
            </w:r>
          </w:p>
        </w:tc>
        <w:tc>
          <w:tcPr>
            <w:tcW w:w="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2027-28 season</w:t>
            </w:r>
          </w:p>
        </w:tc>
      </w:tr>
      <w:tr>
        <w:trPr>
          <w:trHeight w:val="285"/>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Atlantic Ten Conference Basketball</w:t>
            </w:r>
          </w:p>
        </w:tc>
        <w:tc>
          <w:tcPr>
            <w:tcW w:w="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2028-29 season</w:t>
            </w:r>
          </w:p>
        </w:tc>
      </w:tr>
      <w:tr>
        <w:trPr>
          <w:trHeight w:val="285"/>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PGA Tour, Open Championship, Ryder Cup</w:t>
            </w:r>
          </w:p>
        </w:tc>
        <w:tc>
          <w:tcPr>
            <w:tcW w:w="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Between 2028 and 2033</w:t>
            </w:r>
          </w:p>
        </w:tc>
      </w:tr>
      <w:tr>
        <w:trPr>
          <w:trHeight w:val="285"/>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World Wrestling Entertainment (“WWE”)</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2029</w:t>
            </w:r>
          </w:p>
        </w:tc>
      </w:tr>
      <w:tr>
        <w:trPr>
          <w:trHeight w:val="289"/>
        </w:trPr>
        <w:tc>
          <w:tcPr>
            <w:tcW w:w="7800" w:type="dxa"/>
            <w:vAlign w:val="bottom"/>
          </w:tcPr>
          <w:p>
            <w:pPr>
              <w:ind w:left="40"/>
              <w:spacing w:after="0" w:line="288" w:lineRule="exact"/>
              <w:rPr>
                <w:sz w:val="20"/>
                <w:szCs w:val="20"/>
                <w:color w:val="auto"/>
              </w:rPr>
            </w:pPr>
            <w:r>
              <w:rPr>
                <w:rFonts w:ascii="Times New Roman" w:cs="Times New Roman" w:eastAsia="Times New Roman" w:hAnsi="Times New Roman"/>
                <w:sz w:val="20"/>
                <w:szCs w:val="20"/>
                <w:color w:val="auto"/>
              </w:rPr>
              <w:t>PAC-12</w:t>
            </w:r>
            <w:r>
              <w:rPr>
                <w:rFonts w:ascii="Times New Roman" w:cs="Times New Roman" w:eastAsia="Times New Roman" w:hAnsi="Times New Roman"/>
                <w:sz w:val="26"/>
                <w:szCs w:val="26"/>
                <w:color w:val="auto"/>
                <w:vertAlign w:val="superscript"/>
              </w:rPr>
              <w:t>(2)</w:t>
            </w:r>
          </w:p>
        </w:tc>
        <w:tc>
          <w:tcPr>
            <w:tcW w:w="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2030 - 2031 season</w:t>
            </w:r>
          </w:p>
        </w:tc>
      </w:tr>
      <w:tr>
        <w:trPr>
          <w:trHeight w:val="285"/>
        </w:trPr>
        <w:tc>
          <w:tcPr>
            <w:tcW w:w="7800" w:type="dxa"/>
            <w:vAlign w:val="bottom"/>
          </w:tcPr>
          <w:p>
            <w:pPr>
              <w:ind w:left="40"/>
              <w:spacing w:after="0" w:line="285" w:lineRule="exact"/>
              <w:rPr>
                <w:sz w:val="20"/>
                <w:szCs w:val="20"/>
                <w:color w:val="auto"/>
              </w:rPr>
            </w:pPr>
            <w:r>
              <w:rPr>
                <w:rFonts w:ascii="Times New Roman" w:cs="Times New Roman" w:eastAsia="Times New Roman" w:hAnsi="Times New Roman"/>
                <w:sz w:val="20"/>
                <w:szCs w:val="20"/>
                <w:color w:val="auto"/>
              </w:rPr>
              <w:t>NASCAR</w:t>
            </w:r>
            <w:r>
              <w:rPr>
                <w:rFonts w:ascii="Times New Roman" w:cs="Times New Roman" w:eastAsia="Times New Roman" w:hAnsi="Times New Roman"/>
                <w:sz w:val="26"/>
                <w:szCs w:val="26"/>
                <w:color w:val="auto"/>
                <w:vertAlign w:val="superscript"/>
              </w:rPr>
              <w:t>(3)</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2031</w:t>
            </w:r>
          </w:p>
        </w:tc>
      </w:tr>
      <w:tr>
        <w:trPr>
          <w:trHeight w:val="281"/>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USGA / US Open</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2032</w:t>
            </w:r>
          </w:p>
        </w:tc>
      </w:tr>
      <w:tr>
        <w:trPr>
          <w:trHeight w:val="354"/>
        </w:trPr>
        <w:tc>
          <w:tcPr>
            <w:tcW w:w="78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WNBA</w:t>
            </w:r>
            <w:r>
              <w:rPr>
                <w:rFonts w:ascii="Times New Roman" w:cs="Times New Roman" w:eastAsia="Times New Roman" w:hAnsi="Times New Roman"/>
                <w:sz w:val="26"/>
                <w:szCs w:val="26"/>
                <w:color w:val="auto"/>
                <w:vertAlign w:val="superscript"/>
              </w:rPr>
              <w:t>(4)</w:t>
            </w:r>
          </w:p>
        </w:tc>
        <w:tc>
          <w:tcPr>
            <w:tcW w:w="24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-1133475</wp:posOffset>
            </wp:positionV>
            <wp:extent cx="6530975" cy="1111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extLst>
                    </a:blip>
                    <a:srcRect/>
                    <a:stretch>
                      <a:fillRect/>
                    </a:stretch>
                  </pic:blipFill>
                  <pic:spPr bwMode="auto">
                    <a:xfrm>
                      <a:off x="0" y="0"/>
                      <a:ext cx="6530975" cy="11112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-1514475</wp:posOffset>
            </wp:positionV>
            <wp:extent cx="6530975" cy="22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6530975" cy="2254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0</wp:posOffset>
                </wp:positionH>
                <wp:positionV relativeFrom="paragraph">
                  <wp:posOffset>132715</wp:posOffset>
                </wp:positionV>
                <wp:extent cx="136144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1440" cy="4763"/>
                        </a:xfrm>
                        <a:prstGeom prst="line">
                          <a:avLst/>
                        </a:prstGeom>
                        <a:solidFill>
                          <a:srgbClr val="FFFFFF"/>
                        </a:solidFill>
                        <a:ln w="9525">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45pt" to="107.2pt,10.45pt" o:allowincell="f" strokecolor="#000000" strokeweight="0.75pt"/>
            </w:pict>
          </mc:Fallback>
        </mc:AlternateContent>
      </w:r>
    </w:p>
    <w:p>
      <w:pPr>
        <w:spacing w:after="0" w:line="288" w:lineRule="exact"/>
        <w:rPr>
          <w:sz w:val="20"/>
          <w:szCs w:val="20"/>
          <w:color w:val="auto"/>
        </w:rPr>
      </w:pPr>
    </w:p>
    <w:p>
      <w:pPr>
        <w:ind w:left="366" w:hanging="366"/>
        <w:spacing w:after="0" w:line="226" w:lineRule="auto"/>
        <w:tabs>
          <w:tab w:leader="none" w:pos="386"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Prior to the Separation, rights agreements generally provided rights across both NBCUniversal and the Company and the combined statements of income included allocations of costs related to these contracts.</w:t>
      </w:r>
    </w:p>
    <w:p>
      <w:pPr>
        <w:spacing w:after="0" w:line="41" w:lineRule="exact"/>
        <w:rPr>
          <w:rFonts w:ascii="Times New Roman" w:cs="Times New Roman" w:eastAsia="Times New Roman" w:hAnsi="Times New Roman"/>
          <w:sz w:val="26"/>
          <w:szCs w:val="26"/>
          <w:color w:val="auto"/>
          <w:vertAlign w:val="superscript"/>
        </w:rPr>
      </w:pPr>
    </w:p>
    <w:p>
      <w:pPr>
        <w:ind w:left="366" w:hanging="366"/>
        <w:spacing w:after="0" w:line="226" w:lineRule="auto"/>
        <w:tabs>
          <w:tab w:leader="none" w:pos="313"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Beginning with 2026, includes the right to exhibit a specified number of regular season football games, men’s and women’s basketball games, and the PAC-12 men’s basketball tournament.</w:t>
      </w:r>
    </w:p>
    <w:p>
      <w:pPr>
        <w:spacing w:after="0" w:line="41" w:lineRule="exact"/>
        <w:rPr>
          <w:rFonts w:ascii="Times New Roman" w:cs="Times New Roman" w:eastAsia="Times New Roman" w:hAnsi="Times New Roman"/>
          <w:sz w:val="26"/>
          <w:szCs w:val="26"/>
          <w:color w:val="auto"/>
          <w:vertAlign w:val="superscript"/>
        </w:rPr>
      </w:pPr>
    </w:p>
    <w:p>
      <w:pPr>
        <w:ind w:left="366" w:hanging="366"/>
        <w:spacing w:after="0" w:line="226" w:lineRule="auto"/>
        <w:tabs>
          <w:tab w:leader="none" w:pos="324"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Includes the unilateral right by the other party to the agreement (i.e., the licensor), under certain circumstances, to shorten the term of the agreement by one year.</w:t>
      </w:r>
    </w:p>
    <w:p>
      <w:pPr>
        <w:spacing w:after="0" w:line="41" w:lineRule="exact"/>
        <w:rPr>
          <w:rFonts w:ascii="Times New Roman" w:cs="Times New Roman" w:eastAsia="Times New Roman" w:hAnsi="Times New Roman"/>
          <w:sz w:val="26"/>
          <w:szCs w:val="26"/>
          <w:color w:val="auto"/>
          <w:vertAlign w:val="superscript"/>
        </w:rPr>
      </w:pPr>
    </w:p>
    <w:p>
      <w:pPr>
        <w:ind w:left="366" w:hanging="366"/>
        <w:spacing w:after="0" w:line="226" w:lineRule="auto"/>
        <w:tabs>
          <w:tab w:leader="none" w:pos="395" w:val="left"/>
        </w:tabs>
        <w:numPr>
          <w:ilvl w:val="0"/>
          <w:numId w:val="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Beginning with the 2026 WNBA season, includes the rights to produce and exhibit a specified number of WNBA regular season and playoff games, including certain games from three WNBA Finals series over the term of the agreement.</w:t>
      </w:r>
    </w:p>
    <w:p>
      <w:pPr>
        <w:sectPr>
          <w:pgSz w:w="12240" w:h="15840" w:orient="portrait"/>
          <w:cols w:equalWidth="0" w:num="1">
            <w:col w:w="10246"/>
          </w:cols>
          <w:pgMar w:left="994" w:top="1196" w:right="100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246"/>
          </w:cols>
          <w:pgMar w:left="994" w:top="1196" w:right="100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i w:val="1"/>
          <w:iCs w:val="1"/>
          <w:color w:val="auto"/>
        </w:rPr>
        <w:t>Entertainment Programming</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Competitive Strengths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Expansive Audience Scale Generated Through Highly Recognized Brands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brands have significant audience reach and scale across our core markets, with over 50 million viewers having watched content on a Versant network each week in 2025. Most of the hours watched on our networks are in live sports and news genres. Versant has attracted these audiences through our brands, which anchor the content we produce and distribute. We aim to provide timely, relevant and high-quality content to our audiences.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Our news, sports and entertainment brands, together with their associated programming, have large audiences and consumer bases resulting in important relationships with distributors and advertisers. As a result, Versant generates revenue through multiple sources, including linear distribution, advertising, platforms and content licensing.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Deep Relationships with Our Customers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long-standing and well-established consumer relationships in our core markets. Each of our networks is among the most watched within its competitive set. We have successfully evolved content offerings to reflect changing consumer preferences and technological innovations, including on digital platforms complementing our networks for MS NOW, CNBC and E! News Digital.</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have also built upon our relationships with customers through commerce, transactional and other related services, both for end-users and businesses. For example, we expanded our relationship with golf fans watching the Golf Channel network through GolfNow’s tee time reservation and golf course management technology platform.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Differentiated News, Sports and Entertainment Programming</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MS NOW and CNBC provide journalism spanning national and international news, business, politics and culture. We aim for our news brands to serve as a vital source of information for millions of viewers daily, which will in turn strengthen advertiser relationships and increase appeal to distributors. We expect to build upon our existing news audience leadership with continued exceptional journalism and development of innovative consumer experiences reflecting the preeminence of our brands.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USA Sports content on USA Network and Golf Channel includes the Premier League, golf events such as PGA Tour tournaments, The U.S. Open, The Open Championship and the Ryder Cup, college basketball, the WNBA (starting with the 2026 season), League One Volleyball (starting with the 2026 season), PAC-12 (starting with the 2026 season) and the Olympics. Our goal is to create sports coverage that creates meaningful connections with fans, drives viewer engagement and provides valuable opportunities for advertisers. We have exclusive, long-term rights to currently airing major sports content and properties with terms that extend into the 2030s, providing long-term business visibility and we intend to evaluate opportunities to supplement our sports rights portfolio.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entertainment offerings, including USA Network, SYFY, E! and Oxygen True Crime, have large multiplatform audiences.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brands focus on specific content genres such as crime, true crime, science-fiction and pop culture.</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aim for the strength of and demand for our content to drive monetization across a variety of distribution channels, including through agreements we have in place with traditional and virtual MVPDs. We believe we are well-positioned to renew these agreements upon their applicable expirations given the popularity of our programming and brands, and seek to continue expanding how our content is distributed.</w:t>
      </w:r>
    </w:p>
    <w:p>
      <w:pPr>
        <w:sectPr>
          <w:pgSz w:w="12240" w:h="15840" w:orient="portrait"/>
          <w:cols w:equalWidth="0" w:num="1">
            <w:col w:w="10240"/>
          </w:cols>
          <w:pgMar w:left="1000" w:top="1196"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240"/>
          </w:cols>
          <w:pgMar w:left="1000" w:top="1196" w:right="100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i w:val="1"/>
          <w:iCs w:val="1"/>
          <w:color w:val="auto"/>
        </w:rPr>
        <w:t>Growing, Market Leading Digital Platforms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digital platforms are led by GolfNow, Fandango and Rotten Tomatoes. Each is a technology platform designed to facilitate consumer transactions and service stakeholders in our core markets. We also continue to expand digital product offerings and audiences with our other brands, including CNBC, MS NOW and E!. We believe our digital platforms have significant growth opportunity remaining, both from underlying market growth and continued share gains.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Strong Balance Sheet and Operating Performance Provides Us Financial and Strategic Flexibility</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are a well-capitalized business with multiple revenue streams and significant operating cash flows. We believe our cash flow profile and liquidity will allow us to invest across our business, both through organic or inorganic growth strategies, and return capital to shareholders through a combination of dividends and share repurchases, subject to market and other business conditions.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Experienced Management Team</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company is led by an experienced management team with a proven track record, deep industry expertise and a forward-thinking approach to the business. Our management’s strategic priorities are on innovation, enhancing operational efficiency and maximizing long-term shareholder value.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intend to leverage our brands to maintain our leadership position and expand our business through the following strategies.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 Premier Content for Target Audiences</w:t>
      </w:r>
    </w:p>
    <w:p>
      <w:pPr>
        <w:spacing w:after="0" w:line="1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Our programming will focus on core audiences in political news and opinion, business news and personal finance, golf and athletics participation and sports and genre entertainment.</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For the year ended December 31, 2025, news and sports content accounted for the majority of our audience engagement. We believe these markets will remain core to our success, benefitting from Versant’s platforms’ strength and leadership across news and sports through MS NOW, CNBC, USA Network and Golf Channel.</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expect to continue to invest in the high-quality news programming to drive an engaged and loyal audience, and we will evaluate opportunities to secure additional sports rights that drive value for Versant, benefitting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Through our entertainment cable networks and associated digital services, we attract large audiences for prominent genres, notably crime, true crime, science fiction and pop culture programming. We expect to continue investing in programming within these genres for distribution on our networks and digital platforms as well as through third parties.</w:t>
      </w:r>
    </w:p>
    <w:p>
      <w:pPr>
        <w:spacing w:after="0" w:line="128" w:lineRule="exact"/>
        <w:rPr>
          <w:sz w:val="20"/>
          <w:szCs w:val="20"/>
          <w:color w:val="auto"/>
        </w:rPr>
      </w:pPr>
    </w:p>
    <w:p>
      <w:pPr>
        <w:ind w:right="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Leverage our Brands and Content for Complementary and Incremental Distribution, Expanding Our Audience and Revenues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While we continue to believe that MVPD bundles provide value to our consumers, we understand that audiences increasingly consume content across a variety of digital platforms. Through Versant’s programming and brands, we plan to expand our audience reach through digital platforms such as advertising-based video on demand (“AVOD”), subscription video on demand (“SVOD”) and FAST, as well as other distribution methods, including OTA and live events. Building our presence on these platforms will further strengthen our business model.</w:t>
      </w:r>
    </w:p>
    <w:p>
      <w:pPr>
        <w:spacing w:after="0" w:line="133"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Deepen Customer Relationships and Monetization through Complementary Transactional, Commerce and Experiential Services</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digital platforms, led by GolfNow, Fandango and Rotten Tomatoes, have delivered new services for core audiences. We expect to continue growing and expanding these digital brands, which complement our television networks. For example, GolfNow acquires customers through promotion and content integration on the Golf Channel, with its audience of golf fans. GolfNow adds new monetization opportunities, largely transaction and technology fees, to Golf Channel’s distribution and advertising revenue. In addition, GolfNow usage enables additional consumer golf activity, which typically leads to increased viewership of the Golf Channel network. Fandango’s ticketing service and the Fandango at Home media platforms complement our networks, engaging fans of entertainment content. We also see opportunities to continue to expand our product offerings leveraging other brands, as we have with CNBC’s branded direct-to-consumer services, podcasts, conferences and live events.</w:t>
      </w:r>
    </w:p>
    <w:p>
      <w:pPr>
        <w:sectPr>
          <w:pgSz w:w="12240" w:h="15840" w:orient="portrait"/>
          <w:cols w:equalWidth="0" w:num="1">
            <w:col w:w="10240"/>
          </w:cols>
          <w:pgMar w:left="1000" w:top="1196" w:right="1000"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240"/>
          </w:cols>
          <w:pgMar w:left="1000" w:top="1196" w:right="100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Pursue Disciplined Acquisitions and Investments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a leader in our industry, we believe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revenue trajectory and cash flow profile.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in Distribution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business of distributing our networks to traditional and virtual MVPDs is highly competitive. Our networks compete with cable and broadcast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these distributors are renewed or renegotiated from time to time in the ordinary course of business. 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traditional and virtual MVPD video channel tiering and a-la-carte options, may adversely affect our ability to obtain or maintain the distribution of our networks or to maintain contractual terms that are as favorable as those currently in place. Given the magnitude of our linear distribution revenue, our arrangements with large MVPDs are significant. Refer to Note 3 to the combined financial statements for additional information on these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in Advertising</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audience targeting capabilities,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in Licensing and Acquiring Programming and Related Content</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secure programming, we generally must offer competitive rates, time periods, or exclusivity in our licensing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Competition in Consumer Transactions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digital platforms also include online businesses that compete with other businesses in the media and entertainment industry that offer similar services and resources. For example, Fandango’s online movie ticket business faces direct competition from other ticketing services and theater-specific digital applications that rely on sales of movie tickets to consumers, and Rotten Tomatoes faces direct competition from other film and television review aggregators and movie information sites that are resources for consumers seeking information on films.</w:t>
      </w:r>
    </w:p>
    <w:p>
      <w:pPr>
        <w:sectPr>
          <w:pgSz w:w="12240" w:h="15840" w:orient="portrait"/>
          <w:cols w:equalWidth="0" w:num="1">
            <w:col w:w="10240"/>
          </w:cols>
          <w:pgMar w:left="1000" w:top="1196" w:right="100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240"/>
          </w:cols>
          <w:pgMar w:left="1000" w:top="1196" w:right="100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Regulation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Content Regulation</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Program Access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Under the Communications Act of 1934, as amended, and the FCC’s associated rules, our cable networks may be subject to program access rules. If so, we would be restricted from having exclusive contracts with Comcast if the FCC deems that such contracts operate as unfair methods of competition or unfair or deceptive acts or practices, and from engaging in discriminatory pricing, terms, or conditions of programming sales among competing MVPDs.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Privacy and Data Protection Regulation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businesses are subject to laws and regulations that impose various restrictions and obligations related to privacy, data protection and the processing of individuals’ personal information. In the United States, federal privacy laws and regulations, such as those found within the Video Privacy Protection Act, the Children’s Online Privacy Protection Act and the Telephone Consumer Protection Act, restrict companies’ collection, use, disclosure and retention of personal information. The proliferation of state-level comprehensive privacy laws, as well as laws addressing specific categories of data, users, or online services (such as information about minors, or social media platforms such as California’s Consumer Privacy Protection Act and Maryland’s Age Appropriate Design Code) has expanded consumers’ rights and company obligations, including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other similar laws that apply to our businesses, which broadly regulate the processing of personal information collected from individuals in those jurisdictions.</w:t>
      </w:r>
    </w:p>
    <w:p>
      <w:pPr>
        <w:sectPr>
          <w:pgSz w:w="12240" w:h="15840" w:orient="portrait"/>
          <w:cols w:equalWidth="0" w:num="1">
            <w:col w:w="10240"/>
          </w:cols>
          <w:pgMar w:left="1000" w:top="11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240"/>
          </w:cols>
          <w:pgMar w:left="1000" w:top="1198" w:right="1000" w:bottom="0" w:gutter="0" w:footer="0" w:header="0"/>
          <w:type w:val="continuous"/>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20"/>
          <w:szCs w:val="20"/>
          <w:color w:val="auto"/>
        </w:rPr>
        <w:t>Our businesses are also subject to the general FTC and state attorneys’ plenary oversight of consumer privacy protections through their enforcement authority over unfair and deceptive acts or practices, as well as through their enforcement authority over certain specific laws, such as Children’s Online Privacy Protection Act. Both the FTC and state attorneys’ general have sought to expand their authority in this area through various rulemakings and enforcement actions that address general privacy, targeted advertising data security, processing of sensitive personal information, use of artificial intelligence (“AI”) and children’s privacy. These existing and new laws may require changes to our products and services and could adversely affect our advertising businesses.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many international data protection laws, federal laws, and 50 U.S. states have security breach notification requirements that obligate businesses to provide notice to consumers and government agencies if certain information has been unlawfully accessed or exfiltrated by an unauthorized party; some of these laws also require documented information security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Consumer Protection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such as convenience fees on the online purchase of tickets and other products and services, and notification of in-application purchases. These and other consumer protection laws and regulations are enforced at the federal level by the FTC and other administrative agencies, and at the state and local level by state attorneys general and numerous other law enforcement and administrative departments and agencies. Some of these laws also provide for private rights of action. We have in the past and may in the future be subject to claims under such regulations and laws. Moreover, consumer protection laws are constantly evolving and we cannot predict the impact of any future regulatory changes and enforcement priorities on our marketing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Regulations and Requirements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U.S. states and localities, and various regulatory authorities regulate other aspects of our businesses, such as child protection, accessibility, user-generated content, advertising and competition in the jurisdictions in which we operate. The FCC and other federal, state and local agencies, as well as foreign governments and regulatory authorities, may undertake enforcement actions and investigations involving us, which can result in fines or being subject to sanctions.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December 31, 2025, we had approximately 4,400 full-time and part-time employees calculated on a full-time equivalent basis. Approximately 9.5% of our employees were located in over 14 countries outside the United States. We also use freelance and temporary employees in the normal course of our business. A small portion of our full-time staff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 representative organization, such as a union, works council or employee association. Our Company has been built on a foundation of respect, integrity and trust, and we are committed to creating and fostering a work environment that promotes those values.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Welfare Benefits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offer a portfolio of health and welfare programs and solutions designed to meet the needs of our employees and their families. Our offerings include comprehensive and affordable healthcare coverage options along with a variety of additional tools and resources, including access to dedicated healthcare navigators, expert medical opinion services and virtual primary care services. In addition, we offer comprehensive family planning options and provide specialized support teams to help employees manage all stages in the family planning journey including parenthood.</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also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w:t>
      </w:r>
    </w:p>
    <w:p>
      <w:pPr>
        <w:sectPr>
          <w:pgSz w:w="12240" w:h="15840" w:orient="portrait"/>
          <w:cols w:equalWidth="0" w:num="1">
            <w:col w:w="10240"/>
          </w:cols>
          <w:pgMar w:left="1000" w:top="120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240"/>
          </w:cols>
          <w:pgMar w:left="1000" w:top="1205" w:right="100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and other unauthorized usage and protect the longevity and success of our businesses. For a discussion of associated risks, see “Item 1A. Risk Factors.”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10 to our combined financial statements for more information.</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AVAILABLE INFORMATION. </w:t>
      </w:r>
      <w:r>
        <w:rPr>
          <w:rFonts w:ascii="Times New Roman" w:cs="Times New Roman" w:eastAsia="Times New Roman" w:hAnsi="Times New Roman"/>
          <w:sz w:val="20"/>
          <w:szCs w:val="20"/>
          <w:color w:val="auto"/>
        </w:rPr>
        <w:t>Our corporate headquarters is located at 229 West 43rd Street, New York, New York 10036,</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our telephone number is 646-832-1000. Our website address is www.versantmedia.com. Our Annual Report on Form 10-K, Quarterly Reports on Form 10-Q, Current Reports on Form 8-K and amendments to those reports filed or furnished pursuant to Section 13(a) or 15(d) of the Exchange Act, are available, without charge, on our website, as soon as reasonably practicable after they are electronically filed with, or furnished to, the SEC. Reports filed with the SEC may be viewed at sec.gov. The information on our website is not, and shall not be deemed to be, a part of this Annual Report on Form 10-K or incorporated into any other filings we make with the SEC.</w:t>
      </w:r>
    </w:p>
    <w:p>
      <w:pPr>
        <w:sectPr>
          <w:pgSz w:w="12240" w:h="15840" w:orient="portrait"/>
          <w:cols w:equalWidth="0" w:num="1">
            <w:col w:w="10240"/>
          </w:cols>
          <w:pgMar w:left="1000" w:top="11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240"/>
          </w:cols>
          <w:pgMar w:left="1000" w:top="1198" w:right="100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Investing in our securities involves uncertainty and risk due to a variety of factors. You should carefully consider each of the following risks and all of the other information contained in this Annual Report on Form 10-K and in other documents that the Company files with, or furnishes to, the SEC before making any investment decision with respect to its securities. Statements in this section are based on the Company’s beliefs and opinions regarding matters that could materially adversely affect the Company in the future and are not representations as to whether such matters have or have not occurred previously. Some of these risks relate principally to the Separation, while others relate principally to our business and the industry in which we operate or to the securities markets generally and ownership of our common stock. Further, the risks and uncertainties described below are not the only ones we face and should not be considered a complete statement of all potential risks or uncertainties that the Company faces or may face in the future. Additional risks not presently known to us or that we currently deem immaterial may also materially affect our business. Our business, prospects, results of operations, financial condition or cash flows could be materially and adversely affected by any of these risks, and, as a result, the trading price of our Class A common stock could decline. For a summary of these risks, please read “Risk Factors Summary,” which immediately precedes Part I, Item 1 of this Annual Report on Form 10-K.</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 Risk Factors</w:t>
      </w:r>
    </w:p>
    <w:p>
      <w:pPr>
        <w:spacing w:after="0" w:line="1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b w:val="1"/>
          <w:bCs w:val="1"/>
          <w:i w:val="1"/>
          <w:iCs w:val="1"/>
          <w:color w:val="auto"/>
        </w:rPr>
        <w:t>We are subject to intense competition, and if we are unable to compete effectively, our business, financial condition and results of operations could suffer.</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businesses operate in highly competitive industries. Our networks compete with other networks to secure favorable distribution agreements with traditional and virtual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“Item 1. Business—Competition.”</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compete to distribute our networks on MVPDs, including for the right to be carried on particular “tier(s)” of service and ultimately for viewership. Competition has intensified as MVPDs have explored alternative distribution methods and new types of MVPD bundles to satisfy evolving consumer preferences and reduce their programming costs.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4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Competitors with significant resources, greater efficiencies of scale and fewer regulatory burdens continue to increasingly compete with our businesses. Some of these competitors could also have preferential access to customer data or other competitive information. These competitors may also have greater or more immediate access to new or innovative technologies such as generative AI, which may further intensify competition by enabling faster and lower-cost content creation and distribution, which could adversely affect our competitive position. The use of AI may also improve competitors’ operating efficiency and cost structures, allowing them to allocate resources more effectively and compete more aggressively on pricing, investment levels or content offerings.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ectPr>
          <w:pgSz w:w="12240" w:h="15840" w:orient="portrait"/>
          <w:cols w:equalWidth="0" w:num="1">
            <w:col w:w="10800"/>
          </w:cols>
          <w:pgMar w:left="720" w:top="65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800"/>
          </w:cols>
          <w:pgMar w:left="720" w:top="651" w:right="720" w:bottom="0" w:gutter="0" w:footer="0" w:header="0"/>
          <w:type w:val="continuous"/>
        </w:sectPr>
      </w:pPr>
    </w:p>
    <w:bookmarkStart w:id="16" w:name="page17"/>
    <w:bookmarkEnd w:id="16"/>
    <w:p>
      <w:pPr>
        <w:jc w:val="both"/>
        <w:spacing w:after="0" w:line="260" w:lineRule="auto"/>
        <w:rPr>
          <w:sz w:val="20"/>
          <w:szCs w:val="20"/>
          <w:color w:val="auto"/>
        </w:rPr>
      </w:pPr>
      <w:r>
        <w:rPr>
          <w:rFonts w:ascii="Times New Roman" w:cs="Times New Roman" w:eastAsia="Times New Roman" w:hAnsi="Times New Roman"/>
          <w:sz w:val="20"/>
          <w:szCs w:val="20"/>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consumer behavior, evolving technologies and distribution platforms continue to adversely affect our business.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As subscribers depart the MVPD ecosystem, MVPDs could deprioritize their cable television network consumer offerings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because our revenues are derived in part from the number of MVPD subscribers.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loss of programming distribution agreements, or the renewal of these agreements on less favorable terms, could adversely affect our businesses.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networks depend on our ability to secure and maintain favorable distribution agreements with MVPDs. The number of subscribers to our networks has decreased over time, and is likely to continue to decrease, as a result of overall reduced viewing of cable television. If our networks do not attract sufficient viewers, both new and existing MVPDs may be reluctant to distribute our networks or may decide to distribute our networks with significantly less favorable terms.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MVPDs also may elect not to enter into agreements to distribute some or all of our networks as a result of changing market dynamics and industry consolidation, which could also influence market perceptions of our networks and adversely affect our ability to negotiate carriage terms or renewals with other distributors. For example, MVPDs may seek to offer smaller packages of channels as part of their MVPD bundles, which may increase both competition for carriage on distribution platforms and marketing expenses and could adversely affect our business, financial condition and results of operations.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a result of the Separation, our negotiating position with MVPDs may be weakened without the ability to sell our programming along with NBCU’s broadcast television networks, the Bravo cable network and Peacock. There can be no assurance that any of our programming distribution agreements will be entered into or renewed in the future on similar terms. Our inability to enter into or renew some or all of our distribution agreements on favorable terms could reduce our revenue and the reach of our programming, which could adversely affect our business, financial condition and results of operations.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800"/>
          </w:cols>
          <w:pgMar w:left="720" w:top="658" w:right="72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i w:val="1"/>
          <w:iCs w:val="1"/>
          <w:color w:val="auto"/>
        </w:rPr>
        <w:t>A decline in advertisers’ expenditures or changes in advertising markets could negatively impact our business.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expect to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21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Damage to our brands or our reputation could have a material adverse effect on our business, financial condition or results of operations.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as well as our rebranding efforts, may require us to make significant investments in marketing, content or new products, services or events, and these investments may not be successful. Moreover,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Our brands, credibility and reputation also could be adversely impacted if our use of AI in our own products and services produces content, information, analyses or recommendations that are alleged to be deficient, inaccurate, biased, harmful, discriminatory, an intellectual property infringement, a violation of privacy rights or otherwise problematic.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reaction, our ability to maintain a positive reputation may likewise be adversely impacted. If we are not successful in maintaining, rebranding or enhancing the image or awareness of our brands, or if our reputation is harmed for any reason, it could have a material adverse effect on our business, financial condition or results of operations.</w:t>
      </w:r>
    </w:p>
    <w:p>
      <w:pPr>
        <w:spacing w:after="0" w:line="22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depends on the continued appeal of the content we distribute. The preferences of our viewers and distributors are difficult to forecast and subject to change.</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800"/>
          </w:cols>
          <w:pgMar w:left="720" w:top="649" w:right="720" w:bottom="0" w:gutter="0" w:footer="0" w:header="0"/>
          <w:type w:val="continuous"/>
        </w:sectPr>
      </w:pPr>
    </w:p>
    <w:bookmarkStart w:id="18" w:name="page19"/>
    <w:bookmarkEnd w:id="18"/>
    <w:p>
      <w:pPr>
        <w:jc w:val="both"/>
        <w:spacing w:after="0" w:line="260" w:lineRule="auto"/>
        <w:rPr>
          <w:sz w:val="20"/>
          <w:szCs w:val="20"/>
          <w:color w:val="auto"/>
        </w:rPr>
      </w:pPr>
      <w:r>
        <w:rPr>
          <w:rFonts w:ascii="Times New Roman" w:cs="Times New Roman" w:eastAsia="Times New Roman" w:hAnsi="Times New Roman"/>
          <w:sz w:val="20"/>
          <w:szCs w:val="20"/>
          <w:color w:val="auto"/>
        </w:rPr>
        <w:t>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19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growth of our digital platforms depends on our ability to attract new customers, retain existing customers and continue to grow the revenue we derive from these businesses.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digital platforms generate revenue from providing services directly to consumers, selling cloud-based technology and related services and selling advertisements.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may fail to attract new customers, retain our existing customers or increase sales to both new and existing customers due to a number of factors, including:</w:t>
      </w:r>
    </w:p>
    <w:p>
      <w:pPr>
        <w:spacing w:after="0" w:line="61" w:lineRule="exact"/>
        <w:rPr>
          <w:sz w:val="20"/>
          <w:szCs w:val="20"/>
          <w:color w:val="auto"/>
        </w:rPr>
      </w:pPr>
    </w:p>
    <w:p>
      <w:pPr>
        <w:ind w:left="1080" w:hanging="360"/>
        <w:spacing w:after="0" w:line="281" w:lineRule="auto"/>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reductions in our current or potential customers’ spending levels, including due to a deteriorating macroeconomic environment;</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in our customers’ level of satisfaction with our websites and mobile applications or our pricing;</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relationships with third parties, including app developers, payments processors and other partners;</w:t>
      </w:r>
    </w:p>
    <w:p>
      <w:pPr>
        <w:spacing w:after="0" w:line="166" w:lineRule="exact"/>
        <w:rPr>
          <w:rFonts w:ascii="Times New Roman" w:cs="Times New Roman" w:eastAsia="Times New Roman" w:hAnsi="Times New Roman"/>
          <w:sz w:val="20"/>
          <w:szCs w:val="20"/>
          <w:color w:val="auto"/>
        </w:rPr>
      </w:pPr>
    </w:p>
    <w:p>
      <w:pPr>
        <w:ind w:left="1080" w:hanging="360"/>
        <w:spacing w:after="0" w:line="284" w:lineRule="auto"/>
        <w:tabs>
          <w:tab w:leader="none" w:pos="1080" w:val="left"/>
        </w:tabs>
        <w:numPr>
          <w:ilvl w:val="0"/>
          <w:numId w:val="1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our ability to innovate and continue to develop and effectively market solutions that anticipate and respond to the needs of our customers;</w:t>
      </w:r>
    </w:p>
    <w:p>
      <w:pPr>
        <w:spacing w:after="0" w:line="61" w:lineRule="exact"/>
        <w:rPr>
          <w:rFonts w:ascii="Arial" w:cs="Arial" w:eastAsia="Arial" w:hAnsi="Arial"/>
          <w:sz w:val="24"/>
          <w:szCs w:val="24"/>
          <w:b w:val="1"/>
          <w:bCs w:val="1"/>
          <w:color w:val="auto"/>
        </w:rPr>
      </w:pPr>
    </w:p>
    <w:p>
      <w:pPr>
        <w:ind w:left="1080" w:hanging="36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brand recognition; and</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concerns relating to actual or perceived privacy or security breaches.</w:t>
      </w:r>
    </w:p>
    <w:p>
      <w:pPr>
        <w:spacing w:after="0" w:line="24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rebrand our platforms, products or services,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800"/>
          </w:cols>
          <w:pgMar w:left="720" w:top="658" w:right="720" w:bottom="0" w:gutter="0" w:footer="0" w:header="0"/>
          <w:type w:val="continuous"/>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intellectual property constitutes a significant part of the value of our businesses, and our success is highly dependent on protecting the intellectual property rights of our brands and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Similarly, any infringement or dilution of our names, brands and logos may negatively affect their value and our ability to build equity in, and generate revenue from, such names, brands and logos. New names, brands and logos in particular may provide less protection than names, brands and logos with a more established track record of use in commerce.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 cyber incident or attack, information or security breach, or technology disruption or failure, may negatively impact our ability to conduct our business or result in the misuse of confidential information, including personal information or other sensitive business information, all of which could adversely affect our reputation and our business, financial condition and results of operations.</w:t>
      </w:r>
    </w:p>
    <w:p>
      <w:pPr>
        <w:spacing w:after="0" w:line="1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 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incident, attack or data breach, misappropriation, misuse, leakage, falsification or accidental release or loss of information by us or a third party.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The occurrence of both intentional and unintentional incidents has caused, and may from time to time in the future cause, a variety of business impacts, including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800"/>
          </w:cols>
          <w:pgMar w:left="720" w:top="658" w:right="720" w:bottom="0" w:gutter="0" w:footer="0" w:header="0"/>
          <w:type w:val="continuous"/>
        </w:sectPr>
      </w:pPr>
    </w:p>
    <w:bookmarkStart w:id="20" w:name="page21"/>
    <w:bookmarkEnd w:id="20"/>
    <w:p>
      <w:pPr>
        <w:jc w:val="both"/>
        <w:spacing w:after="0" w:line="252" w:lineRule="auto"/>
        <w:rPr>
          <w:sz w:val="20"/>
          <w:szCs w:val="20"/>
          <w:color w:val="auto"/>
        </w:rPr>
      </w:pPr>
      <w:r>
        <w:rPr>
          <w:rFonts w:ascii="Times New Roman" w:cs="Times New Roman" w:eastAsia="Times New Roman" w:hAnsi="Times New Roman"/>
          <w:sz w:val="20"/>
          <w:szCs w:val="20"/>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Due to complexity and interconnectedness of our systems and those of our third-party vendors, the process of enhancing our protective measures can itself create a risk of systems disruptions and security issues. The occurrence of both intentional and unintentional incidents has caused, and may from time to time in the future cause, a variety of business 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complex and evolving laws and regulations related to privacy and data protection.</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businesses are subject to laws and regulations that impose various restrictions and obligations related to privacy, data protection, and the processing of individuals’ personal information. In the United States, federal privacy laws and regulations, such as those found within the Video Privacy Protection Act and Children’s Online Privacy Protection Act, restrict companies’ collection, use, disclosure and retention of personal information. State-level comprehensive privacy laws, as well as laws addressing specific categories of data, users, or online services (such as information about minors or social media platforms) also impose obligations related to the processing of personal information, and provide consumers with individual rights over their personal information, including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information collected from individuals in those jurisdictions. For more regarding the privacy and data protection regulation of our business, see “Item 1. Business—Regulation.”</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network rebrands may result in customer confusion and disruption, leading to lower ratings and monetization.</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connection with the Separation, in August 2025 we announced the rebranding of MSNBC as MS NOW, which became effective in November 2025, and that Versant’s sports programming will come together under the new brand USA Sports. We will also remove the Peacock logo from our other networks, platforms and products in connection with the Separation. In addition, we entered into commercial agreements with Comcast in connection with the Separation pursuant to which Comcast granted us a license to use certain intellectual property rights owned by Comcast, and which contains limitations on how we may use the licensed intellectual property rights and will limit how long we may continue to use such brands. For example, our use of the CNBC brand is subject to a trademark license agreement with Comcast that provides an initial term of five years, which may be extended.</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Any new names, brands and logos may not benefit from the same recognition and association with quality as their predecessor names, brands and logos, which may affect our ability to attract and maintain viewers who may not recognize these new names, brands and logos. As a result, we may not be successful at maintaining viewership levels as we transition to new names, brands and logos. Any loss of viewers due to such repositioning may impact the attractiveness of our networks and digital platforms to distributors and advertisers, which could in turn reduce our linear distribution revenue and our advertising revenue. We may also incur additional costs related to marketing efforts with respect to any new names, brands and logos. Moreover, new names, brands and logos may be subject to challenge by third parties under intellectual property laws. See “Item 1A. Risk Factors—Our businesses depend on using and protecting certain intellectual property rights and on not infringing, misappropriating or otherwise violating the intellectual property rights of others.” As a result, any such brand repositioning could adversely affect our business, financial condition and results of operations, and, if unsuccessful or challenged, could require further repositioning.</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800"/>
          </w:cols>
          <w:pgMar w:left="720" w:top="658" w:right="72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i w:val="1"/>
          <w:iCs w:val="1"/>
          <w:color w:val="auto"/>
        </w:rPr>
        <w:t>Weak economic conditions may have a negative impact on our businesses.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from time to time record impairment charges for goodwill and intangible assets.</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We have a significant amount of goodwill and intangible assets on our combined balance sheets. In accordance with GAAP, management periodically assesses these assets for impairment (see “Management’s Discussion and Analysis of Financial Condition and Results of Operations - Critical Accounting Estimates” and Note 7 to the combined financial statements included elsewhere in this Annual Report on Form 10-K).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fair value.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Annual Report on Form 10-K, could result in decreases in the fair value of our business and intangible assets and require us to record impairment losses that could materially adversely affect our results of operations in the periods recognized.</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loss of key management personnel or popular on-air and creative talent could have an adverse effect on our businesses.</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rely on certain key management personnel in the operation of our businesses and the loss of one or more of our key management personnel could have a negative impact on our businesses.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have loyal audiences. These individuals are important to audience endorsement of our programs and other content. There can be no assurance that these individuals will remain with us or retain their current audiences.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Labor disputes, whether involving employees or sports organizations, may disrupt our operations and adversely affect our businesses.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actions such as strikes, work slowdowns or work stoppages. Strikes, work slowdowns, work stoppages, or the possibility of such actions, could result in delays in the production of, or the release of, the content aired by our networks, higher production costs or increased costs of labor,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regulation by federal, state and local authorities, which impose additional costs and restrictions on our businesses.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businesses are subject to various federal, state and local laws and regulations. For example, the Communications Act and FTC regulations affect certain aspects of 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0800"/>
          </w:cols>
          <w:pgMar w:left="720" w:top="649" w:right="720" w:bottom="0" w:gutter="0" w:footer="0" w:header="0"/>
          <w:type w:val="continuous"/>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20"/>
          <w:szCs w:val="20"/>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 In particular, the evolving and unsettled legal and regulatory frameworks governing intellectual property, privacy and data protection as they relate to AI may increase our compliance costs, limit the use of certain technologies, or constrain the pace at which we are able to innovate or respond to competitive pressures.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“Item 1. Business—Regulation.”</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Unfavorable litigation or governmental investigation results could require us to pay significant amounts or lead to onerous operating procedures.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88" w:lineRule="exact"/>
        <w:rPr>
          <w:sz w:val="20"/>
          <w:szCs w:val="20"/>
          <w:color w:val="auto"/>
        </w:rPr>
      </w:pPr>
    </w:p>
    <w:p>
      <w:pPr>
        <w:ind w:left="1080" w:hanging="36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difficulty of assimilating the operations and personnel of acquired companies into our operations;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disruption of our ongoing business and distraction of management;</w:t>
      </w:r>
    </w:p>
    <w:p>
      <w:pPr>
        <w:spacing w:after="0" w:line="13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incurrence of additional operating losses and operating expenses of the businesses we acquired or in which we invested;</w:t>
      </w:r>
    </w:p>
    <w:p>
      <w:pPr>
        <w:spacing w:after="0" w:line="6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difficulty of integrating acquired technology and rights into our services and unanticipated expenses related to such integration;</w:t>
      </w:r>
    </w:p>
    <w:p>
      <w:pPr>
        <w:spacing w:after="0" w:line="6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successfully further develop an acquired business or technology and any resulting impairment of amounts currently capitalized as intangible assets;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strategic investments to perform as expected or to meet financial projections;</w:t>
      </w:r>
    </w:p>
    <w:p>
      <w:pPr>
        <w:spacing w:after="0" w:line="13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patent and trademark infringement and data privacy and security claims against the acquired companies, or companies in which we have invested;</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litigation or other claims in connection with acquisitions, acquired companies, or companies in which we have invested;</w:t>
      </w:r>
    </w:p>
    <w:p>
      <w:pPr>
        <w:spacing w:after="0" w:line="13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impairment or loss of relationships with customers and partners of the companies we acquired or in which we invested or with our customers and partners as a result of the integration of acquired operations;</w:t>
      </w:r>
    </w:p>
    <w:p>
      <w:pPr>
        <w:spacing w:after="0" w:line="6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impairment of relationships with, or failure to retain, employees of acquired companies or our existing employees as a result of integration of new personnel;</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800"/>
          </w:cols>
          <w:pgMar w:left="720" w:top="658" w:right="720" w:bottom="0" w:gutter="0" w:footer="0" w:header="0"/>
          <w:type w:val="continuous"/>
        </w:sectPr>
      </w:pPr>
    </w:p>
    <w:bookmarkStart w:id="23" w:name="page24"/>
    <w:bookmarkEnd w:id="23"/>
    <w:p>
      <w:pPr>
        <w:ind w:left="1080" w:hanging="360"/>
        <w:spacing w:after="0" w:line="277"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difficulty of integrating operations, systems and controls as a result of cultural, regulatory, systems and operational differences;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performance of management of companies in which we invest but do not control;</w:t>
      </w:r>
    </w:p>
    <w:p>
      <w:pPr>
        <w:spacing w:after="0" w:line="126" w:lineRule="exact"/>
        <w:rPr>
          <w:rFonts w:ascii="Times New Roman" w:cs="Times New Roman" w:eastAsia="Times New Roman" w:hAnsi="Times New Roman"/>
          <w:sz w:val="20"/>
          <w:szCs w:val="20"/>
          <w:color w:val="auto"/>
        </w:rPr>
      </w:pPr>
    </w:p>
    <w:p>
      <w:pPr>
        <w:ind w:left="1080" w:hanging="360"/>
        <w:spacing w:after="0" w:line="277"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foreign acquisitions and investments, the impact of particular economic, tax, currency, political, legal and regulatory risks associated with specific countries; and</w:t>
      </w:r>
    </w:p>
    <w:p>
      <w:pPr>
        <w:spacing w:after="0" w:line="61" w:lineRule="exact"/>
        <w:rPr>
          <w:rFonts w:ascii="Times New Roman" w:cs="Times New Roman" w:eastAsia="Times New Roman" w:hAnsi="Times New Roman"/>
          <w:sz w:val="20"/>
          <w:szCs w:val="20"/>
          <w:color w:val="auto"/>
        </w:rPr>
      </w:pPr>
    </w:p>
    <w:p>
      <w:pPr>
        <w:ind w:left="1080" w:hanging="360"/>
        <w:spacing w:after="0" w:line="277"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known potential liabilities or liabilities that may be unknown, including as a result of inadequate internal controls, associated with the companies we acquired or in which we invested.</w:t>
      </w:r>
    </w:p>
    <w:p>
      <w:pPr>
        <w:spacing w:after="0" w:line="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12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Spin-Related Risk Factors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realize the anticipated benefits from the Separation, and the Separation could harm our business.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83" w:lineRule="exact"/>
        <w:rPr>
          <w:sz w:val="20"/>
          <w:szCs w:val="20"/>
          <w:color w:val="auto"/>
        </w:rPr>
      </w:pPr>
    </w:p>
    <w:p>
      <w:pPr>
        <w:ind w:left="1080" w:hanging="360"/>
        <w:spacing w:after="0" w:line="277"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post-Separation activities will continue to require significant amounts of management’s time and effort, which may divert management’s attention from operating and growing our business;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more susceptible to economic downturns and other adverse events than if we were still a part of Comcast; and</w:t>
      </w:r>
    </w:p>
    <w:p>
      <w:pPr>
        <w:spacing w:after="0" w:line="126" w:lineRule="exact"/>
        <w:rPr>
          <w:rFonts w:ascii="Times New Roman" w:cs="Times New Roman" w:eastAsia="Times New Roman" w:hAnsi="Times New Roman"/>
          <w:sz w:val="20"/>
          <w:szCs w:val="20"/>
          <w:color w:val="auto"/>
        </w:rPr>
      </w:pPr>
    </w:p>
    <w:p>
      <w:pPr>
        <w:ind w:left="1080" w:hanging="360"/>
        <w:spacing w:after="0" w:line="277"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less diversified than Comcast’s business prior to the Separation and our business also experienced a loss of scale and access to certain financial, managerial and professional resources from which we have benefited in the past.</w:t>
      </w:r>
    </w:p>
    <w:p>
      <w:pPr>
        <w:spacing w:after="0" w:line="6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If we fail to achieve some or all of the benefits expected to result from the Separation, or if such benefits are delayed, our business could be harmed.</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i w:val="1"/>
          <w:iCs w:val="1"/>
          <w:color w:val="auto"/>
        </w:rPr>
        <w:t>We have no history of operating as an independent company, and our combined financial statements are not necessarily representative of the results that we would have achieved as an independent, publicly traded company and may not be a reliable indicator of our future results.</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combined financial statements included in this Annual Report on Form 10-K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combined financial statements included in this Annual Report on Form 10-K are not necessarily indicative of our future results of operations, financial condition or cash flows primarily because of the following factors:</w:t>
      </w:r>
    </w:p>
    <w:p>
      <w:pPr>
        <w:spacing w:after="0" w:line="27" w:lineRule="exact"/>
        <w:rPr>
          <w:sz w:val="20"/>
          <w:szCs w:val="20"/>
          <w:color w:val="auto"/>
        </w:rPr>
      </w:pPr>
    </w:p>
    <w:p>
      <w:pPr>
        <w:jc w:val="both"/>
        <w:ind w:left="1080" w:hanging="360"/>
        <w:spacing w:after="0" w:line="262"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Separation, our business was operated by Comcast on a combined basis as part of its broader corporate organization, rather than as an independent company or distinct business unit or division, with Comcast or its affiliates providing support for various corporate functions for us;</w:t>
      </w:r>
    </w:p>
    <w:p>
      <w:pPr>
        <w:spacing w:after="0" w:line="74" w:lineRule="exact"/>
        <w:rPr>
          <w:rFonts w:ascii="Times New Roman" w:cs="Times New Roman" w:eastAsia="Times New Roman" w:hAnsi="Times New Roman"/>
          <w:sz w:val="20"/>
          <w:szCs w:val="20"/>
          <w:color w:val="auto"/>
        </w:rPr>
      </w:pPr>
    </w:p>
    <w:p>
      <w:pPr>
        <w:jc w:val="both"/>
        <w:ind w:left="1080" w:hanging="360"/>
        <w:spacing w:after="0" w:line="262"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74" w:lineRule="exact"/>
        <w:rPr>
          <w:rFonts w:ascii="Times New Roman" w:cs="Times New Roman" w:eastAsia="Times New Roman" w:hAnsi="Times New Roman"/>
          <w:sz w:val="20"/>
          <w:szCs w:val="20"/>
          <w:color w:val="auto"/>
        </w:rPr>
      </w:pPr>
    </w:p>
    <w:p>
      <w:pPr>
        <w:jc w:val="both"/>
        <w:ind w:left="1080" w:hanging="360"/>
        <w:spacing w:after="0" w:line="256"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Separation, our business was integrated with that of Comcast and we benefited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82" w:lineRule="exact"/>
        <w:rPr>
          <w:rFonts w:ascii="Times New Roman" w:cs="Times New Roman" w:eastAsia="Times New Roman" w:hAnsi="Times New Roman"/>
          <w:sz w:val="20"/>
          <w:szCs w:val="20"/>
          <w:color w:val="auto"/>
        </w:rPr>
      </w:pPr>
    </w:p>
    <w:p>
      <w:pPr>
        <w:ind w:left="1080" w:hanging="360"/>
        <w:spacing w:after="0" w:line="277"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historically operated within Comcast’s corporate-wide cash management and centralized funding programs, and as an independent company our borrowing costs may significantly differ from Comcast’s borrowing costs;</w:t>
      </w:r>
    </w:p>
    <w:p>
      <w:pPr>
        <w:spacing w:after="0" w:line="61" w:lineRule="exact"/>
        <w:rPr>
          <w:rFonts w:ascii="Times New Roman" w:cs="Times New Roman" w:eastAsia="Times New Roman" w:hAnsi="Times New Roman"/>
          <w:sz w:val="20"/>
          <w:szCs w:val="20"/>
          <w:color w:val="auto"/>
        </w:rPr>
      </w:pPr>
    </w:p>
    <w:p>
      <w:pPr>
        <w:ind w:left="1080" w:hanging="360"/>
        <w:spacing w:after="0" w:line="277"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combined financial statements may not fully reflect the costs associated with the Separation, including the costs related to being an independent public company; and</w:t>
      </w:r>
    </w:p>
    <w:p>
      <w:pPr>
        <w:spacing w:after="0" w:line="61" w:lineRule="exact"/>
        <w:rPr>
          <w:rFonts w:ascii="Times New Roman" w:cs="Times New Roman" w:eastAsia="Times New Roman" w:hAnsi="Times New Roman"/>
          <w:sz w:val="20"/>
          <w:szCs w:val="20"/>
          <w:color w:val="auto"/>
        </w:rPr>
      </w:pPr>
    </w:p>
    <w:p>
      <w:pPr>
        <w:jc w:val="both"/>
        <w:ind w:left="1080" w:hanging="360"/>
        <w:spacing w:after="0" w:line="262" w:lineRule="auto"/>
        <w:tabs>
          <w:tab w:leader="none" w:pos="108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combined financial statements do not reflect our obligations under the various transitional and other agreements we have entered into with Comcast in connection with the Separation, and costs under such agreements may be more than what was charged to our business in the past.</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800"/>
          </w:cols>
          <w:pgMar w:left="720" w:top="658" w:right="720" w:bottom="0" w:gutter="0" w:footer="0" w:header="0"/>
          <w:type w:val="continuous"/>
        </w:sectPr>
      </w:pPr>
    </w:p>
    <w:bookmarkStart w:id="24" w:name="page25"/>
    <w:bookmarkEnd w:id="24"/>
    <w:p>
      <w:pPr>
        <w:jc w:val="both"/>
        <w:spacing w:after="0" w:line="260" w:lineRule="auto"/>
        <w:rPr>
          <w:sz w:val="20"/>
          <w:szCs w:val="20"/>
          <w:color w:val="auto"/>
        </w:rPr>
      </w:pPr>
      <w:r>
        <w:rPr>
          <w:rFonts w:ascii="Times New Roman" w:cs="Times New Roman" w:eastAsia="Times New Roman" w:hAnsi="Times New Roman"/>
          <w:sz w:val="20"/>
          <w:szCs w:val="20"/>
          <w:color w:val="auto"/>
        </w:rPr>
        <w:t>Our combined financial statements included in this Annual Report on Form 10-K may not give effect to various ongoing additional costs we may incur in connection with being an independent public company. Accordingly, our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“Item 7A. Management’s Discussion and Analysis of Financial Condition and Results of Operations” and our combined financial statements and the notes to those statements included elsewhere in this Annual Report on Form 10-K.</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historically operated within Comcast, and there are risks associated with the Separation.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historically operated within Comcast, and our current relationship with Comcast, including NBCUniversal Media, LLC (“NBCUniversal”), has changed as a result of the Separation. These and other changes could have an adverse effect on our business, financial condition and results of operations.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Separation, we entered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provided guarantees for our benefit to third parties with respect to certain of our contractual obligations. As an independent company,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connection with the Separation, we also entered into certain commercial arrangements with Comcast.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We also entered into commercial agreements with Comcast in connection with the Separation pursuant to which Comcast granted us a license to use certain intellectual property rights owned by Comcast and which contain limitations on how we may use the licensed intellectual property rights and limit how long we may continue to use such brands. For example, our use of the CNBC brand will be subject to a trademark license agreement with Comcast that provides an initial term of five years, after which time we may need to reposition the related network and related platforms and products. Moreover, we are subject to certain restrictions on our businesses that will prevent us from using certain trademarks to compete with certain Comcast businesses in certain international territories for a period after the expiration of the license. See “Item 1A. Risk Factors—Our network rebrands may result in customer confusion and disruption, leading to lower ratings and monetization.”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Comcast will continue to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and will incur significant costs to create the infrastructure necessary to operate as an independent public company and may experience operational disruptions in connection with the Separation.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Prior to the Separation, Comcast performed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800"/>
          </w:cols>
          <w:pgMar w:left="720" w:top="658" w:right="720" w:bottom="0" w:gutter="0" w:footer="0" w:header="0"/>
          <w:type w:val="continuous"/>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by the end of this transition period, we will need to perform these functions ourselves or hire third parties to perform these functions on our behalf. The costs associated with performing or outsourcing these functions may exceed the amounts reflected in our combined financial statements that were incurred as a business segment of Comcast. We began incurring costs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Moreover, we have made, and may continue to make, substantial capital investments to establish independent physical infrastructure following the Separation. For example, we have made significant investments to develop our own offices and production sites. These efforts to build the infrastructure necessary to operate independently have been, and could continue to be, costly and complex. There can be no assurance that we will be successful in implementing our own systems or in securing new facilities and services without experiencing delays or unexpected cost overruns. If we are unable to operate our business efficiently or cost-effectively, our profitability may be adversely affected.</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obligations associated with being a public company will require significant resources and management attention.</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are directly subject to reporting and other obligations under the Exchange Act and the rules of Nasdaq. As an independent public company, we are required to, among other things:</w:t>
      </w:r>
    </w:p>
    <w:p>
      <w:pPr>
        <w:spacing w:after="0" w:line="121" w:lineRule="exact"/>
        <w:rPr>
          <w:sz w:val="20"/>
          <w:szCs w:val="20"/>
          <w:color w:val="auto"/>
        </w:rPr>
      </w:pPr>
    </w:p>
    <w:p>
      <w:pPr>
        <w:ind w:left="1080" w:hanging="360"/>
        <w:spacing w:after="0" w:line="281"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distribute periodic reports, proxy statements and other shareholder communications in compliance with the federal securities laws and rules;</w:t>
      </w:r>
    </w:p>
    <w:p>
      <w:pPr>
        <w:spacing w:after="0" w:line="6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our own Board of Directors and committees thereof, which comply with federal securities laws and rules and stock exchange rules;</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institute our own financial reporting and disclosure compliance functions;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investor relations and treasury functions;</w:t>
      </w:r>
    </w:p>
    <w:p>
      <w:pPr>
        <w:spacing w:after="0" w:line="13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establish internal policies, including those relating to trading in our securities and disclosure controls and procedures; and</w:t>
      </w:r>
    </w:p>
    <w:p>
      <w:pPr>
        <w:spacing w:after="0" w:line="141" w:lineRule="exact"/>
        <w:rPr>
          <w:rFonts w:ascii="Times New Roman" w:cs="Times New Roman" w:eastAsia="Times New Roman" w:hAnsi="Times New Roman"/>
          <w:sz w:val="19"/>
          <w:szCs w:val="19"/>
          <w:color w:val="auto"/>
        </w:rPr>
      </w:pPr>
    </w:p>
    <w:p>
      <w:pPr>
        <w:ind w:left="1080" w:hanging="360"/>
        <w:spacing w:after="0" w:line="281" w:lineRule="auto"/>
        <w:tabs>
          <w:tab w:leader="none" w:pos="10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comply with the rules and regulations implemented by the SEC, the Sarbanes-Oxley Act, the Dodd-Frank Act, the Public Company Accounting Oversight Board and Nasdaq.</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These reporting and other obligations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 prepared to meet the financial reporting and other requirements to which we became subject to following the Separation. To comply with these requirements, we duplicated information technology infrastructure, implemented additional financial and management controls, reporting systems and procedures and hired additional accounting, finance, tax, treasury and information technology staff. Our investment in compliance with existing and evolving regulatory requirements has, and may continue to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800"/>
          </w:cols>
          <w:pgMar w:left="720" w:top="658" w:right="720" w:bottom="0" w:gutter="0" w:footer="0" w:header="0"/>
          <w:type w:val="continuous"/>
        </w:sectPr>
      </w:pPr>
    </w:p>
    <w:bookmarkStart w:id="26" w:name="page27"/>
    <w:bookmarkEnd w:id="26"/>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beginning with the Annual Report on Form 10-K for the year ended December 31, 2026. Similarly, our independent registered public accounting firm is not required to formally attest to the effectiveness of our internal controls until our Annual Report on Form 10-K for the year ended December 31, 2026. Leading up to it and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from Nasdaq, and could have a material adverse effect on our business, financial condition, prospects and results of operations.</w:t>
      </w:r>
    </w:p>
    <w:p>
      <w:pPr>
        <w:spacing w:after="0" w:line="1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In connection with the Separation, Comcast agreed to indemnify us for certain liabilities, and we agreed to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the separation and distribution agreement and other agreements with Comcast, Comcast has agreed to indemnify us for certain liabilities, and we have agreed to indemnify Comcast for certain liabilities.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our business during the time that it was a business segment of Comcast prior to the Separation, such as certain tax liabilities which relate to periods during which taxes of our business were reported as a part of Comcast; certain liabilities retained by Comcast which relate to contracts or other obligations entered into jointly by our business and Comcast’s retained business; certain environmental liabilities related to sites at which both Comcast and our business operated; and certain liabilities arising from third-party claims in respect of contracts in which both Comcast and our business supply goods or provide services.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13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 connection with the Separation, we incurred substantial indebtedness, which could restrict our business and adversely impact our cash flows, business, financial condition and results of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connection with the Separation, on October 3, 2025, we entered into a credit agreement with respect to (i) a loan of $1.0 billion due January 2031 (the “Term Loan A”) and (ii) a revolving credit facility of $750 million due January 2031 (the “Revolving Credit Facility”) and on October 29, 2025, we entered into an indenture pursuant to which we issued $1.0 billion aggregate principal amount of 7.250% senior secured notes due 2031 (the “Senior Notes”). On January 2, 2026, we entered into a separate credit agreement providing for a term loan of $1.0 billion with a five-year term to maturity (the “Term Loan B ” and together with Term Loan A, the “Term Loans”). We used a portion of the proceeds of such indebtedness to make a cash payment of approximately $2.25 billion to Comcast as consideration for assets that were contributed to us in connection with the Separation, with the remainder being used for general corporate purposes. See “Item 7. Management’s Discussion and Analysis of Financial Condition and Results of Operations.” This level of debt could have significant consequences on our future operations, including:</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800"/>
          </w:cols>
          <w:pgMar w:left="720" w:top="649" w:right="720" w:bottom="0" w:gutter="0" w:footer="0" w:header="0"/>
          <w:type w:val="continuous"/>
        </w:sectPr>
      </w:pPr>
    </w:p>
    <w:bookmarkStart w:id="27" w:name="page28"/>
    <w:bookmarkEnd w:id="27"/>
    <w:p>
      <w:pPr>
        <w:ind w:left="1080" w:hanging="36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resulting in an event of default if we fail to comply with the financial and other restrictive covenants contained in such debt agreements, which could result in all of our debt becoming immediately due and payable;</w:t>
      </w:r>
    </w:p>
    <w:p>
      <w:pPr>
        <w:spacing w:after="0" w:line="6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reducing the availability of our cash flow to fund working capital, capital expenditures, acquisitions and other general corporate purposes and limiting our ability to obtain additional financing for these purposes;</w:t>
      </w:r>
    </w:p>
    <w:p>
      <w:pPr>
        <w:spacing w:after="0" w:line="61"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limiting our flexibility in planning for, or reacting to and increasing our vulnerability to, changes in our business, the industry in which we operate and the general economy; and</w:t>
      </w:r>
    </w:p>
    <w:p>
      <w:pPr>
        <w:spacing w:after="0" w:line="6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placing us at a competitive disadvantage compared to any of our competitors that have less debt or are less leveraged.</w:t>
      </w:r>
    </w:p>
    <w:p>
      <w:pPr>
        <w:spacing w:after="0" w:line="1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Any of the above-listed factors could have an adverse effect on our business, financial condition and results of operations. We may also incur substantial additional indebtedness in the future.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addition, we may be unable to service or refinance our debt or maintain compliance with restrictive covenants in our debt instruments. Our cash flow from operations will provide the primary source of funds for 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the terms of the indebtedness we have incurred include, and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potentially could have received better terms from unaffiliated third parties than the terms we will receive in our agreements with Comcast.</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9"/>
          <w:szCs w:val="19"/>
          <w:color w:val="auto"/>
        </w:rPr>
        <w:t>The agreements we entered into with Comcast in connection with the Separation were negotiated while we were still part of Comcast’s business. Accordingly, during the period in which the terms of those agreements were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12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the Separation,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It is intended that the Separation, together with certain related transactions, will qualify as a “reorganization” within the meaning of Section 368(a)(1)(D) of the Code and a distribution to which Section 355 of the Code applies, and the distribution by Comcast of the proceeds from the $2.25 billion special cash payment made by Versant in connection with the Separation, will qualify as money distributed to Comcast creditors or shareholders in connection with the reorganization for purposes of Section 361(b) of the Code. We received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relied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Separation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Separation.</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If the Separation, together with certain related transactions, fail to qualify for the intended tax treatment, for any reason, Comcast and/ or holders of Comcast common stock could be subject to substantial U.S. and/or applicable non-U.S. taxes as a result of the Separation, and we could incur significant liabilities under applicable law or as a result of the tax matters agreement.</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800"/>
          </w:cols>
          <w:pgMar w:left="720" w:top="658" w:right="720" w:bottom="0" w:gutter="0" w:footer="0" w:header="0"/>
          <w:type w:val="continuous"/>
        </w:sectPr>
      </w:pPr>
    </w:p>
    <w:bookmarkStart w:id="28" w:name="page29"/>
    <w:bookmarkEnd w:id="28"/>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the Separation is taxable to Comcast as a result of a breach by us of any covenant or representation made by us in the tax matters agreement, we generally will be required to indemnify Comcast and the obligation to make payments on this indemnification obligation could have a material adverse effect on us.</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described above, it is intended that the Separation,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Separation and/or any of the related transactions are not so treated or are taxable to Comcast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14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significant restrictions on our actions following the Separation in order to avoid triggering significant tax-related liabilities.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tax matters agreement generally prohibits us from taking certain actions that could cause the Separation and certain related transactions to fail to qualify as tax-free transactions, including:</w:t>
      </w:r>
    </w:p>
    <w:p>
      <w:pPr>
        <w:spacing w:after="0" w:line="121" w:lineRule="exact"/>
        <w:rPr>
          <w:sz w:val="20"/>
          <w:szCs w:val="20"/>
          <w:color w:val="auto"/>
        </w:rPr>
      </w:pPr>
    </w:p>
    <w:p>
      <w:pPr>
        <w:jc w:val="both"/>
        <w:ind w:left="1080" w:hanging="36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two-year period following January 2, 2026 (the “Separation Date”) (or otherwise pursuant to a “plan” within the meaning of Section 355(e) of the Code), we may not cause or permit certain business combinations or transactions to occur;</w:t>
      </w:r>
    </w:p>
    <w:p>
      <w:pPr>
        <w:spacing w:after="0" w:line="7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two-year period following the Separation Date, we may not discontinue the active conduct of our business (within the meaning of Section 355(b)(2) of the Code);</w:t>
      </w:r>
    </w:p>
    <w:p>
      <w:pPr>
        <w:spacing w:after="0" w:line="6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two-year period following the Separation Date, we may not sell or otherwise issue our common stock, other than pursuant to issuances that satisfy certain regulatory safe harbors set forth in Treasury regulations related to stock issued to employees and retirement plans;</w:t>
      </w:r>
    </w:p>
    <w:p>
      <w:pPr>
        <w:spacing w:after="0" w:line="7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two-year period following the Separation Date, we may not redeem or otherwise acquire any of our common stock, other than pursuant to open-market repurchases of less than 20% of our common stock (in the aggregate);</w:t>
      </w:r>
    </w:p>
    <w:p>
      <w:pPr>
        <w:spacing w:after="0" w:line="6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two-year period following the Separation Date, we may not amend our certificate of incorporation (or other organizational documents) or take any other action, whether through a shareholder vote or otherwise, affecting the voting rights of our common stock; and</w:t>
      </w:r>
    </w:p>
    <w:p>
      <w:pPr>
        <w:spacing w:after="0" w:line="7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Separation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 Risk Factors</w:t>
      </w:r>
    </w:p>
    <w:p>
      <w:pPr>
        <w:spacing w:after="0" w:line="18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price and trading volume of our Class A common stock may be volatile, and our shareholders could lose all or part of their investment in the Company.</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 “when issued” trading market for our Class A common stock began on Nasdaq on December 15, 2025, and on January 5, 2026, our Class A common stock began “regular way” trading on Nasdaq under the ticker symbol “VSNT.” Prior to this, there was no trading market for shares of our Class A common stock. An active trading market may not develop or be sustained for our Class A common stock, and we cannot predict the prices at which our Class A common stock will trade in the future. The market price of our Class A common stock has, and could continue to, fluctuate significantly due to a number of factors, many of which are beyond our control, including:</w:t>
      </w:r>
    </w:p>
    <w:p>
      <w:pPr>
        <w:sectPr>
          <w:pgSz w:w="12240" w:h="15840" w:orient="portrait"/>
          <w:cols w:equalWidth="0" w:num="1">
            <w:col w:w="10800"/>
          </w:cols>
          <w:pgMar w:left="720" w:top="649"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800"/>
          </w:cols>
          <w:pgMar w:left="720" w:top="649" w:right="720" w:bottom="0" w:gutter="0" w:footer="0" w:header="0"/>
          <w:type w:val="continuous"/>
        </w:sectPr>
      </w:pPr>
    </w:p>
    <w:bookmarkStart w:id="29" w:name="page30"/>
    <w:bookmarkEnd w:id="29"/>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our quarterly or annual earnings results or those of other companies in our industry;</w:t>
      </w:r>
    </w:p>
    <w:p>
      <w:pPr>
        <w:spacing w:after="0" w:line="19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failures of our operating results to meet the estimates of securities analysts or the expectations of our shareholders, or changes by securities analysts in their estimates of our future earnings;</w:t>
      </w:r>
    </w:p>
    <w:p>
      <w:pPr>
        <w:spacing w:after="0" w:line="12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customers, suppliers or competitors;</w:t>
      </w:r>
    </w:p>
    <w:p>
      <w:pPr>
        <w:spacing w:after="0" w:line="19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market valuations or earnings of other companies in our industry;</w:t>
      </w:r>
    </w:p>
    <w:p>
      <w:pPr>
        <w:spacing w:after="0" w:line="19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or regulations which adversely affect our industry or us;</w:t>
      </w:r>
    </w:p>
    <w:p>
      <w:pPr>
        <w:spacing w:after="0" w:line="19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industry and stock market conditions;</w:t>
      </w:r>
    </w:p>
    <w:p>
      <w:pPr>
        <w:spacing w:after="0" w:line="190" w:lineRule="exact"/>
        <w:rPr>
          <w:rFonts w:ascii="Times New Roman" w:cs="Times New Roman" w:eastAsia="Times New Roman" w:hAnsi="Times New Roman"/>
          <w:sz w:val="20"/>
          <w:szCs w:val="20"/>
          <w:color w:val="auto"/>
        </w:rPr>
      </w:pPr>
    </w:p>
    <w:p>
      <w:pPr>
        <w:jc w:val="both"/>
        <w:ind w:left="1080" w:hanging="360"/>
        <w:spacing w:after="0" w:line="260" w:lineRule="auto"/>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significant sales of our Class A common stock by our shareholders or the perception in the market of such sales, including, for instance, if index funds holding shares of Comcast Class A common stock pre-Separation would be required to sell the shares of our Class A common stock they received in the Separation because our Class A common stock may not be included in the Standard &amp; Poor’s 500 Index or other stock indices;</w:t>
      </w:r>
    </w:p>
    <w:p>
      <w:pPr>
        <w:spacing w:after="0" w:line="143"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issuances of our Class A common stock by us; and</w:t>
      </w:r>
    </w:p>
    <w:p>
      <w:pPr>
        <w:spacing w:after="0" w:line="190"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other factors described in these “Risk Factors” and elsewhere in this Annual Report on Form 10-K.</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articles of incorporation and bylaws and certain provisions of Pennsylvania law could delay or prevent a change in control of Versant.</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121" w:lineRule="exact"/>
        <w:rPr>
          <w:sz w:val="20"/>
          <w:szCs w:val="20"/>
          <w:color w:val="auto"/>
        </w:rPr>
      </w:pPr>
    </w:p>
    <w:p>
      <w:pPr>
        <w:ind w:left="1080" w:hanging="360"/>
        <w:spacing w:after="0" w:line="281"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the right to our Board of Directors to issue one or more classes or series of preferred stock without shareholder approval;</w:t>
      </w:r>
    </w:p>
    <w:p>
      <w:pPr>
        <w:spacing w:after="0" w:line="121"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135"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121" w:lineRule="exact"/>
        <w:rPr>
          <w:rFonts w:ascii="Times New Roman" w:cs="Times New Roman" w:eastAsia="Times New Roman" w:hAnsi="Times New Roman"/>
          <w:sz w:val="20"/>
          <w:szCs w:val="20"/>
          <w:color w:val="auto"/>
        </w:rPr>
      </w:pPr>
    </w:p>
    <w:p>
      <w:pPr>
        <w:ind w:left="1080" w:hanging="360"/>
        <w:spacing w:after="0"/>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shareholders from taking action by written consent; and</w:t>
      </w:r>
    </w:p>
    <w:p>
      <w:pPr>
        <w:spacing w:after="0" w:line="190" w:lineRule="exact"/>
        <w:rPr>
          <w:rFonts w:ascii="Times New Roman" w:cs="Times New Roman" w:eastAsia="Times New Roman" w:hAnsi="Times New Roman"/>
          <w:sz w:val="20"/>
          <w:szCs w:val="20"/>
          <w:color w:val="auto"/>
        </w:rPr>
      </w:pPr>
    </w:p>
    <w:p>
      <w:pPr>
        <w:ind w:left="1080" w:hanging="360"/>
        <w:spacing w:after="0" w:line="281" w:lineRule="auto"/>
        <w:tabs>
          <w:tab w:leader="none" w:pos="108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these provisions will protect our shareholders from coercive or otherwise unfair takeover tactics by requiring potential acquirors to negotiate with our Board of Directors and by providing our Board of Directors 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w:t>
      </w:r>
    </w:p>
    <w:p>
      <w:pPr>
        <w:sectPr>
          <w:pgSz w:w="12240" w:h="15840" w:orient="portrait"/>
          <w:cols w:equalWidth="0" w:num="1">
            <w:col w:w="10800"/>
          </w:cols>
          <w:pgMar w:left="720" w:top="6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800"/>
          </w:cols>
          <w:pgMar w:left="720" w:top="658" w:right="72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i w:val="1"/>
          <w:iCs w:val="1"/>
          <w:color w:val="auto"/>
        </w:rPr>
        <w:t>Your percentage ownership in Versant may be diluted in the future.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granted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w:t>
      </w:r>
    </w:p>
    <w:p>
      <w:pPr>
        <w:spacing w:after="0" w:line="14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common stock is and will be subordinate to all of our existing and future indebtedness and any preferred stock, and effectively subordinated to all indebtedness and preferred equity claims against our subsidiaries.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Shares of our common stock are common equity interests in us and, as such, will rank junior to all of our existing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shareholders.</w:t>
      </w:r>
    </w:p>
    <w:p>
      <w:pPr>
        <w:spacing w:after="0" w:line="1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cannot assure you that our Board will declare dividends or that we will purchase our common stock pursuant to our share repurchase program in the foreseeable future.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 Furthermore, although our Board of Directors has authorized a share repurchase program to repurchase of up to $1 billion of our Class A common stock, the timing, manner, price and amount of any common stock repurchases will be determined by the Company in its discretion and will depend on a variety of factors, including legal requirements, price and economic and market conditions. We are not obligated to make any purchases under the program, and we may discontinue it at any time.</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Class B common stock has substantial voting rights and separate approval rights over certain potentially material transactions, and Brian L. Roberts, the Chairman and CEO of Comcast, has considerable influence over Versant through his beneficial ownership of our Class B common stock.</w:t>
      </w:r>
    </w:p>
    <w:p>
      <w:pPr>
        <w:spacing w:after="0" w:line="13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Class B common stock has a non-dilutable 33 1/3% of the combined voting power of our Class A and Class B common stock. This non-dilutable voting power is subject to proportional decrease to the extent the number of shares of Class B common stock is reduced below 377,775, subject to adjustment in specified situations. Stock dividends payable on the Class B common stock in the form of Class B or Class A common stock do not decrease the non-dilutable voting power of the Class B common stock. The Class B common stock also has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Brian L. Roberts, the Chairman and CEO of Comcast, beneficially owns all of the outstanding shares of our Class B common stock and, accordingly, has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w:t>
      </w:r>
    </w:p>
    <w:p>
      <w:pPr>
        <w:sectPr>
          <w:pgSz w:w="12240" w:h="15840" w:orient="portrait"/>
          <w:cols w:equalWidth="0" w:num="1">
            <w:col w:w="10800"/>
          </w:cols>
          <w:pgMar w:left="720" w:top="67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800"/>
          </w:cols>
          <w:pgMar w:left="720" w:top="673" w:right="72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9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Company maintains a comprehensive cybersecurity program that is designed to assess, identify, and manage risks from cybersecurity threats that may result in material adverse effects on the confidentiality, integrity, and availability of data, networks, and technology assets across Versant.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Board of Directors</w:t>
      </w:r>
    </w:p>
    <w:p>
      <w:pPr>
        <w:spacing w:after="0" w:line="2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Board oversees the Company’s enterprise risk management process, including the management and oversight of risks arising from cybersecurity threats. As part of the governance structure adopted in connection with the Separation, the Board has delegated to our Audit Committee oversight of our policies, practices, assessments and mitigation with respect to cybersecurity. The Audit Committee is tasked with regularly reviewing the measures implemented by the Company to identify and mitigate risks from cybersecurity threats. The Board and Audit Committee will receive reports and presentations from members of our team responsible for overseeing the Company’s cybersecurity risk management, including the Chief Information Security Officer (“CISO”) and our Chief Privacy Officer (“CPO”), which may address topics including recent developments, evolving standards, vulnerability assessments, third-party and independent reviews, the threat environment, cybersecurity incidents, and other cybersecurity considerations. The Audit Committee will report to the full Board on its discussions with the management team.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Management</w:t>
      </w:r>
    </w:p>
    <w:p>
      <w:pPr>
        <w:spacing w:after="0" w:line="2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Day-to-day management of our cybersecurity strategy and operations is the responsibility of our CISO, who has over 15 years of experience in cybersecurity, risk management, and technology, including experience in broadcast media and production, and holds numerous industry certifications.</w:t>
      </w:r>
    </w:p>
    <w:p>
      <w:pPr>
        <w:spacing w:after="0" w:line="1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CISO’s experience and leadership is supplemented by the collective experience and expertise of our dedicated internal team of cybersecurity personnel. The CISO maintains three direct Vice President reports who oversee cyber defense operations; governance, risk, and compliance; and identity and security services. The team is further supported by a number of information security professionals, each of whom is responsible for coordinating the implementation, monitoring, training, and maintenance of cybersecurity and data protection practices across the Company. Our CISO and the cybersecurity team work closely and frequently with our CPO and Legal team to oversee compliance with legal, regulatory and contractual cybersecurity requirements.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CISO reports to our Chief Information Officer (“CIO”), who ultimately reports to our President of Operations and Technology (“O&amp;T”), and our Chief Financial Officer and Chief Operating Officer (“CFO and COO”), and is in regular communication with senior management regarding cybersecurity matters and risk management and provides routine updates to the Company’s senior leaders, including our Chief Executive Officer, CFO and COO, CIO, the President of O&amp;T, and General Counsel. As part of the Company’s incident response process, cybersecurity risk events of a certain criteria are communicated to certain individuals within the Company’s senior management, and under certain circumstances, where applicable and relevant, the Audit Committee. The Company has developed a practice of testing the effectiveness of its incidence response plan and assessing its response capabilities by conducting tabletop exercises involving detailed topical cybersecurity scenarios. The Company also has processes in place that are designed to facilitate that decisions regarding public disclosure and reporting of cybersecurity incidents can be made in a timely manner.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cybersecurity program, the framework for how we assess, identify and manage risks from information security and cybersecurity threats, incorporates and is designed in alignment with industry standards, including the National Institute of Standards and Technology (“NIST”) Cybersecurity Framework and the International Organization for Standardization 27001 framework.</w:t>
      </w:r>
    </w:p>
    <w:p>
      <w:pPr>
        <w:sectPr>
          <w:pgSz w:w="12240" w:h="15840" w:orient="portrait"/>
          <w:cols w:equalWidth="0" w:num="1">
            <w:col w:w="10240"/>
          </w:cols>
          <w:pgMar w:left="1000" w:top="11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240"/>
          </w:cols>
          <w:pgMar w:left="1000" w:top="1198" w:right="1000" w:bottom="0" w:gutter="0" w:footer="0" w:header="0"/>
          <w:type w:val="continuous"/>
        </w:sectPr>
      </w:pPr>
    </w:p>
    <w:bookmarkStart w:id="32" w:name="page33"/>
    <w:bookmarkEnd w:id="32"/>
    <w:p>
      <w:pPr>
        <w:jc w:val="both"/>
        <w:spacing w:after="0" w:line="254" w:lineRule="auto"/>
        <w:rPr>
          <w:sz w:val="20"/>
          <w:szCs w:val="20"/>
          <w:color w:val="auto"/>
        </w:rPr>
      </w:pPr>
      <w:r>
        <w:rPr>
          <w:rFonts w:ascii="Times New Roman" w:cs="Times New Roman" w:eastAsia="Times New Roman" w:hAnsi="Times New Roman"/>
          <w:sz w:val="20"/>
          <w:szCs w:val="20"/>
          <w:color w:val="auto"/>
        </w:rPr>
        <w:t>Our program employs a layered defense-in-depth system, which includes the use of automated tools, managed by the cybersecurity team, to assess and protect the security of our enterprise-wide systems, our intellectual property, confidential information, and the data of our customers, partners and employees. Our layered approach includes fortifying our network perimeter through intrusion detection and prevention systems; securing individual devices with antivirus solutions, endpoint detection, and multifactor authentication; implementing network security measures and patch management; and ensuring the resilience of applications. We regularly monitor our technological environment, including through penetration and vulnerability scans, and security assessments. Our policy is to conduct regular employee trainings on cybersecurity, including tabletop exercises. In addition to our internal cybersecurity capabilities, we also at times engage consultants or other third parties to assist with assessing, identifying, and managing cybersecurity risks.</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also employs systems and processes designed to oversee, identify, and reduce the potential impact of a security incident at a third-party vendor, service provider, or customer. Where appropriate based on the data and intellectual property to which these providers are reasonably expected to have access, we conduct security assessments and due diligence reviews of third-party systems for compliance with our security standards, and we include data protection language in our agreements with such third parties.</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adopted a cybersecurity Incident Response Plan that applies in the event of a cybersecurity threat or incident (the “IRP”) to provide a standardized framework for responding to security incidents. The IRP aligns to industry standards and sets out a coordinated approach focused on preparation; detection and analysis; containment, eradication and recovery; and post-incident remediation. The IRP applies to all Company personnel (including vendors and partners) that perform functions or services, and to all devices and network services that are owned or managed by the Company.</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Due to evolving cybersecurity threats, it has and will continue to be difficult to prevent, detect, mitigate, and remediate cybersecurity incidents. Despite ongoing efforts to continued improvement of our and our vendors’ ability to protect against cyber incidents, we may not be able to protect all information systems, and such incidents may lead to reputational harm, revenue and client loss, operational impact, legal actions, and statutory penalties, among other consequences. Based on the information available as of the date of this Annual Report on Form 10-K, we believe that since the Separation, risks from cybersecurity threats, including as a result of previous cybersecurity incidents, have not materially affected us, including our business strategy, results of operations or financial condition, and as of the date of this Annual Report on Form 10-K, the Company is not aware of any material risks from cybersecurity threats that are reasonably likely to do so.</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While we have not experienced any material cybersecurity incidents, there can be no guarantee that we will not be the subject of future successful attacks, threats or incidents. Additional information on cybersecurity risks we face can be found in “Item 1A. Risk Factors” of this Annual Report on Form 10-K, which should be read in conjunction with the foregoing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are headquartered in New York City, New York and lease our headquarters. Additionally, we own our key operational hub located in Englewood Cliffs, New Jersey. We also lease additional offices, studios, production facilities, among others, in numerous locations in the United States and around the world.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Note 10 to the combined financial statements included in this Annual Report on Form 10-K for a discussion of legal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120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240"/>
          </w:cols>
          <w:pgMar w:left="1000" w:top="1205" w:right="100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190"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 “when issued” trading market for our Class A common stock began on Nasdaq on December 15, 2025. On January 5, 2026, our Class A common stock began trading on Nasdaq under the ticker symbol “VSNT.” Our Class B common stock is not listed on any stock exchange. Prior to December 15, 2025, there was no public market for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As of February 20, 2026, there were 213,654 holders of record of our Class A common stock and one holder of record of our Class B common stock. The number of beneficial owners of our Class A common stock is substantially greater than the number of record holders because many shares are held through brokers, banks and other nominees.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Holders of Class A common stock in the aggregate hold 66 2/3% of the combined voting power of our common stock. The number of votes that each share of Class A common stock has at any given time depends on the number of shares of Class A common stock and Class B common stock then outstanding, with each share of Class B common stock having 15 votes per share. The Class B common stock represents 33 1/3% of the combined voting power of our common stock, which percentage is generally non-dilutable under the terms of our articles of incorporation. Mr. Brian L. Roberts beneficially owns all outstanding shares of Class B common stock. Generally, including as to the election of directors, holders of Class A common stock and Class B common stock vote as one class except where class voting is required by law.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have never declared or paid any cash dividends on our common stock. Any future determination to declare cash dividends will be made at the discretion of our board of directors and will depend on a number of factors, including our operating results, financial condition, capital requirements, general business conditions, and any contractual restrictions on the payment of dividends under existing or future indebtedness.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recent sales of unregistered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Company did not repurchase any shares of Company common stock during the three-month period ended December 31, 2025.</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March 3, 2026, the Board of Directors authorized a share repurchase program (the “2026 Share Repurchase Program”) under which the Company may purchase up to $1 billion of its outstanding shares of Class A common stock. Under the 2026 Share Repurchase Program, repurchases can be made using a variety of methods, which may include open market purchases, block trades, privately negotiated transactions, accelerated share repurchase programs and/or Rule 10b5-1 or other non-discretionary trading plans. The timing, manner, price and amount of any common share repurchases under the 2026 Share Repurchase Program are determined by the Company in its discretion and depend on a variety of factors, including legal requirements, price and economic and market conditions. The 2026 Share Repurchase Program does not obligate the Company to acquire any particular number of common shares, and the program may be suspended, extended, modified or discontinued at any time.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ectPr>
          <w:pgSz w:w="12240" w:h="15840" w:orient="portrait"/>
          <w:cols w:equalWidth="0" w:num="1">
            <w:col w:w="10240"/>
          </w:cols>
          <w:pgMar w:left="1000" w:top="11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240"/>
          </w:cols>
          <w:pgMar w:left="1000" w:top="1198" w:right="100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The following discussion of our financial condition and results of operations should be read in conjunction with our combined financial statements and the accompanying notes included elsewhere in this Annual Report on Form 10-K. For more information about our company’s operations, see “Item 1. Business”. The following discussion and analysis includes forward-looking statements. These forward-looking statements are based on our current expectations and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Annual Report on Form 10-K, particularly in “Note About Forward Looking Statements” and “Item 1A. Risk Factors.”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are a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our financial performance, which is presented on a combined basis as part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Comcast and does not reflect our expected cost structure in periods following the Separation:</w:t>
      </w:r>
    </w:p>
    <w:p>
      <w:pPr>
        <w:spacing w:after="0" w:line="170" w:lineRule="exact"/>
        <w:rPr>
          <w:sz w:val="20"/>
          <w:szCs w:val="20"/>
          <w:color w:val="auto"/>
        </w:rPr>
      </w:pPr>
    </w:p>
    <w:p>
      <w:pPr>
        <w:ind w:left="360" w:hanging="360"/>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of $6.69 billion and $7.06 billion for 2025 and 2024, respectively;</w:t>
      </w:r>
    </w:p>
    <w:p>
      <w:pPr>
        <w:spacing w:after="0" w:line="190"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attributable to Versant of $930 million and $1.36 billion for 2025 and 2024, respectively;</w:t>
      </w:r>
    </w:p>
    <w:p>
      <w:pPr>
        <w:spacing w:after="0" w:line="190" w:lineRule="exact"/>
        <w:rPr>
          <w:rFonts w:ascii="Times New Roman" w:cs="Times New Roman" w:eastAsia="Times New Roman" w:hAnsi="Times New Roman"/>
          <w:sz w:val="20"/>
          <w:szCs w:val="20"/>
          <w:color w:val="auto"/>
        </w:rPr>
      </w:pPr>
    </w:p>
    <w:p>
      <w:pPr>
        <w:jc w:val="both"/>
        <w:ind w:left="360" w:hanging="360"/>
        <w:spacing w:after="0" w:line="260" w:lineRule="auto"/>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$2.42 billion and $2.80 billion for 2025 and 2024, respectively. Adjusted EBITDA is a financial measure not defined by generally accepted accounting principles in the United States (“GAAP”). See “Non-GAAP Financial Measures” below for additional information, including our definition and use of Adjusted EBITDA and for a reconciliation from net income attributable to Versant to Adjusted EBITDA.</w:t>
      </w:r>
    </w:p>
    <w:p>
      <w:pPr>
        <w:spacing w:after="0" w:line="143" w:lineRule="exact"/>
        <w:rPr>
          <w:rFonts w:ascii="Times New Roman" w:cs="Times New Roman" w:eastAsia="Times New Roman" w:hAnsi="Times New Roman"/>
          <w:sz w:val="20"/>
          <w:szCs w:val="20"/>
          <w:color w:val="auto"/>
        </w:rPr>
      </w:pPr>
    </w:p>
    <w:p>
      <w:pPr>
        <w:ind w:left="360" w:hanging="360"/>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flows from operations of $2.0 billion and $2.21 billion for 2025 and 2024, respectively.</w:t>
      </w:r>
    </w:p>
    <w:p>
      <w:pPr>
        <w:spacing w:after="0" w:line="183" w:lineRule="exact"/>
        <w:rPr>
          <w:sz w:val="20"/>
          <w:szCs w:val="20"/>
          <w:color w:val="auto"/>
        </w:rPr>
      </w:pPr>
    </w:p>
    <w:p>
      <w:pPr>
        <w:ind w:right="2680"/>
        <w:spacing w:after="0" w:line="442" w:lineRule="auto"/>
        <w:rPr>
          <w:sz w:val="20"/>
          <w:szCs w:val="20"/>
          <w:color w:val="auto"/>
        </w:rPr>
      </w:pPr>
      <w:r>
        <w:rPr>
          <w:rFonts w:ascii="Times New Roman" w:cs="Times New Roman" w:eastAsia="Times New Roman" w:hAnsi="Times New Roman"/>
          <w:sz w:val="20"/>
          <w:szCs w:val="20"/>
          <w:b w:val="1"/>
          <w:bCs w:val="1"/>
          <w:color w:val="auto"/>
        </w:rPr>
        <w:t xml:space="preserve">Recent Events and Factors Affecting Results of Operations and Comparability </w:t>
      </w:r>
      <w:r>
        <w:rPr>
          <w:rFonts w:ascii="Times New Roman" w:cs="Times New Roman" w:eastAsia="Times New Roman" w:hAnsi="Times New Roman"/>
          <w:sz w:val="20"/>
          <w:szCs w:val="20"/>
          <w:b w:val="1"/>
          <w:bCs w:val="1"/>
          <w:i w:val="1"/>
          <w:iCs w:val="1"/>
          <w:color w:val="auto"/>
        </w:rPr>
        <w:t>Transition to Standalone Company</w:t>
      </w:r>
    </w:p>
    <w:p>
      <w:pPr>
        <w:jc w:val="both"/>
        <w:spacing w:after="0" w:line="243" w:lineRule="auto"/>
        <w:rPr>
          <w:sz w:val="20"/>
          <w:szCs w:val="20"/>
          <w:color w:val="auto"/>
        </w:rPr>
      </w:pPr>
      <w:r>
        <w:rPr>
          <w:rFonts w:ascii="Times New Roman" w:cs="Times New Roman" w:eastAsia="Times New Roman" w:hAnsi="Times New Roman"/>
          <w:sz w:val="20"/>
          <w:szCs w:val="20"/>
          <w:color w:val="auto"/>
        </w:rPr>
        <w:t>On January 2, 2026, the Separation of Versant from Comcast was completed through the distribution of 100% of the shares of Versant Class A common stock and Versant Class B common stock (together, the “common stock”) to holders of Comcast Class A common stock and Comcast Class B common stock as of the close of business on the record date of December 16, 2025. In connection with the Separation, Comcast’s shareholders of record received one share of Versant Class A common stock or Class B common stock for every 25 shares of Comcast Class A common stock or Comcast Class B common stock, respectively, held as of the record date. Immediately after the separation, holders of Comcast’s common stock prior to the distribution owned 100% of our issued and outstanding shares. On January 5, 2026, Versant’s Class A common stock began trading on Nasdaq under the ticker symbol “VSNT”.</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Upon our Separation, we became subject to the requirements of federal and state securities laws and Nasdaq stock exchange requirements. We have begun to establish additional procedures and practices as a standalone company and have started to, and will continue to, incur additional expenditures in connection with our transition to a standalone company, including employee-related costs, costs to establish certain standalone functions and information technology systems, and other transaction-related costs. In addition, we have incurred, and will continue to incur, incremental costs related to operating as a public company, such as external reporting, internal audit, treasury, investor relations, board of directors, and stock administration, and expanding the services of existing functions such as information technology, finance, supply chain, human resources, legal, tax, facilities and insurance.</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360"/>
          </w:cols>
          <w:pgMar w:left="1440" w:top="1371" w:right="1440" w:bottom="0" w:gutter="0" w:footer="0" w:header="0"/>
          <w:type w:val="continuous"/>
        </w:sectPr>
      </w:pPr>
    </w:p>
    <w:bookmarkStart w:id="35" w:name="page36"/>
    <w:bookmarkEnd w:id="35"/>
    <w:p>
      <w:pPr>
        <w:jc w:val="both"/>
        <w:spacing w:after="0" w:line="260" w:lineRule="auto"/>
        <w:rPr>
          <w:sz w:val="20"/>
          <w:szCs w:val="20"/>
          <w:color w:val="auto"/>
        </w:rPr>
      </w:pPr>
      <w:r>
        <w:rPr>
          <w:rFonts w:ascii="Times New Roman" w:cs="Times New Roman" w:eastAsia="Times New Roman" w:hAnsi="Times New Roman"/>
          <w:sz w:val="20"/>
          <w:szCs w:val="20"/>
          <w:color w:val="auto"/>
        </w:rPr>
        <w:t>In connection with our Separation, we incurred approximately $3.0 billion of total debt, as further described in Note 8 to the combined financial statements and the “Liquidity” discussion below. Proceeds from the offering of our Senior Notes, together with a portion of the net proceeds of the borrowings under the Term Loans, were used to fund a special cash payment to Comcast of $2.25 billion and pay fees and expenses related to the financing transactions.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Held for Sale</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In December 2025, we initiated a process to sell our SportsEngine business and the related assets and liabilities are classified as held for sale in our combined balance sheet as of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For the periods presented in the combined financial statements included in this report, the Versant businesses were operated as part of Comcast.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in accordance with GAAP and pursuant to the rules and regulations of the SEC, which required allocations and other carve-out methodologies, using assumptions that management believes are reasonable. Accordingly, the combined financial statements herein for periods prior to the Separation may not be indicative of our future performance, do not necessarily include the actual expenses that would have been incurred by us, and may not reflect our results of operations, financial position, and cash flows had we been a separate, standalone company during the historical periods presented. See Note 1 to our combined financial statement for additional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the key business and marketplace factors that are impacting our business include the following:</w:t>
      </w:r>
    </w:p>
    <w:p>
      <w:pPr>
        <w:spacing w:after="0" w:line="186" w:lineRule="exact"/>
        <w:rPr>
          <w:sz w:val="20"/>
          <w:szCs w:val="20"/>
          <w:color w:val="auto"/>
        </w:rPr>
      </w:pPr>
    </w:p>
    <w:p>
      <w:pPr>
        <w:jc w:val="both"/>
        <w:ind w:left="720" w:hanging="360"/>
        <w:spacing w:after="0" w:line="25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Consumer Demand for Cable Television. </w:t>
      </w:r>
      <w:r>
        <w:rPr>
          <w:rFonts w:ascii="Times New Roman" w:cs="Times New Roman" w:eastAsia="Times New Roman" w:hAnsi="Times New Roman"/>
          <w:sz w:val="20"/>
          <w:szCs w:val="20"/>
          <w:color w:val="auto"/>
        </w:rPr>
        <w:t>The amount of revenue we earn from MVPD distribution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declined in recent years, 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42" w:lineRule="exact"/>
        <w:rPr>
          <w:rFonts w:ascii="Times New Roman" w:cs="Times New Roman" w:eastAsia="Times New Roman" w:hAnsi="Times New Roman"/>
          <w:sz w:val="20"/>
          <w:szCs w:val="20"/>
          <w:color w:val="auto"/>
        </w:rPr>
      </w:pPr>
    </w:p>
    <w:p>
      <w:pPr>
        <w:jc w:val="both"/>
        <w:ind w:left="720" w:hanging="360"/>
        <w:spacing w:after="0" w:line="254"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Advertising. </w:t>
      </w:r>
      <w:r>
        <w:rPr>
          <w:rFonts w:ascii="Times New Roman" w:cs="Times New Roman" w:eastAsia="Times New Roman" w:hAnsi="Times New Roman"/>
          <w:sz w:val="20"/>
          <w:szCs w:val="20"/>
          <w:color w:val="auto"/>
        </w:rPr>
        <w:t>We derive significant revenue from selling advertising on our networks, and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experienced in recent years, and expect to 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149" w:lineRule="exact"/>
        <w:rPr>
          <w:rFonts w:ascii="Times New Roman" w:cs="Times New Roman" w:eastAsia="Times New Roman" w:hAnsi="Times New Roman"/>
          <w:sz w:val="20"/>
          <w:szCs w:val="20"/>
          <w:color w:val="auto"/>
        </w:rPr>
      </w:pPr>
    </w:p>
    <w:p>
      <w:pPr>
        <w:jc w:val="both"/>
        <w:ind w:left="720" w:hanging="360"/>
        <w:spacing w:after="0" w:line="25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Growth of Digital Platforms. </w:t>
      </w:r>
      <w:r>
        <w:rPr>
          <w:rFonts w:ascii="Times New Roman" w:cs="Times New Roman" w:eastAsia="Times New Roman" w:hAnsi="Times New Roman"/>
          <w:sz w:val="20"/>
          <w:szCs w:val="20"/>
          <w:color w:val="auto"/>
        </w:rPr>
        <w:t>Our digital platforms generate revenue from selling advertising, providing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directly to consumers 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360"/>
          </w:cols>
          <w:pgMar w:left="1440" w:top="1378" w:right="1440" w:bottom="0" w:gutter="0" w:footer="0" w:header="0"/>
          <w:type w:val="continuous"/>
        </w:sectPr>
      </w:pPr>
    </w:p>
    <w:bookmarkStart w:id="36" w:name="page37"/>
    <w:bookmarkEnd w:id="36"/>
    <w:p>
      <w:pPr>
        <w:jc w:val="both"/>
        <w:ind w:left="720" w:hanging="360"/>
        <w:spacing w:after="0" w:line="259"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Competition for Programming. </w:t>
      </w:r>
      <w:r>
        <w:rPr>
          <w:rFonts w:ascii="Times New Roman" w:cs="Times New Roman" w:eastAsia="Times New Roman" w:hAnsi="Times New Roman"/>
          <w:sz w:val="20"/>
          <w:szCs w:val="20"/>
          <w:color w:val="auto"/>
        </w:rPr>
        <w:t>The market for programming has been, and we expect will continue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very competitive. In recent 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139" w:lineRule="exact"/>
        <w:rPr>
          <w:rFonts w:ascii="Times New Roman" w:cs="Times New Roman" w:eastAsia="Times New Roman" w:hAnsi="Times New Roman"/>
          <w:sz w:val="20"/>
          <w:szCs w:val="20"/>
          <w:color w:val="auto"/>
        </w:rPr>
      </w:pPr>
    </w:p>
    <w:p>
      <w:pPr>
        <w:jc w:val="both"/>
        <w:ind w:left="720" w:hanging="360"/>
        <w:spacing w:after="0" w:line="280" w:lineRule="auto"/>
        <w:tabs>
          <w:tab w:leader="none" w:pos="7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Impact of Macroeconomic Conditions. </w:t>
      </w:r>
      <w:r>
        <w:rPr>
          <w:rFonts w:ascii="Times New Roman" w:cs="Times New Roman" w:eastAsia="Times New Roman" w:hAnsi="Times New Roman"/>
          <w:sz w:val="19"/>
          <w:szCs w:val="19"/>
          <w:color w:val="auto"/>
        </w:rPr>
        <w:t>A substantial portion of our revenue is impacted by consumer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spending patterns, which are 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120" w:lineRule="exact"/>
        <w:rPr>
          <w:rFonts w:ascii="Times New Roman" w:cs="Times New Roman" w:eastAsia="Times New Roman" w:hAnsi="Times New Roman"/>
          <w:sz w:val="19"/>
          <w:szCs w:val="19"/>
          <w:color w:val="auto"/>
        </w:rPr>
      </w:pPr>
    </w:p>
    <w:p>
      <w:pPr>
        <w:jc w:val="both"/>
        <w:ind w:left="720" w:hanging="360"/>
        <w:spacing w:after="0" w:line="262"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Brand Value and Reputation. </w:t>
      </w:r>
      <w:r>
        <w:rPr>
          <w:rFonts w:ascii="Times New Roman" w:cs="Times New Roman" w:eastAsia="Times New Roman" w:hAnsi="Times New Roman"/>
          <w:sz w:val="20"/>
          <w:szCs w:val="20"/>
          <w:color w:val="auto"/>
        </w:rPr>
        <w:t>Our brand image, awareness and reputation strengthen our relationship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our audiences and can be important drivers of consumer and advertiser engagement. We are establishing the Versant brand as a standalone public company and elevated public scrutiny, geopolitical tensions and rapid consumer reaction have heightened reputational concerns.</w:t>
      </w:r>
    </w:p>
    <w:p>
      <w:pPr>
        <w:spacing w:after="0" w:line="135" w:lineRule="exact"/>
        <w:rPr>
          <w:rFonts w:ascii="Times New Roman" w:cs="Times New Roman" w:eastAsia="Times New Roman" w:hAnsi="Times New Roman"/>
          <w:sz w:val="20"/>
          <w:szCs w:val="20"/>
          <w:color w:val="auto"/>
        </w:rPr>
      </w:pPr>
    </w:p>
    <w:p>
      <w:pPr>
        <w:jc w:val="both"/>
        <w:ind w:left="720" w:hanging="360"/>
        <w:spacing w:after="0" w:line="262"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Public Company Costs</w:t>
      </w:r>
      <w:r>
        <w:rPr>
          <w:rFonts w:ascii="Times New Roman" w:cs="Times New Roman" w:eastAsia="Times New Roman" w:hAnsi="Times New Roman"/>
          <w:sz w:val="20"/>
          <w:szCs w:val="20"/>
          <w:color w:val="auto"/>
        </w:rPr>
        <w:t>. As a result of the Separation and costs associated with running an independent,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publicly traded company, we have incurred and expect to continue to incur expenditures that are higher than historical allocations that were allocated pro rata based on revenue, which may have an impact on our profitability and operating cash flows.</w:t>
      </w:r>
    </w:p>
    <w:p>
      <w:pPr>
        <w:spacing w:after="0" w:line="14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We evaluate these and other factors as we develop and execute our strategies. For more information on the risk factors affecting our business, see “Item 1A. Risk Factors.”</w:t>
      </w:r>
    </w:p>
    <w:p>
      <w:pPr>
        <w:sectPr>
          <w:pgSz w:w="12240" w:h="15840" w:orient="portrait"/>
          <w:cols w:equalWidth="0" w:num="1">
            <w:col w:w="9360"/>
          </w:cols>
          <w:pgMar w:left="1440" w:top="13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360"/>
          </w:cols>
          <w:pgMar w:left="1440" w:top="1374" w:right="144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Operating Results</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center"/>
              <w:ind w:left="34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bottom w:val="single" w:sz="8" w:color="auto"/>
            </w:tcBorders>
            <w:gridSpan w:val="3"/>
          </w:tcPr>
          <w:p>
            <w:pPr>
              <w:jc w:val="right"/>
              <w:ind w:right="78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60" w:type="dxa"/>
            <w:vAlign w:val="bottom"/>
          </w:tcPr>
          <w:p>
            <w:pPr>
              <w:spacing w:after="0"/>
              <w:rPr>
                <w:sz w:val="19"/>
                <w:szCs w:val="19"/>
                <w:color w:val="auto"/>
              </w:rPr>
            </w:pPr>
          </w:p>
        </w:tc>
        <w:tc>
          <w:tcPr>
            <w:tcW w:w="11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2023 to 2024</w:t>
            </w:r>
          </w:p>
        </w:tc>
        <w:tc>
          <w:tcPr>
            <w:tcW w:w="0" w:type="dxa"/>
            <w:vAlign w:val="bottom"/>
          </w:tcPr>
          <w:p>
            <w:pPr>
              <w:spacing w:after="0"/>
              <w:rPr>
                <w:sz w:val="1"/>
                <w:szCs w:val="1"/>
                <w:color w:val="auto"/>
              </w:rPr>
            </w:pPr>
          </w:p>
        </w:tc>
      </w:tr>
      <w:tr>
        <w:trPr>
          <w:trHeight w:val="214"/>
        </w:trPr>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6,688</w:t>
            </w:r>
          </w:p>
        </w:tc>
        <w:tc>
          <w:tcPr>
            <w:tcW w:w="32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7,062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7,445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c>
          <w:tcPr>
            <w:tcW w:w="0" w:type="dxa"/>
            <w:vAlign w:val="bottom"/>
          </w:tcPr>
          <w:p>
            <w:pPr>
              <w:spacing w:after="0"/>
              <w:rPr>
                <w:sz w:val="1"/>
                <w:szCs w:val="1"/>
                <w:color w:val="auto"/>
              </w:rPr>
            </w:pPr>
          </w:p>
        </w:tc>
      </w:tr>
      <w:tr>
        <w:trPr>
          <w:trHeight w:val="285"/>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760" w:type="dxa"/>
            <w:vAlign w:val="bottom"/>
          </w:tcPr>
          <w:p>
            <w:pPr>
              <w:ind w:left="260"/>
              <w:spacing w:after="0" w:line="205" w:lineRule="exact"/>
              <w:rPr>
                <w:sz w:val="20"/>
                <w:szCs w:val="20"/>
                <w:color w:val="auto"/>
              </w:rPr>
            </w:pPr>
            <w:r>
              <w:rPr>
                <w:rFonts w:ascii="Times New Roman" w:cs="Times New Roman" w:eastAsia="Times New Roman" w:hAnsi="Times New Roman"/>
                <w:sz w:val="20"/>
                <w:szCs w:val="20"/>
                <w:color w:val="auto"/>
              </w:rPr>
              <w:t>Costs of revenue (exclusive of</w:t>
            </w: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2,937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3,064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12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20"/>
                <w:szCs w:val="20"/>
                <w:color w:val="auto"/>
              </w:rPr>
              <w:t>(4.2)</w:t>
            </w:r>
          </w:p>
        </w:tc>
        <w:tc>
          <w:tcPr>
            <w:tcW w:w="1160" w:type="dxa"/>
            <w:vAlign w:val="bottom"/>
            <w:gridSpan w:val="2"/>
            <w:vMerge w:val="restart"/>
          </w:tcPr>
          <w:p>
            <w:pPr>
              <w:jc w:val="right"/>
              <w:ind w:right="125"/>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60"/>
        </w:trPr>
        <w:tc>
          <w:tcPr>
            <w:tcW w:w="37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3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20"/>
                <w:szCs w:val="20"/>
                <w:color w:val="auto"/>
              </w:rPr>
              <w:t>25.9</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88"/>
        </w:trPr>
        <w:tc>
          <w:tcPr>
            <w:tcW w:w="37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20"/>
                <w:szCs w:val="20"/>
                <w:color w:val="auto"/>
              </w:rPr>
              <w:t>2.2</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auto"/>
              </w:rPr>
              <w:t>(0.2)</w:t>
            </w:r>
          </w:p>
        </w:tc>
        <w:tc>
          <w:tcPr>
            <w:tcW w:w="0" w:type="dxa"/>
            <w:vAlign w:val="bottom"/>
          </w:tcPr>
          <w:p>
            <w:pPr>
              <w:spacing w:after="0"/>
              <w:rPr>
                <w:sz w:val="1"/>
                <w:szCs w:val="1"/>
                <w:color w:val="auto"/>
              </w:rPr>
            </w:pPr>
          </w:p>
        </w:tc>
      </w:tr>
      <w:tr>
        <w:trPr>
          <w:trHeight w:val="265"/>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Total costs and expenses</w:t>
            </w: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5,416</w:t>
            </w:r>
          </w:p>
        </w:tc>
        <w:tc>
          <w:tcPr>
            <w:tcW w:w="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5,220</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5,375</w:t>
            </w:r>
          </w:p>
        </w:tc>
        <w:tc>
          <w:tcPr>
            <w:tcW w:w="1220" w:type="dxa"/>
            <w:vAlign w:val="bottom"/>
            <w:gridSpan w:val="2"/>
          </w:tcPr>
          <w:p>
            <w:pPr>
              <w:jc w:val="right"/>
              <w:ind w:right="210"/>
              <w:spacing w:after="0"/>
              <w:rPr>
                <w:sz w:val="20"/>
                <w:szCs w:val="20"/>
                <w:color w:val="auto"/>
              </w:rPr>
            </w:pPr>
            <w:r>
              <w:rPr>
                <w:rFonts w:ascii="Times New Roman" w:cs="Times New Roman" w:eastAsia="Times New Roman" w:hAnsi="Times New Roman"/>
                <w:sz w:val="20"/>
                <w:szCs w:val="20"/>
                <w:color w:val="auto"/>
              </w:rPr>
              <w:t>3.7</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64"/>
        </w:trPr>
        <w:tc>
          <w:tcPr>
            <w:tcW w:w="3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1,272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1,841</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2,069</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b w:val="1"/>
                <w:bCs w:val="1"/>
                <w:color w:val="auto"/>
              </w:rPr>
              <w:t>(30.9)</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b w:val="1"/>
                <w:bCs w:val="1"/>
                <w:color w:val="auto"/>
              </w:rPr>
              <w:t>(11.0)</w:t>
            </w:r>
          </w:p>
        </w:tc>
        <w:tc>
          <w:tcPr>
            <w:tcW w:w="0" w:type="dxa"/>
            <w:vAlign w:val="bottom"/>
          </w:tcPr>
          <w:p>
            <w:pPr>
              <w:spacing w:after="0"/>
              <w:rPr>
                <w:sz w:val="1"/>
                <w:szCs w:val="1"/>
                <w:color w:val="auto"/>
              </w:rPr>
            </w:pPr>
          </w:p>
        </w:tc>
      </w:tr>
      <w:tr>
        <w:trPr>
          <w:trHeight w:val="283"/>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10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8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Investment and other income (loss), net</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20"/>
                <w:szCs w:val="20"/>
                <w:color w:val="auto"/>
              </w:rPr>
              <w:t>NM</w:t>
            </w:r>
          </w:p>
        </w:tc>
        <w:tc>
          <w:tcPr>
            <w:tcW w:w="60" w:type="dxa"/>
            <w:vAlign w:val="bottom"/>
          </w:tcPr>
          <w:p>
            <w:pPr>
              <w:spacing w:after="0"/>
              <w:rPr>
                <w:sz w:val="24"/>
                <w:szCs w:val="24"/>
                <w:color w:val="auto"/>
              </w:rPr>
            </w:pPr>
          </w:p>
        </w:tc>
        <w:tc>
          <w:tcPr>
            <w:tcW w:w="110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2"/>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2,069</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(33.4)</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28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(37.9)</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auto"/>
              </w:rPr>
              <w:t>(9.8)</w:t>
            </w:r>
          </w:p>
        </w:tc>
        <w:tc>
          <w:tcPr>
            <w:tcW w:w="0" w:type="dxa"/>
            <w:vAlign w:val="bottom"/>
          </w:tcPr>
          <w:p>
            <w:pPr>
              <w:spacing w:after="0"/>
              <w:rPr>
                <w:sz w:val="1"/>
                <w:szCs w:val="1"/>
                <w:color w:val="auto"/>
              </w:rPr>
            </w:pPr>
          </w:p>
        </w:tc>
      </w:tr>
      <w:tr>
        <w:trPr>
          <w:trHeight w:val="262"/>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color w:val="auto"/>
              </w:rPr>
              <w:t>(31.8)</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205"/>
        </w:trPr>
        <w:tc>
          <w:tcPr>
            <w:tcW w:w="37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Less: Net income attributable to</w:t>
            </w: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20"/>
                <w:szCs w:val="20"/>
                <w:color w:val="auto"/>
              </w:rPr>
              <w:t>(44.1)</w:t>
            </w:r>
          </w:p>
        </w:tc>
        <w:tc>
          <w:tcPr>
            <w:tcW w:w="60" w:type="dxa"/>
            <w:vAlign w:val="bottom"/>
          </w:tcPr>
          <w:p>
            <w:pPr>
              <w:spacing w:after="0"/>
              <w:rPr>
                <w:sz w:val="17"/>
                <w:szCs w:val="17"/>
                <w:color w:val="auto"/>
              </w:rPr>
            </w:pPr>
          </w:p>
        </w:tc>
        <w:tc>
          <w:tcPr>
            <w:tcW w:w="1100" w:type="dxa"/>
            <w:vAlign w:val="bottom"/>
            <w:vMerge w:val="restart"/>
          </w:tcPr>
          <w:p>
            <w:pPr>
              <w:jc w:val="right"/>
              <w:ind w:right="165"/>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63"/>
        </w:trPr>
        <w:tc>
          <w:tcPr>
            <w:tcW w:w="3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noncontrolling interests</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Versant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930</w:t>
            </w: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1,363</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1,539</w:t>
            </w: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20"/>
                <w:szCs w:val="20"/>
                <w:b w:val="1"/>
                <w:bCs w:val="1"/>
                <w:color w:val="auto"/>
              </w:rPr>
              <w:t>(31.8)</w:t>
            </w:r>
          </w:p>
        </w:tc>
        <w:tc>
          <w:tcPr>
            <w:tcW w:w="1160" w:type="dxa"/>
            <w:vAlign w:val="bottom"/>
            <w:gridSpan w:val="2"/>
          </w:tcPr>
          <w:p>
            <w:pPr>
              <w:jc w:val="right"/>
              <w:ind w:right="125"/>
              <w:spacing w:after="0"/>
              <w:rPr>
                <w:sz w:val="20"/>
                <w:szCs w:val="20"/>
                <w:color w:val="auto"/>
              </w:rPr>
            </w:pPr>
            <w:r>
              <w:rPr>
                <w:rFonts w:ascii="Times New Roman" w:cs="Times New Roman" w:eastAsia="Times New Roman" w:hAnsi="Times New Roman"/>
                <w:sz w:val="20"/>
                <w:szCs w:val="20"/>
                <w:b w:val="1"/>
                <w:bCs w:val="1"/>
                <w:color w:val="auto"/>
              </w:rPr>
              <w:t>(11.4)</w:t>
            </w:r>
          </w:p>
        </w:tc>
        <w:tc>
          <w:tcPr>
            <w:tcW w:w="0" w:type="dxa"/>
            <w:vAlign w:val="bottom"/>
          </w:tcPr>
          <w:p>
            <w:pPr>
              <w:spacing w:after="0"/>
              <w:rPr>
                <w:sz w:val="1"/>
                <w:szCs w:val="1"/>
                <w:color w:val="auto"/>
              </w:rPr>
            </w:pPr>
          </w:p>
        </w:tc>
      </w:tr>
      <w:tr>
        <w:trPr>
          <w:trHeight w:val="295"/>
        </w:trPr>
        <w:tc>
          <w:tcPr>
            <w:tcW w:w="37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Adjusted EBITDA</w:t>
            </w:r>
            <w:r>
              <w:rPr>
                <w:rFonts w:ascii="Times New Roman" w:cs="Times New Roman" w:eastAsia="Times New Roman" w:hAnsi="Times New Roman"/>
                <w:sz w:val="26"/>
                <w:szCs w:val="26"/>
                <w:color w:val="auto"/>
                <w:vertAlign w:val="superscript"/>
              </w:rPr>
              <w:t>(a)</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20"/>
                <w:szCs w:val="20"/>
                <w:b w:val="1"/>
                <w:bCs w:val="1"/>
                <w:color w:val="auto"/>
              </w:rPr>
              <w:t>(14.5)</w:t>
            </w:r>
          </w:p>
        </w:tc>
        <w:tc>
          <w:tcPr>
            <w:tcW w:w="1160" w:type="dxa"/>
            <w:vAlign w:val="bottom"/>
            <w:gridSpan w:val="2"/>
            <w:vMerge w:val="restart"/>
          </w:tcPr>
          <w:p>
            <w:pPr>
              <w:jc w:val="right"/>
              <w:ind w:right="125"/>
              <w:spacing w:after="0"/>
              <w:rPr>
                <w:sz w:val="20"/>
                <w:szCs w:val="20"/>
                <w:color w:val="auto"/>
              </w:rPr>
            </w:pPr>
            <w:r>
              <w:rPr>
                <w:rFonts w:ascii="Times New Roman" w:cs="Times New Roman" w:eastAsia="Times New Roman" w:hAnsi="Times New Roman"/>
                <w:sz w:val="20"/>
                <w:szCs w:val="20"/>
                <w:b w:val="1"/>
                <w:bCs w:val="1"/>
                <w:color w:val="auto"/>
              </w:rPr>
              <w:t>(7.3)</w:t>
            </w:r>
          </w:p>
        </w:tc>
        <w:tc>
          <w:tcPr>
            <w:tcW w:w="0" w:type="dxa"/>
            <w:vAlign w:val="bottom"/>
          </w:tcPr>
          <w:p>
            <w:pPr>
              <w:spacing w:after="0"/>
              <w:rPr>
                <w:sz w:val="1"/>
                <w:szCs w:val="1"/>
                <w:color w:val="auto"/>
              </w:rPr>
            </w:pPr>
          </w:p>
        </w:tc>
      </w:tr>
      <w:tr>
        <w:trPr>
          <w:trHeight w:val="265"/>
        </w:trPr>
        <w:tc>
          <w:tcPr>
            <w:tcW w:w="3760" w:type="dxa"/>
            <w:vAlign w:val="bottom"/>
            <w:vMerge w:val="continue"/>
          </w:tcPr>
          <w:p>
            <w:pPr>
              <w:spacing w:after="0"/>
              <w:rPr>
                <w:sz w:val="23"/>
                <w:szCs w:val="2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2,425</w:t>
            </w:r>
          </w:p>
        </w:tc>
        <w:tc>
          <w:tcPr>
            <w:tcW w:w="8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2,837</w:t>
            </w:r>
          </w:p>
        </w:tc>
        <w:tc>
          <w:tcPr>
            <w:tcW w:w="8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3,060</w:t>
            </w:r>
          </w:p>
        </w:tc>
        <w:tc>
          <w:tcPr>
            <w:tcW w:w="1220" w:type="dxa"/>
            <w:vAlign w:val="bottom"/>
            <w:gridSpan w:val="2"/>
            <w:vMerge w:val="continue"/>
          </w:tcPr>
          <w:p>
            <w:pPr>
              <w:spacing w:after="0"/>
              <w:rPr>
                <w:sz w:val="23"/>
                <w:szCs w:val="23"/>
                <w:color w:val="auto"/>
              </w:rPr>
            </w:pPr>
          </w:p>
        </w:tc>
        <w:tc>
          <w:tcPr>
            <w:tcW w:w="11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-3161665</wp:posOffset>
            </wp:positionV>
            <wp:extent cx="5969000" cy="3168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extLst>
                    </a:blip>
                    <a:srcRect/>
                    <a:stretch>
                      <a:fillRect/>
                    </a:stretch>
                  </pic:blipFill>
                  <pic:spPr bwMode="auto">
                    <a:xfrm>
                      <a:off x="0" y="0"/>
                      <a:ext cx="5969000" cy="316865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29" w:lineRule="exact"/>
        <w:rPr>
          <w:sz w:val="20"/>
          <w:szCs w:val="20"/>
          <w:color w:val="auto"/>
        </w:rPr>
      </w:pPr>
    </w:p>
    <w:p>
      <w:pPr>
        <w:jc w:val="both"/>
        <w:ind w:left="280" w:hanging="280"/>
        <w:spacing w:after="0" w:line="235" w:lineRule="auto"/>
        <w:tabs>
          <w:tab w:leader="none" w:pos="296"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ind w:left="346"/>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30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3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 to 2024</w:t>
            </w:r>
          </w:p>
        </w:tc>
      </w:tr>
      <w:tr>
        <w:trPr>
          <w:trHeight w:val="214"/>
        </w:trPr>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8"/>
        </w:trPr>
        <w:tc>
          <w:tcPr>
            <w:tcW w:w="3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3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Linear distribution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4,092</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 %</w:t>
            </w:r>
          </w:p>
        </w:tc>
      </w:tr>
      <w:tr>
        <w:trPr>
          <w:trHeight w:val="285"/>
        </w:trPr>
        <w:tc>
          <w:tcPr>
            <w:tcW w:w="3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Advertising</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(8.9)</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(7.2)</w:t>
            </w:r>
          </w:p>
        </w:tc>
      </w:tr>
      <w:tr>
        <w:trPr>
          <w:trHeight w:val="285"/>
        </w:trPr>
        <w:tc>
          <w:tcPr>
            <w:tcW w:w="3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Platforms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8.3</w:t>
            </w:r>
          </w:p>
        </w:tc>
      </w:tr>
      <w:tr>
        <w:trPr>
          <w:trHeight w:val="288"/>
        </w:trPr>
        <w:tc>
          <w:tcPr>
            <w:tcW w:w="3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Content licensing and other</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 %</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w:t>
            </w:r>
          </w:p>
        </w:tc>
      </w:tr>
      <w:tr>
        <w:trPr>
          <w:trHeight w:val="265"/>
        </w:trPr>
        <w:tc>
          <w:tcPr>
            <w:tcW w:w="3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revenue</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6,688</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7,062</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7,445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-1104265</wp:posOffset>
            </wp:positionV>
            <wp:extent cx="5921375" cy="1111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extLst>
                    </a:blip>
                    <a:srcRect/>
                    <a:stretch>
                      <a:fillRect/>
                    </a:stretch>
                  </pic:blipFill>
                  <pic:spPr bwMode="auto">
                    <a:xfrm>
                      <a:off x="0" y="0"/>
                      <a:ext cx="5921375" cy="1111250"/>
                    </a:xfrm>
                    <a:prstGeom prst="rect">
                      <a:avLst/>
                    </a:prstGeom>
                    <a:noFill/>
                  </pic:spPr>
                </pic:pic>
              </a:graphicData>
            </a:graphic>
          </wp:anchor>
        </w:drawing>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b w:val="1"/>
          <w:bCs w:val="1"/>
          <w:color w:val="auto"/>
        </w:rPr>
        <w:t xml:space="preserve">Linear distribution revenue </w:t>
      </w:r>
      <w:r>
        <w:rPr>
          <w:rFonts w:ascii="Times New Roman" w:cs="Times New Roman" w:eastAsia="Times New Roman" w:hAnsi="Times New Roman"/>
          <w:sz w:val="20"/>
          <w:szCs w:val="20"/>
          <w:color w:val="auto"/>
        </w:rPr>
        <w:t>primarily consists of revenue generated from the distribution of our television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Linear distribution revenue decreased in 2025 and 2024</w:t>
      </w:r>
      <w:r>
        <w:rPr>
          <w:rFonts w:ascii="Times New Roman" w:cs="Times New Roman" w:eastAsia="Times New Roman" w:hAnsi="Times New Roman"/>
          <w:sz w:val="16"/>
          <w:szCs w:val="16"/>
          <w:color w:val="auto"/>
        </w:rPr>
        <w:t>,</w:t>
      </w:r>
      <w:r>
        <w:rPr>
          <w:rFonts w:ascii="Times New Roman" w:cs="Times New Roman" w:eastAsia="Times New Roman" w:hAnsi="Times New Roman"/>
          <w:sz w:val="20"/>
          <w:szCs w:val="20"/>
          <w:color w:val="auto"/>
        </w:rPr>
        <w:t xml:space="preserve"> primarily due to declines in the number of subscribers of 8% in each of these periods, respectively, partially offset by contractual rate increases.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expect to experience continued declines in the number of subscribers and linear distribution revenue, as further discussed in “Key Factors Affecting Our Business.”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360"/>
          </w:cols>
          <w:pgMar w:left="1440" w:top="1371" w:right="1440" w:bottom="0" w:gutter="0" w:footer="0" w:header="0"/>
          <w:type w:val="continuous"/>
        </w:sectPr>
      </w:pPr>
    </w:p>
    <w:bookmarkStart w:id="38" w:name="page39"/>
    <w:bookmarkEnd w:id="38"/>
    <w:p>
      <w:pPr>
        <w:jc w:val="both"/>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Advertising revenue </w:t>
      </w:r>
      <w:r>
        <w:rPr>
          <w:rFonts w:ascii="Times New Roman" w:cs="Times New Roman" w:eastAsia="Times New Roman" w:hAnsi="Times New Roman"/>
          <w:sz w:val="20"/>
          <w:szCs w:val="20"/>
          <w:color w:val="auto"/>
        </w:rPr>
        <w:t>consists of revenue generated from sales of advertising on our networks and digital platforms.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Advertising revenue decreased in 2025 and 2024</w:t>
      </w:r>
      <w:r>
        <w:rPr>
          <w:rFonts w:ascii="Arial" w:cs="Arial" w:eastAsia="Arial" w:hAnsi="Arial"/>
          <w:sz w:val="16"/>
          <w:szCs w:val="16"/>
          <w:b w:val="1"/>
          <w:bCs w:val="1"/>
          <w:color w:val="auto"/>
        </w:rPr>
        <w:t>,</w:t>
      </w:r>
      <w:r>
        <w:rPr>
          <w:rFonts w:ascii="Times New Roman" w:cs="Times New Roman" w:eastAsia="Times New Roman" w:hAnsi="Times New Roman"/>
          <w:sz w:val="20"/>
          <w:szCs w:val="20"/>
          <w:color w:val="auto"/>
        </w:rPr>
        <w:t xml:space="preserve"> as compared to the corresponding prior year periods, primarily due to decreases at our networks as a result of ratings declines of 17% and 8%, respectively. Ratings for the year ended December 31, 2025 continued to be negatively impacted by trends in linear advertising, and experienced further declines following the presidential inauguration, which was partially offset by higher digital advertising revenue.</w:t>
      </w:r>
    </w:p>
    <w:p>
      <w:pPr>
        <w:spacing w:after="0" w:line="1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We expect to experience continued ratings declines at our networks and continued shifts toward digital advertising in future periods, and these trends are further discussed in “—Key Factors Affecting Our Business.”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b w:val="1"/>
          <w:bCs w:val="1"/>
          <w:color w:val="auto"/>
        </w:rPr>
        <w:t xml:space="preserve">Platforms revenue </w:t>
      </w:r>
      <w:r>
        <w:rPr>
          <w:rFonts w:ascii="Times New Roman" w:cs="Times New Roman" w:eastAsia="Times New Roman" w:hAnsi="Times New Roman"/>
          <w:sz w:val="20"/>
          <w:szCs w:val="20"/>
          <w:color w:val="auto"/>
        </w:rPr>
        <w:t>primarily consists of revenue generated from services provided through our digital platforms.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GolfNow, Fandango and SportsEngine platforms facilitate consumer transactions with golf courses, movie cinemas and studios, and youth sports leagues, respectively. Our GolfNow, Fandango and SportsEngine offerings also include cloud-based technology solutions and related services to golf courses, movie cinemas and youth sports organizations, respectively. We also offer subscription services, including CNBC’s branded offerings, which provide live and on-demand personal finance programming, and GolfPass, which offers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Platforms revenue increased in 2025 and 2024, primarily due to increased transactional volumes related to services provided to golf courses, including an increased number of courses using our on-site payment facilitation services. The increase in platform revenue for the year ended December 31, 2025 was partially offset by decreases in revenue related to movie ticket purchases through our platform resulting from underlying box office performance.</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b w:val="1"/>
          <w:bCs w:val="1"/>
          <w:color w:val="auto"/>
        </w:rPr>
        <w:t xml:space="preserve">Content licensing and other revenue </w:t>
      </w:r>
      <w:r>
        <w:rPr>
          <w:rFonts w:ascii="Times New Roman" w:cs="Times New Roman" w:eastAsia="Times New Roman" w:hAnsi="Times New Roman"/>
          <w:sz w:val="20"/>
          <w:szCs w:val="20"/>
          <w:color w:val="auto"/>
        </w:rPr>
        <w:t>consists of revenue generated from licensing our owned content to third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including television networks, streaming services and other platforms, licensing audio feeds of our programming and original podcasts to digital platforms and other products and services.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Content licensing and other revenue decreased in 2025, primarily due to timing of content licensing agreements.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Costs and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Costs of Revenue</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6"/>
          </w:tcPr>
          <w:p>
            <w:pPr>
              <w:jc w:val="center"/>
              <w:ind w:left="34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0"/>
        </w:trPr>
        <w:tc>
          <w:tcPr>
            <w:tcW w:w="3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2024 to 2025</w:t>
            </w:r>
          </w:p>
        </w:tc>
        <w:tc>
          <w:tcPr>
            <w:tcW w:w="60" w:type="dxa"/>
            <w:vAlign w:val="bottom"/>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2023 to 2024</w:t>
            </w:r>
          </w:p>
        </w:tc>
      </w:tr>
      <w:tr>
        <w:trPr>
          <w:trHeight w:val="214"/>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8"/>
        </w:trPr>
        <w:tc>
          <w:tcPr>
            <w:tcW w:w="3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Costs of Revenue</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5"/>
        </w:trPr>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Programming and production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 %</w:t>
            </w:r>
          </w:p>
        </w:tc>
      </w:tr>
      <w:tr>
        <w:trPr>
          <w:trHeight w:val="288"/>
        </w:trPr>
        <w:tc>
          <w:tcPr>
            <w:tcW w:w="3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1200" w:type="dxa"/>
            <w:vAlign w:val="bottom"/>
            <w:gridSpan w:val="2"/>
          </w:tcPr>
          <w:p>
            <w:pPr>
              <w:jc w:val="right"/>
              <w:ind w:right="213"/>
              <w:spacing w:after="0"/>
              <w:rPr>
                <w:sz w:val="20"/>
                <w:szCs w:val="20"/>
                <w:color w:val="auto"/>
              </w:rPr>
            </w:pPr>
            <w:r>
              <w:rPr>
                <w:rFonts w:ascii="Times New Roman" w:cs="Times New Roman" w:eastAsia="Times New Roman" w:hAnsi="Times New Roman"/>
                <w:sz w:val="20"/>
                <w:szCs w:val="20"/>
                <w:color w:val="auto"/>
              </w:rPr>
              <w:t>7.1</w:t>
            </w: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color w:val="auto"/>
              </w:rPr>
              <w:t>6.5</w:t>
            </w:r>
          </w:p>
        </w:tc>
      </w:tr>
      <w:tr>
        <w:trPr>
          <w:trHeight w:val="265"/>
        </w:trPr>
        <w:tc>
          <w:tcPr>
            <w:tcW w:w="3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costs of revenue</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2,937</w:t>
            </w:r>
          </w:p>
        </w:tc>
        <w:tc>
          <w:tcPr>
            <w:tcW w:w="80" w:type="dxa"/>
            <w:vAlign w:val="bottom"/>
          </w:tcPr>
          <w:p>
            <w:pPr>
              <w:spacing w:after="0"/>
              <w:rPr>
                <w:sz w:val="23"/>
                <w:szCs w:val="2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3,064</w:t>
            </w:r>
          </w:p>
        </w:tc>
        <w:tc>
          <w:tcPr>
            <w:tcW w:w="8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3,154</w:t>
            </w:r>
          </w:p>
        </w:tc>
        <w:tc>
          <w:tcPr>
            <w:tcW w:w="100" w:type="dxa"/>
            <w:vAlign w:val="bottom"/>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w:t>
            </w:r>
          </w:p>
        </w:tc>
        <w:tc>
          <w:tcPr>
            <w:tcW w:w="60" w:type="dxa"/>
            <w:vAlign w:val="bottom"/>
          </w:tcPr>
          <w:p>
            <w:pPr>
              <w:spacing w:after="0"/>
              <w:rPr>
                <w:sz w:val="23"/>
                <w:szCs w:val="2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-742315</wp:posOffset>
            </wp:positionV>
            <wp:extent cx="5969000" cy="749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extLst>
                    </a:blip>
                    <a:srcRect/>
                    <a:stretch>
                      <a:fillRect/>
                    </a:stretch>
                  </pic:blipFill>
                  <pic:spPr bwMode="auto">
                    <a:xfrm>
                      <a:off x="0" y="0"/>
                      <a:ext cx="5969000" cy="749300"/>
                    </a:xfrm>
                    <a:prstGeom prst="rect">
                      <a:avLst/>
                    </a:prstGeom>
                    <a:noFill/>
                  </pic:spPr>
                </pic:pic>
              </a:graphicData>
            </a:graphic>
          </wp:anchor>
        </w:drawing>
      </w:r>
    </w:p>
    <w:p>
      <w:pPr>
        <w:spacing w:after="0" w:line="2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Programming and production costs </w:t>
      </w:r>
      <w:r>
        <w:rPr>
          <w:rFonts w:ascii="Times New Roman" w:cs="Times New Roman" w:eastAsia="Times New Roman" w:hAnsi="Times New Roman"/>
          <w:sz w:val="20"/>
          <w:szCs w:val="20"/>
          <w:color w:val="auto"/>
        </w:rPr>
        <w:t>primarily consist of the amortization of licensed and owned content,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sports rights, direct production costs, production overhead and on-air talent costs.</w:t>
      </w:r>
    </w:p>
    <w:p>
      <w:pPr>
        <w:sectPr>
          <w:pgSz w:w="12240" w:h="15840" w:orient="portrait"/>
          <w:cols w:equalWidth="0" w:num="1">
            <w:col w:w="9360"/>
          </w:cols>
          <w:pgMar w:left="1440" w:top="13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360"/>
          </w:cols>
          <w:pgMar w:left="1440" w:top="1374" w:right="1440" w:bottom="0" w:gutter="0" w:footer="0" w:header="0"/>
          <w:type w:val="continuous"/>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20"/>
          <w:szCs w:val="20"/>
          <w:color w:val="auto"/>
        </w:rPr>
        <w:t>Programming and production costs decreased in 2025, primarily due to lower costs associated with sports programming resulting from a reduced number of NASCAR events in the period pursuant to the terms of the current rights agreement commencing with the 2025 season, as well as the timing of other events. Programming and production costs in 2025 reflected lower reductions of programming and production costs of $48 million related to production tax incentives.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Programming and production costs decreased in 2024</w:t>
      </w:r>
      <w:r>
        <w:rPr>
          <w:rFonts w:ascii="Arial" w:cs="Arial" w:eastAsia="Arial" w:hAnsi="Arial"/>
          <w:sz w:val="16"/>
          <w:szCs w:val="16"/>
          <w:b w:val="1"/>
          <w:bCs w:val="1"/>
          <w:color w:val="auto"/>
        </w:rPr>
        <w:t>,</w:t>
      </w:r>
      <w:r>
        <w:rPr>
          <w:rFonts w:ascii="Times New Roman" w:cs="Times New Roman" w:eastAsia="Times New Roman" w:hAnsi="Times New Roman"/>
          <w:sz w:val="20"/>
          <w:szCs w:val="20"/>
          <w:color w:val="auto"/>
        </w:rPr>
        <w:t xml:space="preserve"> primarily due to a production tax incentive recognized in 2024 and resulting in a benefit of $58 million (see Note 4 to the combined financial statements), as well as lower costs associated with sports programming driven by the timing of events, and lower costs associated with entertainment content. Programming and production costs are our most significant costs of revenue and are further discussed in “Key Factors Affecting Our Business” above.</w:t>
      </w:r>
    </w:p>
    <w:p>
      <w:pPr>
        <w:spacing w:after="0" w:line="1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0"/>
          <w:szCs w:val="20"/>
          <w:b w:val="1"/>
          <w:bCs w:val="1"/>
          <w:color w:val="auto"/>
        </w:rPr>
        <w:t xml:space="preserve">Other costs of revenue </w:t>
      </w:r>
      <w:r>
        <w:rPr>
          <w:rFonts w:ascii="Times New Roman" w:cs="Times New Roman" w:eastAsia="Times New Roman" w:hAnsi="Times New Roman"/>
          <w:sz w:val="20"/>
          <w:szCs w:val="20"/>
          <w:color w:val="auto"/>
        </w:rPr>
        <w:t>primarily include direct costs associated with transactions supported by our platforms,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fees for data related to transactions available to consumers and payment processing fees, and other platform and customer support costs.</w:t>
      </w:r>
    </w:p>
    <w:p>
      <w:pPr>
        <w:spacing w:after="0" w:line="13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Other costs of revenue increased in 2025 and 2024</w:t>
      </w:r>
      <w:r>
        <w:rPr>
          <w:rFonts w:ascii="Arial" w:cs="Arial" w:eastAsia="Arial" w:hAnsi="Arial"/>
          <w:sz w:val="16"/>
          <w:szCs w:val="16"/>
          <w:b w:val="1"/>
          <w:bCs w:val="1"/>
          <w:color w:val="auto"/>
        </w:rPr>
        <w:t>,</w:t>
      </w:r>
      <w:r>
        <w:rPr>
          <w:rFonts w:ascii="Times New Roman" w:cs="Times New Roman" w:eastAsia="Times New Roman" w:hAnsi="Times New Roman"/>
          <w:sz w:val="20"/>
          <w:szCs w:val="20"/>
          <w:color w:val="auto"/>
        </w:rPr>
        <w:t xml:space="preserve"> primarily due to higher transactional volumes related to our digital platforms.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w:t>
      </w:r>
    </w:p>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Selling, general and administrative expense primarily consists of salaries, employee benefits, rent and other overhead expenses, including allocations of costs from Comcast related to shared functions and infrastructure.</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Selling, general and administrative expense increased in 2025, primarily due to transaction and transaction-related costs associated with the Separation, which totaled $142 million, as well as an increase in the overall costs as we continued to build out functions in preparation for becoming a standalone public company, and partially reflecting lower allocated costs in the prior year period due to the inclusion of the incremental revenues generated by NBCUniversal’s broadcast of the Paris Olympics in the cost allocation methodology.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Selling, general and administrative expense decreased in 2024</w:t>
      </w:r>
      <w:r>
        <w:rPr>
          <w:rFonts w:ascii="Arial" w:cs="Arial" w:eastAsia="Arial" w:hAnsi="Arial"/>
          <w:sz w:val="16"/>
          <w:szCs w:val="16"/>
          <w:b w:val="1"/>
          <w:bCs w:val="1"/>
          <w:color w:val="auto"/>
        </w:rPr>
        <w:t>,</w:t>
      </w:r>
      <w:r>
        <w:rPr>
          <w:rFonts w:ascii="Times New Roman" w:cs="Times New Roman" w:eastAsia="Times New Roman" w:hAnsi="Times New Roman"/>
          <w:sz w:val="20"/>
          <w:szCs w:val="20"/>
          <w:color w:val="auto"/>
        </w:rPr>
        <w:t xml:space="preserve"> primarily due to a decrease in allocated costs from Comcast. As discussed in “—Key Factors Affecting Our Business” and Note 11 to the combined financial statements, these costs were generally allocated on a pro rata basis using a measure based on revenue applied to the relevant pool of costs and may not be representative of our operating costs as a standalone company following the Separation.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 Expense</w:t>
      </w:r>
    </w:p>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Depreciation and amortization expense includes amortization of certain acquisition-related intangible assets, which primarily relate to our television networks, as well as depreciation of property and equipment.</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Depreciation and amortization expense increased in 2025, primarily due to the acceleration of amortization of the MSNBC trade name as a result of rebranding the network. Depreciation and amortization remained consistent in 2024 and 2023. See Note 7 to the combined financial statements for additional information on our intangible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Interest expense for the year ended December 31, 2025 was primarily due to interest accrued on our Senior Notes issued in October 2025. See Note 8 to the combined financial statements for additional information on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and other income (loss), net</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0"/>
          <w:szCs w:val="20"/>
          <w:color w:val="auto"/>
        </w:rPr>
        <w:t>Investment and other income (loss), net, for the year ended December 31, 2025 was primarily due to impairment losses related to nonmarketable equity securities, which were partially offset by interest income. See Note 5 to the combined financial statements for additional information on our investments.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360"/>
          </w:cols>
          <w:pgMar w:left="1440" w:top="1378" w:right="144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effective income tax rate was 24.2%, 25.9% and 25.6% in 2025, 2024 and 2023, respectively.</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decreases in income tax expense for 2025 and 2024 were primarily due to decreases in income before income taxes and 2025 also included a noncash income tax benefit resulting from a reduced valuation allowance due to a change in tax status of one of our subsidiaries.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9 to the combined financial statements for additional information on our income taxes.</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360"/>
          </w:cols>
          <w:pgMar w:left="1440" w:top="1369" w:right="144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Adjusted EBITDA is a non-GAAP financial measure and is the primary basis used to measure the operational strength and performance of our business as well as to assist in the evaluation of underlying trends in our business. This measure eliminates the significant level of noncash depreciation and amortization expense that results from property and equipment and intangible assets recognized in business combinations. It is also unaffected by our capital and tax structures, and by our investment activities, including the impacts of entities that we do not consolidate, as our management excludes these results when evaluating our operating performance. Our management and Board of Directors use this financial measure to evaluate our operating performance and to allocate resources.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5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other events, gains, losses or other charges that affect the period-to-period comparability of our operating performance.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from Net Income Attributable to Versant to Adjusted EBITDA</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64"/>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Versant</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930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1,363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1,539</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Net income attributable to noncontrolling interests</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Investment and other (income) loss, net</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w:t>
            </w:r>
          </w:p>
        </w:tc>
      </w:tr>
      <w:tr>
        <w:trPr>
          <w:trHeight w:val="288"/>
        </w:trPr>
        <w:tc>
          <w:tcPr>
            <w:tcW w:w="5260" w:type="dxa"/>
            <w:vAlign w:val="bottom"/>
          </w:tcPr>
          <w:p>
            <w:pPr>
              <w:spacing w:after="0" w:line="288" w:lineRule="exact"/>
              <w:rPr>
                <w:sz w:val="20"/>
                <w:szCs w:val="20"/>
                <w:color w:val="auto"/>
              </w:rPr>
            </w:pPr>
            <w:r>
              <w:rPr>
                <w:rFonts w:ascii="Times New Roman" w:cs="Times New Roman" w:eastAsia="Times New Roman" w:hAnsi="Times New Roman"/>
                <w:sz w:val="20"/>
                <w:szCs w:val="20"/>
                <w:color w:val="auto"/>
              </w:rPr>
              <w:t>Adjustments</w:t>
            </w:r>
            <w:r>
              <w:rPr>
                <w:rFonts w:ascii="Times New Roman" w:cs="Times New Roman" w:eastAsia="Times New Roman" w:hAnsi="Times New Roman"/>
                <w:sz w:val="26"/>
                <w:szCs w:val="26"/>
                <w:color w:val="auto"/>
                <w:vertAlign w:val="superscript"/>
              </w:rPr>
              <w:t>(a)</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Adjusted EBITDA</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2,425</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2,837</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3,060</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-1478915</wp:posOffset>
            </wp:positionV>
            <wp:extent cx="5981700" cy="1498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extLst>
                    </a:blip>
                    <a:srcRect/>
                    <a:stretch>
                      <a:fillRect/>
                    </a:stretch>
                  </pic:blipFill>
                  <pic:spPr bwMode="auto">
                    <a:xfrm>
                      <a:off x="0" y="0"/>
                      <a:ext cx="5981700" cy="1498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30" w:lineRule="exact"/>
        <w:rPr>
          <w:sz w:val="20"/>
          <w:szCs w:val="20"/>
          <w:color w:val="auto"/>
        </w:rPr>
      </w:pPr>
    </w:p>
    <w:p>
      <w:pPr>
        <w:jc w:val="both"/>
        <w:ind w:left="360" w:hanging="360"/>
        <w:spacing w:after="0" w:line="238" w:lineRule="auto"/>
        <w:tabs>
          <w:tab w:leader="none" w:pos="33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29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740" w:type="dxa"/>
            <w:vAlign w:val="bottom"/>
          </w:tcPr>
          <w:p>
            <w:pPr>
              <w:spacing w:after="0"/>
              <w:rPr>
                <w:sz w:val="18"/>
                <w:szCs w:val="18"/>
                <w:color w:val="auto"/>
              </w:rPr>
            </w:pPr>
          </w:p>
        </w:tc>
        <w:tc>
          <w:tcPr>
            <w:tcW w:w="2220" w:type="dxa"/>
            <w:vAlign w:val="bottom"/>
            <w:tcBorders>
              <w:bottom w:val="single" w:sz="8" w:color="auto"/>
            </w:tcBorders>
            <w:gridSpan w:val="4"/>
          </w:tcPr>
          <w:p>
            <w:pPr>
              <w:jc w:val="center"/>
              <w:ind w:left="25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r>
      <w:tr>
        <w:trPr>
          <w:trHeight w:val="220"/>
        </w:trPr>
        <w:tc>
          <w:tcPr>
            <w:tcW w:w="67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auto"/>
            </w:tcBorders>
          </w:tcPr>
          <w:p>
            <w:pPr>
              <w:spacing w:after="0"/>
              <w:rPr>
                <w:sz w:val="19"/>
                <w:szCs w:val="19"/>
                <w:color w:val="auto"/>
              </w:rPr>
            </w:pPr>
          </w:p>
        </w:tc>
      </w:tr>
      <w:tr>
        <w:trPr>
          <w:trHeight w:val="214"/>
        </w:trPr>
        <w:tc>
          <w:tcPr>
            <w:tcW w:w="6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40" w:type="dxa"/>
            <w:vAlign w:val="bottom"/>
          </w:tcPr>
          <w:p>
            <w:pPr>
              <w:spacing w:after="0"/>
              <w:rPr>
                <w:sz w:val="18"/>
                <w:szCs w:val="18"/>
                <w:color w:val="auto"/>
              </w:rPr>
            </w:pPr>
          </w:p>
        </w:tc>
      </w:tr>
      <w:tr>
        <w:trPr>
          <w:trHeight w:val="288"/>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costs</w:t>
            </w:r>
          </w:p>
        </w:tc>
        <w:tc>
          <w:tcPr>
            <w:tcW w:w="820" w:type="dxa"/>
            <w:vAlign w:val="bottom"/>
          </w:tcPr>
          <w:p>
            <w:pPr>
              <w:jc w:val="right"/>
              <w:ind w:right="593"/>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980" w:type="dxa"/>
            <w:vAlign w:val="bottom"/>
            <w:gridSpan w:val="2"/>
          </w:tcPr>
          <w:p>
            <w:pPr>
              <w:jc w:val="right"/>
              <w:ind w:right="68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8"/>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Transaction-related costs</w:t>
            </w: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Total transaction and transaction-related costs</w:t>
            </w: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0"/>
        </w:trPr>
        <w:tc>
          <w:tcPr>
            <w:tcW w:w="6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360"/>
          </w:cols>
          <w:pgMar w:left="1440" w:top="1371" w:right="144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42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4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14"/>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Cash provided by operating activities</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2,022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2,211</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Cash used in financing activities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(2,355)</w:t>
            </w:r>
          </w:p>
        </w:tc>
      </w:tr>
      <w:tr>
        <w:trPr>
          <w:trHeight w:val="583"/>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24"/>
                <w:szCs w:val="24"/>
                <w:color w:val="auto"/>
              </w:rPr>
            </w:pPr>
          </w:p>
        </w:tc>
      </w:tr>
      <w:tr>
        <w:trPr>
          <w:trHeight w:val="220"/>
        </w:trPr>
        <w:tc>
          <w:tcPr>
            <w:tcW w:w="5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59"/>
        </w:trPr>
        <w:tc>
          <w:tcPr>
            <w:tcW w:w="5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22"/>
                <w:szCs w:val="22"/>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-1791335</wp:posOffset>
            </wp:positionV>
            <wp:extent cx="5969000" cy="568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extLst>
                    </a:blip>
                    <a:srcRect/>
                    <a:stretch>
                      <a:fillRect/>
                    </a:stretch>
                  </pic:blipFill>
                  <pic:spPr bwMode="auto">
                    <a:xfrm>
                      <a:off x="0" y="0"/>
                      <a:ext cx="5969000" cy="5683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-546735</wp:posOffset>
            </wp:positionV>
            <wp:extent cx="5969000" cy="568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extLst>
                    </a:blip>
                    <a:srcRect/>
                    <a:stretch>
                      <a:fillRect/>
                    </a:stretch>
                  </pic:blipFill>
                  <pic:spPr bwMode="auto">
                    <a:xfrm>
                      <a:off x="0" y="0"/>
                      <a:ext cx="5969000" cy="568325"/>
                    </a:xfrm>
                    <a:prstGeom prst="rect">
                      <a:avLst/>
                    </a:prstGeom>
                    <a:noFill/>
                  </pic:spPr>
                </pic:pic>
              </a:graphicData>
            </a:graphic>
          </wp:anchor>
        </w:drawing>
      </w:r>
    </w:p>
    <w:p>
      <w:pPr>
        <w:spacing w:after="0" w:line="2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generate significant cash flows from operating activities. Prior to the Separation, and for the periods presented in this report, we operated within Comcast’s cash management structure, which used a centralized approach to cash management and financing of our operations. This arrangement is not reflective of the manner in which we would have financed our operations had we been an independent, publicly traded company during the periods presented.</w:t>
      </w:r>
    </w:p>
    <w:p>
      <w:pPr>
        <w:spacing w:after="0" w:line="14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Following the Separation, our capital structure and sources of liquidity have changed and we no longer participate in Comcast’s centralized cash management program. In connection with the Separation we issued $3.0 billion of total debt, including the Senior Notes issued in October 2025 and borrowings under the Term Loans drawn upon the Separation. These borrowings and the $750 million Revolving Credit Facility entered into in connection with the Separation are further described below and in Note 8 to the combined financial statements. A portion of the proceeds from these borrowings, including the restricted cash on our balance sheet as of December 31, 2025, was used to fund a cash payment to Comcast of $2.25 billion at the time of the Separation as consideration for assets that were contributed to us in connection with the Separation. In addition, certain net working capital amounts, including outstanding advertising sales receivables, were prefunded through a separate payment prior to the Separation, which will negatively impact net cash provided by operating activities in 2026.</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believe that our available cash and cash flows from our operating activities, along with our borrowing capacity and access to capital markets, taken as a whole, will provide adequate liquidity to meet our current and long-term obligations when due, including our third-party debt, and to fund capital expenditures, while also providing flexibility to fund investment opportunities that may arise. However, there can be no assurances that we will be able to obtain debt or equity financing on acceptable terms in the future.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expect to utilize our cash flows to continue to invest across our business, whether through organic or inorganic growth strategies, as well as to repay our indebtedness over time and return value to our shareholders through dividends and repurchases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8 to the combined financial statements for additional information relating to our debt obligations.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and Share Repurchase Authorization</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March 3, 2026, our Board of Directors declared our first quarter dividend of $0.375 per share to be paid in April 2026.</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March 3, 2026, our Board of Directors also authorized a share repurchase program under which the Company may purchase up to $1 billion of its outstanding shares of Class A common stock.</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360"/>
          </w:cols>
          <w:pgMar w:left="1440" w:top="1371" w:right="1440" w:bottom="0" w:gutter="0" w:footer="0" w:header="0"/>
          <w:type w:val="continuous"/>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20"/>
          <w:szCs w:val="20"/>
          <w:color w:val="auto"/>
        </w:rPr>
        <w:t>Under the 2026 Share Repurchase Program, repurchases can be made using a variety of methods, which may include open market purchases, block trades, privately negotiated transactions, accelerated share repurchase programs and/or Rule 10b5-1 or other non-discretionary trading plans. The timing, manner, price and amount of any common share repurchases under the 2026 Share Repurchase Program are determined by the Company in its discretion and depend on a variety of factors, including legal requirements, price and economic and market conditions. The 2026 Share Repurchase Program does not obligate the Company to acquire any particular number of common shares, and the program may be suspended, extended, modified or discontinued at any time.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Operating Activities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cash provided by operating activities decreased for the year ended December 31, 2025 as compared to the year ended December 31, 2024, primarily due to a decline in net income caused by lower revenue and an increase in net loss on investment activity, as described above, which was partially offset by an increase from changes in operating assets and liabilities. The increase resulting from changes in operating assets and liabilities was primarily due to a net favorable change in other operating assets and liabilities related to timing of payments on content obligations, as well as a decrease in noncurrent receivables. Operating assets and liabilities in our combined statements of cash flows generally fluctuate based on the timing of amortization and related payments for our content costs and the timing of collections of receivables.</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provided by operating activities decreased in the year ended December 31, 2024, as compared to the year ended December 31, 2023, primarily due to a decline in net income caused by decreasing revenue as described above. The decrease in operating assets and liabilities for the year ended December 31, 2024 was primarily due to a decrease in content costs, net, partially offset by an increase in current and noncurrent receivables, net.</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As described in Notes 1 and 11 to the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cash used in investing primarily relates to capital expenditures, which increased for the year ended December 31, 2025 as a result of transaction-related capital spending for facilities and IT systems, and were consistent for the years ended December 31, 2024 and 2023. Net cash used in investing activities for the year ended December 31, 2025 also included consideration paid, net of cash acquired in connection with an acquisition. Such uses of cash in 2025 were partially offset by receivables settled in connection with the centralized cash management programs with Comcast. Other investing activities included net receipts from and payments to Comcast pursuant to loans associated with its centralized cash management programs. See Note 11 to our combined financial statements for additional information on these related party loans.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Used in Financing Activities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Net cash used in financing activities for the year ended December 31, 2025 decreased primarily due to changes in net Comcast investment, which primarily resulted from cash generated from operating activities and swept to Comcast during the periods, partially offset by increased capital expenditures funded through Comcast’s centralized cash management program. This decrease was offset by the net proceeds from the Senior Notes.</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reduction in cash used in financing activities for the year ended December 31, 2024 was primarily due to changes in net Comcast investment, which primarily resulted from lower cash generated from operating activities and swept to Comcast during the periods. See Note 2 to our combined financial statements for additional information on net Comcast investment.</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360"/>
          </w:cols>
          <w:pgMar w:left="1440" w:top="1378" w:right="144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Contractual Obligations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most significant contractual obligations following the Separation: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Within the next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Beyond the</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next 12 months</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Programming and production obligations </w:t>
            </w:r>
            <w:r>
              <w:rPr>
                <w:rFonts w:ascii="Times New Roman" w:cs="Times New Roman" w:eastAsia="Times New Roman" w:hAnsi="Times New Roman"/>
                <w:sz w:val="26"/>
                <w:szCs w:val="26"/>
                <w:color w:val="auto"/>
                <w:vertAlign w:val="superscript"/>
              </w:rPr>
              <w:t>(1)</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4,324</w:t>
            </w:r>
          </w:p>
        </w:tc>
        <w:tc>
          <w:tcPr>
            <w:tcW w:w="0" w:type="dxa"/>
            <w:vAlign w:val="bottom"/>
          </w:tcPr>
          <w:p>
            <w:pPr>
              <w:spacing w:after="0"/>
              <w:rPr>
                <w:sz w:val="1"/>
                <w:szCs w:val="1"/>
                <w:color w:val="auto"/>
              </w:rPr>
            </w:pPr>
          </w:p>
        </w:tc>
      </w:tr>
      <w:tr>
        <w:trPr>
          <w:trHeight w:val="312"/>
        </w:trPr>
        <w:tc>
          <w:tcPr>
            <w:tcW w:w="55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xml:space="preserve">Debt obligations </w:t>
            </w:r>
            <w:r>
              <w:rPr>
                <w:rFonts w:ascii="Times New Roman" w:cs="Times New Roman" w:eastAsia="Times New Roman" w:hAnsi="Times New Roman"/>
                <w:sz w:val="26"/>
                <w:szCs w:val="26"/>
                <w:color w:val="auto"/>
                <w:vertAlign w:val="superscript"/>
              </w:rPr>
              <w:t>(2)</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2,940</w:t>
            </w:r>
          </w:p>
        </w:tc>
        <w:tc>
          <w:tcPr>
            <w:tcW w:w="0" w:type="dxa"/>
            <w:vAlign w:val="bottom"/>
          </w:tcPr>
          <w:p>
            <w:pPr>
              <w:spacing w:after="0"/>
              <w:rPr>
                <w:sz w:val="1"/>
                <w:szCs w:val="1"/>
                <w:color w:val="auto"/>
              </w:rPr>
            </w:pPr>
          </w:p>
        </w:tc>
      </w:tr>
      <w:tr>
        <w:trPr>
          <w:trHeight w:val="260"/>
        </w:trPr>
        <w:tc>
          <w:tcPr>
            <w:tcW w:w="5580" w:type="dxa"/>
            <w:vAlign w:val="bottom"/>
          </w:tcPr>
          <w:p>
            <w:pPr>
              <w:jc w:val="right"/>
              <w:ind w:right="2580"/>
              <w:spacing w:after="0"/>
              <w:rPr>
                <w:sz w:val="20"/>
                <w:szCs w:val="20"/>
                <w:color w:val="auto"/>
              </w:rPr>
            </w:pPr>
            <w:r>
              <w:rPr>
                <w:rFonts w:ascii="Times New Roman" w:cs="Times New Roman" w:eastAsia="Times New Roman" w:hAnsi="Times New Roman"/>
                <w:sz w:val="20"/>
                <w:szCs w:val="20"/>
                <w:color w:val="auto"/>
                <w:w w:val="99"/>
              </w:rPr>
              <w:t>_____________________________</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-563880</wp:posOffset>
            </wp:positionV>
            <wp:extent cx="5930900" cy="387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a:extLst>
                        <a:ext uri="{28A0092B-C50C-407E-A947-70E740481C1C}"/>
                      </a:extLst>
                    </a:blip>
                    <a:srcRect/>
                    <a:stretch>
                      <a:fillRect/>
                    </a:stretch>
                  </pic:blipFill>
                  <pic:spPr bwMode="auto">
                    <a:xfrm>
                      <a:off x="0" y="0"/>
                      <a:ext cx="5930900" cy="387350"/>
                    </a:xfrm>
                    <a:prstGeom prst="rect">
                      <a:avLst/>
                    </a:prstGeom>
                    <a:noFill/>
                  </pic:spPr>
                </pic:pic>
              </a:graphicData>
            </a:graphic>
          </wp:anchor>
        </w:drawing>
      </w:r>
    </w:p>
    <w:p>
      <w:pPr>
        <w:spacing w:after="0" w:line="20" w:lineRule="exact"/>
        <w:rPr>
          <w:sz w:val="20"/>
          <w:szCs w:val="20"/>
          <w:color w:val="auto"/>
        </w:rPr>
      </w:pPr>
    </w:p>
    <w:p>
      <w:pPr>
        <w:jc w:val="both"/>
        <w:ind w:left="280" w:hanging="280"/>
        <w:spacing w:after="0" w:line="235" w:lineRule="auto"/>
        <w:tabs>
          <w:tab w:leader="none" w:pos="295"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Our largest contractual obligations are associated with our programming and production expenses. We have multiyear agreements for broadcast rights of sporting events, which represent the substantial majority of our programming and production obligations. In connection with the Separation, we assumed additional contractual obligations related to content contracts previously shared with Comcast, which are included in the table above. Approximately 87% of the aggregate obligations are due within the next five years. See Note 4 to our combined financial statements for additional information on programming and production costs.</w:t>
      </w:r>
    </w:p>
    <w:p>
      <w:pPr>
        <w:spacing w:after="0" w:line="33" w:lineRule="exact"/>
        <w:rPr>
          <w:rFonts w:ascii="Times New Roman" w:cs="Times New Roman" w:eastAsia="Times New Roman" w:hAnsi="Times New Roman"/>
          <w:sz w:val="26"/>
          <w:szCs w:val="26"/>
          <w:color w:val="auto"/>
          <w:vertAlign w:val="superscript"/>
        </w:rPr>
      </w:pPr>
    </w:p>
    <w:p>
      <w:pPr>
        <w:jc w:val="both"/>
        <w:ind w:left="280" w:hanging="280"/>
        <w:spacing w:after="0" w:line="235" w:lineRule="auto"/>
        <w:tabs>
          <w:tab w:leader="none" w:pos="279" w:val="left"/>
        </w:tabs>
        <w:numPr>
          <w:ilvl w:val="0"/>
          <w:numId w:val="2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Our long-term debt as of December 31, 2025 included $1.0 billion of Senior Notes due in January 2031. As part of additional financing transactions entered into in connection with our Separation in January 2026, the Company borrowed amounts under the Term Loans totaling $2.0 billion, which are included in the table above. These aggregate debt obligations had a weighted-average time to maturity of approximately 5 years and a weighted-average interest rate based on the stated coupons of 6.6%. See Note 8 to our combined financial statements for additional information on our debt obligations.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preparation of our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4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We believe our estimates associated with the valuation and impairment testing of goodwill and the accounting for content costs are critical in the preparation of our combined financial statements.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and Impairment Testing of Goodwill</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Goodwill results from business combinations and represents the excess amount of the consideration paid over the identifiable assets and liabilities recorded in the acquisition. Because Versant’s businesses were operated as a part of Comcast’s Media segment, our combined balance sheets include an allocated amount of goodwill from Comcast’s Media segment, which was determined using a relative fair value analysis as of July 1, 2024. This relative fair value analysis resulted in the allocation of approximately 40% of Comcast’s Media segment goodwill to Versant. The fair values utilized in the relative fair value analysis were estimated using a discounted cash flow analysis based on Level 3 inputs. When performing this analysis, we also considered multiples of earnings from comparable public companies and recent market transactions. We test goodwill for impairment at the reporting unit level. Impairment analysis was performed at the Comcast level as of July 1, 2024 and in prior periods and based on this assessment, the estimated fair value of the Media reporting unit, and therefore the estimated fair value of the Versant reporting unit, substantially exceeded its carrying value and no impairment was required.</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periods after the initial allocation, we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In connection with our impairment assessment process, from time to time, we may perform quantitative assessments in order to support our qualitative assessments.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360"/>
          </w:cols>
          <w:pgMar w:left="1440" w:top="1371" w:right="1440" w:bottom="0" w:gutter="0" w:footer="0" w:header="0"/>
          <w:type w:val="continuous"/>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20"/>
          <w:szCs w:val="20"/>
          <w:color w:val="auto"/>
        </w:rPr>
        <w:t>When performing a quantitative assessment, we estimate the fair values of a reporting unit primarily based on a discounted cash flow analysis using Level 3 inputs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Following Versant’s change in chief operating decision maker in 2025 (see Note 2 to our combined financial statements), we reassessed our reporting units. We performed a quantitative assessment in connection with this change and with our annual impairment assessment as of July 1, 2025 and concluded that the estimated fair value of the Versant reporting units substantially exceeded their carrying value and no impairment was required. At December 31, 2025, we performed an updated quantitative assessment for the reporting unit comprised primarily of our television networks, which includes $6.49 billion of goodwill, given the market price indications for our Class A common stock and the relative significance of this reporting unit to our overall business. In connection with this assessment, we concluded that the estimated fair value of our television networks reporting unit continued to exceed its carrying value by more than 10%. Continued declines in cash flows for this reporting unit are expected to result in reduced fair values in future periods, which could result in an impairment to the extent the fair value is below the carrying value of the assets assigned to that reporting unit.</w:t>
      </w:r>
    </w:p>
    <w:p>
      <w:pPr>
        <w:spacing w:after="0" w:line="15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could negatively impact the results of future impairment testing and could result in the recognition of an impairment charge.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Content Costs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content costs were not material in any of the periods presented.</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Adopted and Recently Issued Accounting Pronouncements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2 to the combined financial statements for recently issued and recently adopted accounting standards.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360"/>
          </w:cols>
          <w:pgMar w:left="1440" w:top="1378" w:right="1440" w:bottom="0" w:gutter="0" w:footer="0" w:header="0"/>
          <w:type w:val="continuous"/>
        </w:sectPr>
      </w:pPr>
    </w:p>
    <w:bookmarkStart w:id="46" w:name="page47"/>
    <w:bookmarkEnd w:id="46"/>
    <w:p>
      <w:pPr>
        <w:ind w:right="3420"/>
        <w:spacing w:after="0" w:line="442"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b w:val="1"/>
          <w:bCs w:val="1"/>
          <w:i w:val="1"/>
          <w:iCs w:val="1"/>
          <w:color w:val="auto"/>
        </w:rPr>
        <w:t>Interest Rate Risk</w:t>
      </w:r>
    </w:p>
    <w:p>
      <w:pPr>
        <w:jc w:val="both"/>
        <w:spacing w:after="0" w:line="254" w:lineRule="auto"/>
        <w:rPr>
          <w:sz w:val="20"/>
          <w:szCs w:val="20"/>
          <w:color w:val="auto"/>
        </w:rPr>
      </w:pPr>
      <w:r>
        <w:rPr>
          <w:rFonts w:ascii="Times New Roman" w:cs="Times New Roman" w:eastAsia="Times New Roman" w:hAnsi="Times New Roman"/>
          <w:sz w:val="20"/>
          <w:szCs w:val="20"/>
          <w:color w:val="auto"/>
        </w:rPr>
        <w:t>In October 2025, we issued $1.0 billion in aggregate principal amount of 7.250% Senior Notes due in January 2031 and there was no debt outstanding as of December 31, 2024. While our Senior Notes bear a fixed rate of interest, in January 2026, we acquired additional financing in connection with the Separation, including the Term Loans totaling $2.0 billion and our $750 million Revolving Credit Facility due January 2031. As a result, our aggregate debt will be approximately $3.0 billion, a portion of which will bear interest at a benchmark rate plus a borrowing margin.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combined financial statements.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360"/>
          </w:cols>
          <w:pgMar w:left="1440" w:top="1371" w:right="1440" w:bottom="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64"/>
        </w:trPr>
        <w:tc>
          <w:tcPr>
            <w:tcW w:w="6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tc>
        <w:tc>
          <w:tcPr>
            <w:tcW w:w="2660" w:type="dxa"/>
            <w:vAlign w:val="bottom"/>
          </w:tcPr>
          <w:p>
            <w:pPr>
              <w:spacing w:after="0"/>
              <w:rPr>
                <w:sz w:val="22"/>
                <w:szCs w:val="22"/>
                <w:color w:val="auto"/>
              </w:rPr>
            </w:pPr>
          </w:p>
        </w:tc>
      </w:tr>
      <w:tr>
        <w:trPr>
          <w:trHeight w:val="530"/>
        </w:trPr>
        <w:tc>
          <w:tcPr>
            <w:tcW w:w="6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Index</w:t>
            </w:r>
          </w:p>
        </w:tc>
        <w:tc>
          <w:tcPr>
            <w:tcW w:w="266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20"/>
                <w:szCs w:val="20"/>
                <w:color w:val="auto"/>
                <w:w w:val="97"/>
              </w:rPr>
              <w:t>Page</w:t>
            </w:r>
          </w:p>
        </w:tc>
      </w:tr>
      <w:tr>
        <w:trPr>
          <w:trHeight w:val="382"/>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43</w:t>
            </w:r>
          </w:p>
        </w:tc>
      </w:tr>
      <w:tr>
        <w:trPr>
          <w:trHeight w:val="31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Combined Statements of Income</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45</w:t>
            </w:r>
          </w:p>
        </w:tc>
      </w:tr>
      <w:tr>
        <w:trPr>
          <w:trHeight w:val="31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Combined Statements of Comprehensive Income</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46</w:t>
            </w:r>
          </w:p>
        </w:tc>
      </w:tr>
      <w:tr>
        <w:trPr>
          <w:trHeight w:val="31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Combined Statements of Cash Flows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47</w:t>
            </w:r>
          </w:p>
        </w:tc>
      </w:tr>
      <w:tr>
        <w:trPr>
          <w:trHeight w:val="31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Combined Balance Sheets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48</w:t>
            </w:r>
          </w:p>
        </w:tc>
      </w:tr>
      <w:tr>
        <w:trPr>
          <w:trHeight w:val="31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Combined Statements of Changes in Equity</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49</w:t>
            </w:r>
          </w:p>
        </w:tc>
      </w:tr>
      <w:tr>
        <w:trPr>
          <w:trHeight w:val="315"/>
        </w:trPr>
        <w:tc>
          <w:tcPr>
            <w:tcW w:w="6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Notes to Combined Financial Statements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50</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1. Description of the Company and Basis of Presentation</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50</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2. Summary of Significant Accounting Policies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51</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3. Revenue</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53</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4. Costs of Revenue</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56</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5. Investments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57</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6. Property and Equipment</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58</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7. Goodwill and Intangible Assets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59</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8. Debt Obligations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60</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9. Income Taxes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62</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10. Commitments and Contingencies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65</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11. Related Parties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65</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12. Additional Financial Information</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66</w:t>
            </w:r>
          </w:p>
        </w:tc>
      </w:tr>
      <w:tr>
        <w:trPr>
          <w:trHeight w:val="315"/>
        </w:trPr>
        <w:tc>
          <w:tcPr>
            <w:tcW w:w="6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Note 13. Subsequent Events</w:t>
            </w:r>
          </w:p>
        </w:tc>
        <w:tc>
          <w:tcPr>
            <w:tcW w:w="2660" w:type="dxa"/>
            <w:vAlign w:val="bottom"/>
          </w:tcPr>
          <w:p>
            <w:pPr>
              <w:jc w:val="center"/>
              <w:ind w:left="720"/>
              <w:spacing w:after="0"/>
              <w:rPr>
                <w:sz w:val="20"/>
                <w:szCs w:val="20"/>
                <w:color w:val="auto"/>
              </w:rPr>
            </w:pPr>
            <w:r>
              <w:rPr>
                <w:rFonts w:ascii="Times New Roman" w:cs="Times New Roman" w:eastAsia="Times New Roman" w:hAnsi="Times New Roman"/>
                <w:sz w:val="20"/>
                <w:szCs w:val="20"/>
                <w:color w:val="auto"/>
                <w:w w:val="99"/>
              </w:rPr>
              <w:t>67</w:t>
            </w:r>
          </w:p>
        </w:tc>
      </w:tr>
    </w:tbl>
    <w:p>
      <w:pPr>
        <w:spacing w:after="0" w:line="200" w:lineRule="exact"/>
        <w:rPr>
          <w:sz w:val="20"/>
          <w:szCs w:val="20"/>
          <w:color w:val="auto"/>
        </w:rPr>
      </w:pPr>
    </w:p>
    <w:p>
      <w:pPr>
        <w:sectPr>
          <w:pgSz w:w="12240" w:h="15840" w:orient="portrait"/>
          <w:cols w:equalWidth="0" w:num="1">
            <w:col w:w="9360"/>
          </w:cols>
          <w:pgMar w:left="1440" w:top="139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360"/>
          </w:cols>
          <w:pgMar w:left="1440" w:top="1395" w:right="1440" w:bottom="0" w:gutter="0" w:footer="0" w:header="0"/>
          <w:type w:val="continuous"/>
        </w:sectPr>
      </w:pPr>
    </w:p>
    <w:bookmarkStart w:id="48" w:name="page49"/>
    <w:bookmarkEnd w:id="48"/>
    <w:p>
      <w:pPr>
        <w:ind w:right="2500"/>
        <w:spacing w:after="0" w:line="44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Versant Media Group, Inc. </w:t>
      </w:r>
      <w:r>
        <w:rPr>
          <w:rFonts w:ascii="Times New Roman" w:cs="Times New Roman" w:eastAsia="Times New Roman" w:hAnsi="Times New Roman"/>
          <w:sz w:val="20"/>
          <w:szCs w:val="20"/>
          <w:b w:val="1"/>
          <w:bCs w:val="1"/>
          <w:color w:val="auto"/>
        </w:rPr>
        <w:t>Opinion on the Financial Statements</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combined balance sheets of Versant Media Group, Inc. (the “Company”) as of December 31, 2025 and 2024, the related combined statements of income, comprehensive income,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4" w:lineRule="exact"/>
        <w:rPr>
          <w:sz w:val="20"/>
          <w:szCs w:val="20"/>
          <w:color w:val="auto"/>
        </w:rPr>
      </w:pPr>
    </w:p>
    <w:p>
      <w:pPr>
        <w:ind w:right="1680"/>
        <w:spacing w:after="0" w:line="440"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Goodwill – Television networks reporting unit - Refer to Note 7 to the financial statements </w:t>
      </w:r>
      <w:r>
        <w:rPr>
          <w:rFonts w:ascii="Times New Roman" w:cs="Times New Roman" w:eastAsia="Times New Roman" w:hAnsi="Times New Roman"/>
          <w:sz w:val="20"/>
          <w:szCs w:val="20"/>
          <w:b w:val="1"/>
          <w:bCs w:val="1"/>
          <w:i w:val="1"/>
          <w:iCs w:val="1"/>
          <w:u w:val="single" w:color="auto"/>
          <w:color w:val="auto"/>
        </w:rPr>
        <w:t>Critical Audit Matter Description</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Company’s evaluation of goodwill for impairment is performed at the reporting unit level. To determine its reporting units, the Company evaluates the components one level below the segment level and aggregates components if they have similar economic characteristics. The Company performs an assessment of goodwill for recoverability annually as of July 1, or more frequently whenever events or substantive changes in circumstances indicate that the assets might be impaired. A quantitative assessment considers whether the carrying amount of a reporting unit exceeds its fair value, in which case an impairment charge is recorded to the extent the reporting unit’s carrying value exceeds its fair value.</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360"/>
          </w:cols>
          <w:pgMar w:left="1440" w:top="1371" w:right="1440" w:bottom="0" w:gutter="0" w:footer="0" w:header="0"/>
          <w:type w:val="continuous"/>
        </w:sectPr>
      </w:pPr>
    </w:p>
    <w:bookmarkStart w:id="49" w:name="page50"/>
    <w:bookmarkEnd w:id="49"/>
    <w:p>
      <w:pPr>
        <w:jc w:val="both"/>
        <w:spacing w:after="0" w:line="254" w:lineRule="auto"/>
        <w:rPr>
          <w:sz w:val="20"/>
          <w:szCs w:val="20"/>
          <w:color w:val="auto"/>
        </w:rPr>
      </w:pPr>
      <w:r>
        <w:rPr>
          <w:rFonts w:ascii="Times New Roman" w:cs="Times New Roman" w:eastAsia="Times New Roman" w:hAnsi="Times New Roman"/>
          <w:sz w:val="20"/>
          <w:szCs w:val="20"/>
          <w:color w:val="auto"/>
        </w:rPr>
        <w:t>Following Versant’s change in chief operating decision maker in 2025, the Company reassessed its reporting units. The Company performed a quantitative assessment in connection with this change and with the annual impairment assessment as of July 1, 2025, and concluded there was no impairment of any of its reporting units. The reporting unit comprised primarily of the Company’s television networks includes $6.49 billion of goodwill. The Company performed an updated quantitative assessment for this reporting unit as of December 31, 2025 given the market price indications for the Company’s Class A common stock and the relative significance of this reporting unit to the overall business. In connection with this assessment, the Company concluded that the estimated fair value of the television networks reporting unit continued to exceed its carrying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Company used the discounted cash flow model to estimate fair values, which requires management to make significant judgments related to discount rates and forecasts of expected cash flows. Changes in these assumptions could have a significant impact on the respective fair values.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identified as a critical audit matter the goodwill relative fair value analysis as of July 1, 2025 and the quantitative goodwill impairment assessments as of July 1, 2025, and December 31, 2025, for the Company’s television networks reporting unit because of the significant judgments made by management to estimate the fair values used in these analyses.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Critical Audit Matter Was Addressed in the Audit</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of the television networks reporting unit included the following, among others:</w:t>
      </w:r>
    </w:p>
    <w:p>
      <w:pPr>
        <w:spacing w:after="0" w:line="143" w:lineRule="exact"/>
        <w:rPr>
          <w:sz w:val="20"/>
          <w:szCs w:val="20"/>
          <w:color w:val="auto"/>
        </w:rPr>
      </w:pPr>
    </w:p>
    <w:p>
      <w:pPr>
        <w:jc w:val="both"/>
        <w:ind w:left="720" w:hanging="360"/>
        <w:spacing w:after="0" w:line="260"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calculations, and developing a range of independent estimates and comparing those to the discount rates selected by management.</w:t>
      </w:r>
    </w:p>
    <w:p>
      <w:pPr>
        <w:spacing w:after="0" w:line="143" w:lineRule="exact"/>
        <w:rPr>
          <w:rFonts w:ascii="Times New Roman" w:cs="Times New Roman" w:eastAsia="Times New Roman" w:hAnsi="Times New Roman"/>
          <w:sz w:val="20"/>
          <w:szCs w:val="20"/>
          <w:color w:val="auto"/>
        </w:rPr>
      </w:pPr>
    </w:p>
    <w:p>
      <w:pPr>
        <w:ind w:left="720" w:hanging="36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management’s ability to accurately forecast future revenue growth rates and Adjusted EBITDA margins by comparing prior year forecasts to actual results in the respective years.</w:t>
      </w:r>
    </w:p>
    <w:p>
      <w:pPr>
        <w:spacing w:after="0" w:line="121"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evaluated the reasonableness of management’s current forecasts of future revenue growth rates and Adjusted EBITDA margins by comparing such forecasts to historical results, prior year forecasts, and to forecasted information included in analyst and industry reports and companies in its peer group.</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 2026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2025.</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360"/>
          </w:cols>
          <w:pgMar w:left="1440" w:top="1378" w:right="1440" w:bottom="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STATEMENTS OF INCOME</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6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5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w:t>
            </w:r>
            <w:r>
              <w:rPr>
                <w:rFonts w:ascii="Times New Roman" w:cs="Times New Roman" w:eastAsia="Times New Roman" w:hAnsi="Times New Roman"/>
                <w:sz w:val="26"/>
                <w:szCs w:val="26"/>
                <w:b w:val="1"/>
                <w:bCs w:val="1"/>
                <w:color w:val="auto"/>
                <w:vertAlign w:val="superscript"/>
              </w:rPr>
              <w:t>(a)</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6,688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7,062</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7,445</w:t>
            </w:r>
          </w:p>
        </w:tc>
        <w:tc>
          <w:tcPr>
            <w:tcW w:w="0" w:type="dxa"/>
            <w:vAlign w:val="bottom"/>
          </w:tcPr>
          <w:p>
            <w:pPr>
              <w:spacing w:after="0"/>
              <w:rPr>
                <w:sz w:val="1"/>
                <w:szCs w:val="1"/>
                <w:color w:val="auto"/>
              </w:rPr>
            </w:pPr>
          </w:p>
        </w:tc>
      </w:tr>
      <w:tr>
        <w:trPr>
          <w:trHeight w:val="260"/>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Costs and Expenses: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26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Costs of revenue (exclusive of depreciation and</w:t>
            </w:r>
          </w:p>
        </w:tc>
        <w:tc>
          <w:tcPr>
            <w:tcW w:w="320" w:type="dxa"/>
            <w:vAlign w:val="bottom"/>
          </w:tcPr>
          <w:p>
            <w:pPr>
              <w:spacing w:after="0"/>
              <w:rPr>
                <w:sz w:val="17"/>
                <w:szCs w:val="17"/>
                <w:color w:val="auto"/>
              </w:rPr>
            </w:pP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2,937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3,064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0" w:type="dxa"/>
            <w:vAlign w:val="bottom"/>
          </w:tcPr>
          <w:p>
            <w:pPr>
              <w:spacing w:after="0"/>
              <w:rPr>
                <w:sz w:val="1"/>
                <w:szCs w:val="1"/>
                <w:color w:val="auto"/>
              </w:rPr>
            </w:pPr>
          </w:p>
        </w:tc>
      </w:tr>
      <w:tr>
        <w:trPr>
          <w:trHeight w:val="285"/>
        </w:trPr>
        <w:tc>
          <w:tcPr>
            <w:tcW w:w="5260" w:type="dxa"/>
            <w:vAlign w:val="bottom"/>
          </w:tcPr>
          <w:p>
            <w:pPr>
              <w:ind w:left="420"/>
              <w:spacing w:after="0" w:line="285" w:lineRule="exact"/>
              <w:rPr>
                <w:sz w:val="20"/>
                <w:szCs w:val="20"/>
                <w:color w:val="auto"/>
              </w:rPr>
            </w:pPr>
            <w:r>
              <w:rPr>
                <w:rFonts w:ascii="Times New Roman" w:cs="Times New Roman" w:eastAsia="Times New Roman" w:hAnsi="Times New Roman"/>
                <w:sz w:val="20"/>
                <w:szCs w:val="20"/>
                <w:color w:val="auto"/>
              </w:rPr>
              <w:t>amortization)</w:t>
            </w:r>
            <w:r>
              <w:rPr>
                <w:rFonts w:ascii="Times New Roman" w:cs="Times New Roman" w:eastAsia="Times New Roman" w:hAnsi="Times New Roman"/>
                <w:sz w:val="26"/>
                <w:szCs w:val="26"/>
                <w:color w:val="auto"/>
                <w:vertAlign w:val="superscript"/>
              </w:rPr>
              <w:t>(b)</w:t>
            </w:r>
          </w:p>
        </w:tc>
        <w:tc>
          <w:tcPr>
            <w:tcW w:w="3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1,469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w:t>
            </w:r>
          </w:p>
        </w:tc>
        <w:tc>
          <w:tcPr>
            <w:tcW w:w="0" w:type="dxa"/>
            <w:vAlign w:val="bottom"/>
          </w:tcPr>
          <w:p>
            <w:pPr>
              <w:spacing w:after="0"/>
              <w:rPr>
                <w:sz w:val="1"/>
                <w:szCs w:val="1"/>
                <w:color w:val="auto"/>
              </w:rPr>
            </w:pPr>
          </w:p>
        </w:tc>
      </w:tr>
      <w:tr>
        <w:trPr>
          <w:trHeight w:val="288"/>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0" w:type="dxa"/>
            <w:vAlign w:val="bottom"/>
          </w:tcPr>
          <w:p>
            <w:pPr>
              <w:spacing w:after="0"/>
              <w:rPr>
                <w:sz w:val="1"/>
                <w:szCs w:val="1"/>
                <w:color w:val="auto"/>
              </w:rPr>
            </w:pPr>
          </w:p>
        </w:tc>
      </w:tr>
      <w:tr>
        <w:trPr>
          <w:trHeight w:val="26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Total costs and expenses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5,416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5,220</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5,375</w:t>
            </w:r>
          </w:p>
        </w:tc>
        <w:tc>
          <w:tcPr>
            <w:tcW w:w="0" w:type="dxa"/>
            <w:vAlign w:val="bottom"/>
          </w:tcPr>
          <w:p>
            <w:pPr>
              <w:spacing w:after="0"/>
              <w:rPr>
                <w:sz w:val="1"/>
                <w:szCs w:val="1"/>
                <w:color w:val="auto"/>
              </w:rPr>
            </w:pPr>
          </w:p>
        </w:tc>
      </w:tr>
      <w:tr>
        <w:trPr>
          <w:trHeight w:val="264"/>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32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1,272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1,841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2,069</w:t>
            </w:r>
          </w:p>
        </w:tc>
        <w:tc>
          <w:tcPr>
            <w:tcW w:w="0" w:type="dxa"/>
            <w:vAlign w:val="bottom"/>
          </w:tcPr>
          <w:p>
            <w:pPr>
              <w:spacing w:after="0"/>
              <w:rPr>
                <w:sz w:val="1"/>
                <w:szCs w:val="1"/>
                <w:color w:val="auto"/>
              </w:rPr>
            </w:pPr>
          </w:p>
        </w:tc>
      </w:tr>
      <w:tr>
        <w:trPr>
          <w:trHeight w:val="283"/>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Investment and other (loss) income, net</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income taxes</w:t>
            </w:r>
          </w:p>
        </w:tc>
        <w:tc>
          <w:tcPr>
            <w:tcW w:w="32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1,228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2,069</w:t>
            </w: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tcPr>
          <w:p>
            <w:pPr>
              <w:spacing w:after="0"/>
              <w:rPr>
                <w:sz w:val="22"/>
                <w:szCs w:val="2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931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Less: Net income attributable to noncontrolling interests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income attributable to Versant</w:t>
            </w: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930</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1,363</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1,539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-2679065</wp:posOffset>
            </wp:positionV>
            <wp:extent cx="5981700" cy="269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extLst>
                    </a:blip>
                    <a:srcRect/>
                    <a:stretch>
                      <a:fillRect/>
                    </a:stretch>
                  </pic:blipFill>
                  <pic:spPr bwMode="auto">
                    <a:xfrm>
                      <a:off x="0" y="0"/>
                      <a:ext cx="5981700" cy="2698750"/>
                    </a:xfrm>
                    <a:prstGeom prst="rect">
                      <a:avLst/>
                    </a:prstGeom>
                    <a:noFill/>
                  </pic:spPr>
                </pic:pic>
              </a:graphicData>
            </a:graphic>
          </wp:anchor>
        </w:drawing>
      </w:r>
    </w:p>
    <w:p>
      <w:pPr>
        <w:spacing w:after="0" w:line="174" w:lineRule="exact"/>
        <w:rPr>
          <w:sz w:val="20"/>
          <w:szCs w:val="20"/>
          <w:color w:val="auto"/>
        </w:rPr>
      </w:pPr>
    </w:p>
    <w:p>
      <w:pPr>
        <w:ind w:left="240" w:hanging="240"/>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$928 million, $1.26 billion and $1.34 billion for 2025, 2024 and 2023, respectively.</w:t>
      </w:r>
    </w:p>
    <w:p>
      <w:pPr>
        <w:spacing w:after="0" w:line="69" w:lineRule="exact"/>
        <w:rPr>
          <w:rFonts w:ascii="Times New Roman" w:cs="Times New Roman" w:eastAsia="Times New Roman" w:hAnsi="Times New Roman"/>
          <w:sz w:val="18"/>
          <w:szCs w:val="18"/>
          <w:color w:val="auto"/>
        </w:rPr>
      </w:pPr>
    </w:p>
    <w:p>
      <w:pPr>
        <w:ind w:left="260" w:hanging="260"/>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$1.24 billion, $1.42 billion and $1.42 billion for 2025, 2024 and 2023, respectively.</w:t>
      </w:r>
    </w:p>
    <w:p>
      <w:pPr>
        <w:spacing w:after="0" w:line="2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See accompanying notes to combined financial statements, including Note 11 for amounts of related party transactions.</w:t>
      </w:r>
    </w:p>
    <w:p>
      <w:pPr>
        <w:sectPr>
          <w:pgSz w:w="12240" w:h="15840" w:orient="portrait"/>
          <w:cols w:equalWidth="0" w:num="1">
            <w:col w:w="9360"/>
          </w:cols>
          <w:pgMar w:left="1440" w:top="65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360"/>
          </w:cols>
          <w:pgMar w:left="1440" w:top="659" w:right="1440" w:bottom="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STATEMENTS OF COMPREHENSIVE INCOME</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left="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88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net of tax:</w:t>
            </w: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60" w:type="dxa"/>
            <w:vAlign w:val="bottom"/>
          </w:tcPr>
          <w:p>
            <w:pPr>
              <w:ind w:left="240"/>
              <w:spacing w:after="0" w:line="205" w:lineRule="exact"/>
              <w:rPr>
                <w:sz w:val="20"/>
                <w:szCs w:val="20"/>
                <w:color w:val="auto"/>
              </w:rPr>
            </w:pPr>
            <w:r>
              <w:rPr>
                <w:rFonts w:ascii="Times New Roman" w:cs="Times New Roman" w:eastAsia="Times New Roman" w:hAnsi="Times New Roman"/>
                <w:sz w:val="20"/>
                <w:szCs w:val="20"/>
                <w:color w:val="auto"/>
              </w:rPr>
              <w:t>Currency translation adjustments, net of deferred taxes of $0</w:t>
            </w:r>
          </w:p>
        </w:tc>
        <w:tc>
          <w:tcPr>
            <w:tcW w:w="880" w:type="dxa"/>
            <w:vAlign w:val="bottom"/>
          </w:tcPr>
          <w:p>
            <w:pPr>
              <w:spacing w:after="0"/>
              <w:rPr>
                <w:sz w:val="17"/>
                <w:szCs w:val="17"/>
                <w:color w:val="auto"/>
              </w:rPr>
            </w:pPr>
          </w:p>
        </w:tc>
        <w:tc>
          <w:tcPr>
            <w:tcW w:w="440" w:type="dxa"/>
            <w:vAlign w:val="bottom"/>
            <w:vMerge w:val="restart"/>
          </w:tcPr>
          <w:p>
            <w:pPr>
              <w:jc w:val="right"/>
              <w:ind w:right="3"/>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63"/>
        </w:trPr>
        <w:tc>
          <w:tcPr>
            <w:tcW w:w="526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for each period</w:t>
            </w:r>
          </w:p>
        </w:tc>
        <w:tc>
          <w:tcPr>
            <w:tcW w:w="8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880" w:type="dxa"/>
            <w:vAlign w:val="bottom"/>
          </w:tcPr>
          <w:p>
            <w:pPr>
              <w:spacing w:after="0"/>
              <w:rPr>
                <w:sz w:val="22"/>
                <w:szCs w:val="22"/>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932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w:t>
            </w: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Less: Net income attributable to noncontrolling interests</w:t>
            </w: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Comprehensive income attributable to Versant</w:t>
            </w:r>
          </w:p>
        </w:tc>
        <w:tc>
          <w:tcPr>
            <w:tcW w:w="88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20"/>
                <w:szCs w:val="20"/>
                <w:b w:val="1"/>
                <w:bCs w:val="1"/>
                <w:color w:val="auto"/>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b w:val="1"/>
                <w:bCs w:val="1"/>
                <w:color w:val="auto"/>
              </w:rPr>
              <w:t>931</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1,363</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-1231265</wp:posOffset>
            </wp:positionV>
            <wp:extent cx="5981700" cy="1250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extLst>
                    </a:blip>
                    <a:srcRect/>
                    <a:stretch>
                      <a:fillRect/>
                    </a:stretch>
                  </pic:blipFill>
                  <pic:spPr bwMode="auto">
                    <a:xfrm>
                      <a:off x="0" y="0"/>
                      <a:ext cx="5981700" cy="1250950"/>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accompanying notes to combined financial statements, including Note 11 for amounts of related party transactions.</w:t>
      </w:r>
    </w:p>
    <w:p>
      <w:pPr>
        <w:sectPr>
          <w:pgSz w:w="12240" w:h="15840" w:orient="portrait"/>
          <w:cols w:equalWidth="0" w:num="1">
            <w:col w:w="9360"/>
          </w:cols>
          <w:pgMar w:left="1440" w:top="6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360"/>
          </w:cols>
          <w:pgMar w:left="1440" w:top="611" w:right="1440" w:bottom="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STATEMENTS OF CASH FLOWS</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56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w:t>
            </w:r>
          </w:p>
        </w:tc>
        <w:tc>
          <w:tcPr>
            <w:tcW w:w="0" w:type="dxa"/>
            <w:vAlign w:val="bottom"/>
          </w:tcPr>
          <w:p>
            <w:pPr>
              <w:spacing w:after="0"/>
              <w:rPr>
                <w:sz w:val="1"/>
                <w:szCs w:val="1"/>
                <w:color w:val="auto"/>
              </w:rPr>
            </w:pPr>
          </w:p>
        </w:tc>
      </w:tr>
      <w:tr>
        <w:trPr>
          <w:trHeight w:val="205"/>
        </w:trPr>
        <w:tc>
          <w:tcPr>
            <w:tcW w:w="520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Adjustments to reconcile net income to net cash provided by</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5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w:t>
            </w: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Share-based compensation</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loss on investment activity and other</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income taxes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285"/>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and noncurrent receivables, net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Content costs, net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88"/>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operating assets and liabilities</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0" w:type="dxa"/>
            <w:vAlign w:val="bottom"/>
          </w:tcPr>
          <w:p>
            <w:pPr>
              <w:spacing w:after="0"/>
              <w:rPr>
                <w:sz w:val="1"/>
                <w:szCs w:val="1"/>
                <w:color w:val="auto"/>
              </w:rPr>
            </w:pPr>
          </w:p>
        </w:tc>
      </w:tr>
      <w:tr>
        <w:trPr>
          <w:trHeight w:val="265"/>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2,211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2,428</w:t>
            </w:r>
          </w:p>
        </w:tc>
        <w:tc>
          <w:tcPr>
            <w:tcW w:w="0" w:type="dxa"/>
            <w:vAlign w:val="bottom"/>
          </w:tcPr>
          <w:p>
            <w:pPr>
              <w:spacing w:after="0"/>
              <w:rPr>
                <w:sz w:val="1"/>
                <w:szCs w:val="1"/>
                <w:color w:val="auto"/>
              </w:rPr>
            </w:pPr>
          </w:p>
        </w:tc>
      </w:tr>
      <w:tr>
        <w:trPr>
          <w:trHeight w:val="262"/>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 expenditures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Acquisition, net of cash acquired</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65"/>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(155)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(60)</w:t>
            </w:r>
          </w:p>
        </w:tc>
        <w:tc>
          <w:tcPr>
            <w:tcW w:w="0" w:type="dxa"/>
            <w:vAlign w:val="bottom"/>
          </w:tcPr>
          <w:p>
            <w:pPr>
              <w:spacing w:after="0"/>
              <w:rPr>
                <w:sz w:val="1"/>
                <w:szCs w:val="1"/>
                <w:color w:val="auto"/>
              </w:rPr>
            </w:pPr>
          </w:p>
        </w:tc>
      </w:tr>
      <w:tr>
        <w:trPr>
          <w:trHeight w:val="262"/>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Proceeds from borrowings</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Change in net Comcast investment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(2,359)</w:t>
            </w:r>
          </w:p>
        </w:tc>
        <w:tc>
          <w:tcPr>
            <w:tcW w:w="0" w:type="dxa"/>
            <w:vAlign w:val="bottom"/>
          </w:tcPr>
          <w:p>
            <w:pPr>
              <w:spacing w:after="0"/>
              <w:rPr>
                <w:sz w:val="1"/>
                <w:szCs w:val="1"/>
                <w:color w:val="auto"/>
              </w:rPr>
            </w:pPr>
          </w:p>
        </w:tc>
      </w:tr>
      <w:tr>
        <w:trPr>
          <w:trHeight w:val="288"/>
        </w:trPr>
        <w:tc>
          <w:tcPr>
            <w:tcW w:w="52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65"/>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(782)</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(2,155)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(2,355)</w:t>
            </w:r>
          </w:p>
        </w:tc>
        <w:tc>
          <w:tcPr>
            <w:tcW w:w="0" w:type="dxa"/>
            <w:vAlign w:val="bottom"/>
          </w:tcPr>
          <w:p>
            <w:pPr>
              <w:spacing w:after="0"/>
              <w:rPr>
                <w:sz w:val="1"/>
                <w:szCs w:val="1"/>
                <w:color w:val="auto"/>
              </w:rPr>
            </w:pPr>
          </w:p>
        </w:tc>
      </w:tr>
      <w:tr>
        <w:trPr>
          <w:trHeight w:val="182"/>
        </w:trPr>
        <w:tc>
          <w:tcPr>
            <w:tcW w:w="5200" w:type="dxa"/>
            <w:vAlign w:val="bottom"/>
          </w:tcPr>
          <w:p>
            <w:pPr>
              <w:spacing w:after="0" w:line="182" w:lineRule="exact"/>
              <w:rPr>
                <w:sz w:val="20"/>
                <w:szCs w:val="20"/>
                <w:color w:val="auto"/>
              </w:rPr>
            </w:pPr>
            <w:r>
              <w:rPr>
                <w:rFonts w:ascii="Times New Roman" w:cs="Times New Roman" w:eastAsia="Times New Roman" w:hAnsi="Times New Roman"/>
                <w:sz w:val="20"/>
                <w:szCs w:val="20"/>
                <w:color w:val="auto"/>
              </w:rPr>
              <w:t>Increase (decrease) in cash, cash equivalents and restricted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1,084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60"/>
        </w:trPr>
        <w:tc>
          <w:tcPr>
            <w:tcW w:w="5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w:t>
            </w: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 beginning of year</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45"/>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and restricted cash, end of year</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1,092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-4965065</wp:posOffset>
            </wp:positionV>
            <wp:extent cx="5981700" cy="4984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extLst>
                    </a:blip>
                    <a:srcRect/>
                    <a:stretch>
                      <a:fillRect/>
                    </a:stretch>
                  </pic:blipFill>
                  <pic:spPr bwMode="auto">
                    <a:xfrm>
                      <a:off x="0" y="0"/>
                      <a:ext cx="5981700" cy="4984750"/>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accompanying notes to combined financial statements, including Note 11 for amounts of related party transactions.</w:t>
      </w:r>
    </w:p>
    <w:p>
      <w:pPr>
        <w:sectPr>
          <w:pgSz w:w="12240" w:h="15840" w:orient="portrait"/>
          <w:cols w:equalWidth="0" w:num="1">
            <w:col w:w="9360"/>
          </w:cols>
          <w:pgMar w:left="1440" w:top="6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360"/>
          </w:cols>
          <w:pgMar w:left="1440" w:top="611" w:right="1440" w:bottom="0" w:gutter="0" w:footer="0" w:header="0"/>
          <w:type w:val="continuous"/>
        </w:sectPr>
      </w:pPr>
    </w:p>
    <w:bookmarkStart w:id="53" w:name="page54"/>
    <w:bookmarkEnd w:id="53"/>
    <w:p>
      <w:pPr>
        <w:ind w:left="3180"/>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COMBINED BALANCE SHEETS</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4"/>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Restricted cash</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Receivables,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1,245</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Assets held for sale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current assets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2,502</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1,318</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Content costs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Intangible assets, net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1,869</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7,732</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assets, net</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12,333</w:t>
            </w:r>
          </w:p>
        </w:tc>
        <w:tc>
          <w:tcPr>
            <w:tcW w:w="60" w:type="dxa"/>
            <w:vAlign w:val="bottom"/>
          </w:tcPr>
          <w:p>
            <w:pPr>
              <w:spacing w:after="0"/>
              <w:rPr>
                <w:sz w:val="21"/>
                <w:szCs w:val="21"/>
                <w:color w:val="auto"/>
              </w:rPr>
            </w:pPr>
          </w:p>
        </w:tc>
        <w:tc>
          <w:tcPr>
            <w:tcW w:w="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12,049</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Equity</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6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revenue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content obligations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employee costs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88"/>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Noncurrent content obligations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Equity: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Comcast investment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10,805</w:t>
            </w:r>
          </w:p>
        </w:tc>
        <w:tc>
          <w:tcPr>
            <w:tcW w:w="0" w:type="dxa"/>
            <w:vAlign w:val="bottom"/>
          </w:tcPr>
          <w:p>
            <w:pPr>
              <w:spacing w:after="0"/>
              <w:rPr>
                <w:sz w:val="1"/>
                <w:szCs w:val="1"/>
                <w:color w:val="auto"/>
              </w:rPr>
            </w:pPr>
          </w:p>
        </w:tc>
      </w:tr>
      <w:tr>
        <w:trPr>
          <w:trHeight w:val="288"/>
        </w:trPr>
        <w:tc>
          <w:tcPr>
            <w:tcW w:w="66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Comcast equity</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10,292</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10,797</w:t>
            </w:r>
          </w:p>
        </w:tc>
        <w:tc>
          <w:tcPr>
            <w:tcW w:w="0" w:type="dxa"/>
            <w:vAlign w:val="bottom"/>
          </w:tcPr>
          <w:p>
            <w:pPr>
              <w:spacing w:after="0"/>
              <w:rPr>
                <w:sz w:val="1"/>
                <w:szCs w:val="1"/>
                <w:color w:val="auto"/>
              </w:rPr>
            </w:pPr>
          </w:p>
        </w:tc>
      </w:tr>
      <w:tr>
        <w:trPr>
          <w:trHeight w:val="288"/>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interests</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65"/>
        </w:trPr>
        <w:tc>
          <w:tcPr>
            <w:tcW w:w="6640" w:type="dxa"/>
            <w:vAlign w:val="bottom"/>
          </w:tcPr>
          <w:p>
            <w:pPr>
              <w:spacing w:after="0"/>
              <w:rPr>
                <w:sz w:val="20"/>
                <w:szCs w:val="20"/>
                <w:color w:val="auto"/>
              </w:rPr>
            </w:pPr>
            <w:r>
              <w:rPr>
                <w:rFonts w:ascii="Times New Roman" w:cs="Times New Roman" w:eastAsia="Times New Roman" w:hAnsi="Times New Roman"/>
                <w:sz w:val="20"/>
                <w:szCs w:val="20"/>
                <w:color w:val="auto"/>
              </w:rPr>
              <w:t>Total equity</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10,402</w:t>
            </w:r>
          </w:p>
        </w:tc>
        <w:tc>
          <w:tcPr>
            <w:tcW w:w="6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10,915</w:t>
            </w:r>
          </w:p>
        </w:tc>
        <w:tc>
          <w:tcPr>
            <w:tcW w:w="0" w:type="dxa"/>
            <w:vAlign w:val="bottom"/>
          </w:tcPr>
          <w:p>
            <w:pPr>
              <w:spacing w:after="0"/>
              <w:rPr>
                <w:sz w:val="1"/>
                <w:szCs w:val="1"/>
                <w:color w:val="auto"/>
              </w:rPr>
            </w:pPr>
          </w:p>
        </w:tc>
      </w:tr>
      <w:tr>
        <w:trPr>
          <w:trHeight w:val="245"/>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equity</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12,333</w:t>
            </w:r>
          </w:p>
        </w:tc>
        <w:tc>
          <w:tcPr>
            <w:tcW w:w="60" w:type="dxa"/>
            <w:vAlign w:val="bottom"/>
          </w:tcPr>
          <w:p>
            <w:pPr>
              <w:spacing w:after="0"/>
              <w:rPr>
                <w:sz w:val="21"/>
                <w:szCs w:val="21"/>
                <w:color w:val="auto"/>
              </w:rPr>
            </w:pPr>
          </w:p>
        </w:tc>
        <w:tc>
          <w:tcPr>
            <w:tcW w:w="4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12,049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-6365240</wp:posOffset>
            </wp:positionV>
            <wp:extent cx="5981700" cy="638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extLst>
                        <a:ext uri="{28A0092B-C50C-407E-A947-70E740481C1C}"/>
                      </a:extLst>
                    </a:blip>
                    <a:srcRect/>
                    <a:stretch>
                      <a:fillRect/>
                    </a:stretch>
                  </pic:blipFill>
                  <pic:spPr bwMode="auto">
                    <a:xfrm>
                      <a:off x="0" y="0"/>
                      <a:ext cx="5981700" cy="6384925"/>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accompanying notes to combined financial statements, including Note 11 for amounts of related party transactions.</w:t>
      </w:r>
    </w:p>
    <w:p>
      <w:pPr>
        <w:sectPr>
          <w:pgSz w:w="12240" w:h="15840" w:orient="portrait"/>
          <w:cols w:equalWidth="0" w:num="1">
            <w:col w:w="9360"/>
          </w:cols>
          <w:pgMar w:left="1440" w:top="6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360"/>
          </w:cols>
          <w:pgMar w:left="1440" w:top="611" w:right="1440" w:bottom="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COMBINED STATEMENTS OF CHANGES IN EQUITY</w:t>
      </w:r>
    </w:p>
    <w:p>
      <w:pPr>
        <w:spacing w:after="0" w:line="34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20"/>
        </w:trPr>
        <w:tc>
          <w:tcPr>
            <w:tcW w:w="5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4"/>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8"/>
        </w:trPr>
        <w:tc>
          <w:tcPr>
            <w:tcW w:w="5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Comcast Investment</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8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Balance, beginning of year</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10,805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12,373</w:t>
            </w:r>
          </w:p>
        </w:tc>
      </w:tr>
      <w:tr>
        <w:trPr>
          <w:trHeight w:val="28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Transactions with Comcast, net</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(2,344)</w:t>
            </w:r>
          </w:p>
        </w:tc>
      </w:tr>
      <w:tr>
        <w:trPr>
          <w:trHeight w:val="288"/>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930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1,539</w:t>
            </w:r>
          </w:p>
        </w:tc>
      </w:tr>
      <w:tr>
        <w:trPr>
          <w:trHeight w:val="26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Balance, end of year</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10,299</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10,805</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11,568</w:t>
            </w:r>
          </w:p>
        </w:tc>
      </w:tr>
      <w:tr>
        <w:trPr>
          <w:trHeight w:val="262"/>
        </w:trPr>
        <w:tc>
          <w:tcPr>
            <w:tcW w:w="5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 (Loss)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Balance, beginning of year</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8"/>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6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Balance, end of year</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r>
      <w:tr>
        <w:trPr>
          <w:trHeight w:val="262"/>
        </w:trPr>
        <w:tc>
          <w:tcPr>
            <w:tcW w:w="5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Noncontrolling Interests</w:t>
            </w: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Balance, beginning of year</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118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8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320" w:type="dxa"/>
            <w:vAlign w:val="bottom"/>
          </w:tcPr>
          <w:p>
            <w:pPr>
              <w:spacing w:after="0"/>
              <w:rPr>
                <w:sz w:val="24"/>
                <w:szCs w:val="24"/>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Reduction of noncontrolling interests</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income (loss)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51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Balance, end of year</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110</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w:t>
            </w:r>
          </w:p>
        </w:tc>
        <w:tc>
          <w:tcPr>
            <w:tcW w:w="60" w:type="dxa"/>
            <w:vAlign w:val="bottom"/>
          </w:tcPr>
          <w:p>
            <w:pPr>
              <w:spacing w:after="0"/>
              <w:rPr>
                <w:sz w:val="23"/>
                <w:szCs w:val="23"/>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117</w:t>
            </w:r>
          </w:p>
        </w:tc>
      </w:tr>
      <w:tr>
        <w:trPr>
          <w:trHeight w:val="245"/>
        </w:trPr>
        <w:tc>
          <w:tcPr>
            <w:tcW w:w="5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equity</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10,402</w:t>
            </w: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10,915</w:t>
            </w:r>
          </w:p>
        </w:tc>
        <w:tc>
          <w:tcPr>
            <w:tcW w:w="60" w:type="dxa"/>
            <w:vAlign w:val="bottom"/>
          </w:tcPr>
          <w:p>
            <w:pPr>
              <w:spacing w:after="0"/>
              <w:rPr>
                <w:sz w:val="21"/>
                <w:szCs w:val="21"/>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11,677</w:t>
            </w: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5981700" cy="2946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a:extLst>
                        <a:ext uri="{28A0092B-C50C-407E-A947-70E740481C1C}"/>
                      </a:extLst>
                    </a:blip>
                    <a:srcRect/>
                    <a:stretch>
                      <a:fillRect/>
                    </a:stretch>
                  </pic:blipFill>
                  <pic:spPr bwMode="auto">
                    <a:xfrm>
                      <a:off x="0" y="0"/>
                      <a:ext cx="5981700" cy="2946400"/>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See accompanying notes to combined financial statements, including Note 11 for amounts of related party transactions.</w:t>
      </w:r>
    </w:p>
    <w:p>
      <w:pPr>
        <w:sectPr>
          <w:pgSz w:w="12240" w:h="15840" w:orient="portrait"/>
          <w:cols w:equalWidth="0" w:num="1">
            <w:col w:w="9360"/>
          </w:cols>
          <w:pgMar w:left="1440" w:top="6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360"/>
          </w:cols>
          <w:pgMar w:left="1440" w:top="611" w:right="1440"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b w:val="1"/>
          <w:bCs w:val="1"/>
          <w:color w:val="auto"/>
        </w:rPr>
        <w:t>VERSANT MEDIA GROUP,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Combined Financial Statements</w:t>
      </w:r>
    </w:p>
    <w:p>
      <w:pPr>
        <w:spacing w:after="0" w:line="290" w:lineRule="exact"/>
        <w:rPr>
          <w:sz w:val="20"/>
          <w:szCs w:val="20"/>
          <w:color w:val="auto"/>
        </w:rPr>
      </w:pPr>
    </w:p>
    <w:p>
      <w:pPr>
        <w:ind w:right="4040"/>
        <w:spacing w:after="0" w:line="442" w:lineRule="auto"/>
        <w:rPr>
          <w:sz w:val="20"/>
          <w:szCs w:val="20"/>
          <w:color w:val="auto"/>
        </w:rPr>
      </w:pPr>
      <w:r>
        <w:rPr>
          <w:rFonts w:ascii="Times New Roman" w:cs="Times New Roman" w:eastAsia="Times New Roman" w:hAnsi="Times New Roman"/>
          <w:sz w:val="20"/>
          <w:szCs w:val="20"/>
          <w:b w:val="1"/>
          <w:bCs w:val="1"/>
          <w:color w:val="auto"/>
        </w:rPr>
        <w:t xml:space="preserve">Note 1. Description of the Company and Basis of Presentation </w:t>
      </w:r>
      <w:r>
        <w:rPr>
          <w:rFonts w:ascii="Times New Roman" w:cs="Times New Roman" w:eastAsia="Times New Roman" w:hAnsi="Times New Roman"/>
          <w:sz w:val="20"/>
          <w:szCs w:val="20"/>
          <w:b w:val="1"/>
          <w:bCs w:val="1"/>
          <w:i w:val="1"/>
          <w:iCs w:val="1"/>
          <w:color w:val="auto"/>
        </w:rPr>
        <w:t>Description of the Company</w:t>
      </w:r>
    </w:p>
    <w:p>
      <w:pPr>
        <w:jc w:val="both"/>
        <w:spacing w:after="0" w:line="253" w:lineRule="auto"/>
        <w:rPr>
          <w:sz w:val="20"/>
          <w:szCs w:val="20"/>
          <w:color w:val="auto"/>
        </w:rPr>
      </w:pPr>
      <w:r>
        <w:rPr>
          <w:rFonts w:ascii="Times New Roman" w:cs="Times New Roman" w:eastAsia="Times New Roman" w:hAnsi="Times New Roman"/>
          <w:sz w:val="20"/>
          <w:szCs w:val="20"/>
          <w:color w:val="auto"/>
        </w:rPr>
        <w:t>Versant Media Group, Inc. (“Versant”, the “Company”, “we”, “us”, “our”)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 NOW, Oxygen, E!, Syfy and Golf Channel, and digital platforms, including Fandango, Rotten Tomatoes, GolfNow and SportsEngine. On January 2, 2026, the separation (the “Separation”) of Versant from Comcast Corporation (“Comcast”) was completed. In connection with the completion of the Separation, the assets related to certain of Comcast’s cable television networks and digital platforms were contributed to, and the related liabilities were assumed by Versant in accordance with the separation and distribution agreement and other agreements entered into in connection with the Separation, as further described in Note 13. On January 5, 2026, our common stock began trading on The Nasdaq Stock Market LLC (“Nasdaq”) under the ticker symbol “VSNT”.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initial assessment as of December 31, 2024, and updated as necessary for new assets and liabilities resulting from transactions occurring subsequent to December 31, 2024, that were specifically identifiable or otherwise attributable to our business or in subsidiaries that are included in the combined financial statements. Accordingly, our combined balance sheets may not reflect the assets and liabilities of Versant following the Separation. Other than debt issued by Versant in 2025 (see Note 8), Comcast’s historical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combined statements of income include all revenues and costs directly attributable to our business, including costs related to production activities that used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11).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All intercompany transactions and balances within our business have been eliminated. Certain transactions were handled through Comcast’s centralized cash management process or allocated to us and were generally deemed settled for cash at the time the transactions are recorded in these combined financial statements. The total net effect of the deemed settlement of these transactions is included in net Comcast investment and the net effect of changes in net Comcast investment is presented in financing activities in the combined statements of cash flows Centralized cash management balances related to certain of our operations were executed through formal loan agreements and</w:t>
      </w:r>
    </w:p>
    <w:p>
      <w:pPr>
        <w:sectPr>
          <w:pgSz w:w="12240" w:h="15840" w:orient="portrait"/>
          <w:cols w:equalWidth="0" w:num="1">
            <w:col w:w="9360"/>
          </w:cols>
          <w:pgMar w:left="1440" w:top="6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360"/>
          </w:cols>
          <w:pgMar w:left="1440" w:top="611" w:right="1440" w:bottom="0" w:gutter="0" w:footer="0" w:header="0"/>
          <w:type w:val="continuous"/>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20"/>
          <w:szCs w:val="20"/>
          <w:color w:val="auto"/>
        </w:rPr>
        <w:t>are therefore presented in assets or liabilities, as applicable. These and other transactions between the Company and Comcast are included in the combined financial statements and are considered related party transactions. See Note 11 for more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Summary of Significant Accounting Policies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Cash Equivalents and Restricted Cash</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historically participated in Comcast’s centralized approach to cash management and financing of its operations. Our cash was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Cash equivalents consist of highly liquid investments with original maturities of three months or less when purchased. The carrying amounts of our cash equivalents approximate their fair values, which are primarily based on Level 1 inputs.</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Restricted cash at December 31, 2025 included proceeds from the senior notes offering held in escrow until the consummation of the Separation on January 2, 2026 (see Note 8 for additional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 Expenses</w:t>
      </w:r>
    </w:p>
    <w:p>
      <w:pPr>
        <w:spacing w:after="0" w:line="1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Advertising costs are expensed as incurred and totaled $109 million, $82 million and $105 million in 2025, 2024 and 2023, respectively, included in selling, general and administrative expenses.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19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share-based compensation plans consist primarily of awards of Comcast restricted stock units (“RSUs”) to certain employees as part of our long-term incentive compensation structure. Awards generally vest over a period of three to five years.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9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 accounting guidance related to fair value measurements establishes a hierarchy based on the types of inputs used for the various valuation techniques. The levels of the hierarchy are described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Values are determined using quoted market prices for identical financial instruments in an active market.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360"/>
          </w:cols>
          <w:pgMar w:left="1440" w:top="1378" w:right="1440" w:bottom="0" w:gutter="0" w:footer="0" w:header="0"/>
          <w:type w:val="continuous"/>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20"/>
          <w:szCs w:val="20"/>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use this three-tier fair value hierarchy to measure the fair value of certain financial instruments on a recurring basis, such as for investments (see Note 5), on a non-recurring basis, such as for impairment testing (see Note 7) and for disclosure purposes, such as for debt (see Note 8). Our assessment of the significance of a particular input to the fair value measurement requires judgment and may affect the valuation and classification within the fair value hierarchy.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Comcast Investment</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Equity in the combined balance sheets represents Comcast’s net investment in our business and is presented as net Comcast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Comcast, net. Additionally, net Comcast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Comcast investment in the combined balance sheet have been considered cash receipts and payments within financing activities in the combined statements of cash flows. See Note 11 for more information.</w:t>
      </w:r>
    </w:p>
    <w:p>
      <w:pPr>
        <w:spacing w:after="0" w:line="14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Earnings per share data has not been presented in the combined financial statements because we did not operate as a separate legal entity with its own capital structure during any of the periods presented.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present our operations in one reportable business segment and beginning in 2025, our Chief Executive Officer was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 Accounting Pronouncements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Disclosures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December 2023, the Financial Accounting Standards Board (“FASB”) issued updated accounting guidance related to income tax disclosures. The updated guidance, among other things, required additional disclosures relating to the income tax rate reconciliation and income taxes paid. We have adopted the updated guidance in this Annual Report on Form 10-K for the year ended December 31, 2025 with comparative periods updated to reflect the additional disclosures (see Note 9).</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360"/>
          </w:cols>
          <w:pgMar w:left="1440" w:top="1378" w:right="144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Disaggregation of Income Statement Expenses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with our Annual Report on Form 10-K for the year ended December 31, 2027.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Internal-Use Software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September 2025, the FASB issued updated accounting guidance related to internal-use software. The updated guidance eliminates references to software project stages and clarifies that capitalization of internal-use software costs should begin once management authorizes and commits to funding a software project and it is probable that the project will be completed and used as intended. The updated guidance is effective for us as of January 1, 2028, with early adoption permitted. We are in the process of evaluating the impact of this accounting guidance on our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Interim Reporting</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December 2025, the FASB issued updated accounting guidance on interim reporting. The updated guidance establishes a principle requiring entities to disclose events occurring after the end of the most recent annual reporting period that have a material impact on the entity, as well as clarifies the applicability of interim disclosure requirements. The guidance does not change the fundamental nature of interim reporting or expand or reduce current interim disclosure requirements. The guidance is effective for us beginning in interim periods after January 1, 2028, with early adoption permitted. We are in the process of determining the impact of this accounting guidance on our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Grants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December 2025, the FASB issued new accounting guidance on the recognition, measurement and presentation of government grants received by business entities. The new guidance defines government grants, clarifies their scope and provides a recognition threshold under which a grant is recognized when it is probable the entity will comply with the grant’s conditions and that the grant will be received. The updated guidance is effective for us as of January 1, 2029, and early adoption is permitted. We are in the process of determining the impact of this accounting guidance on our financial statements.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Revenue</w:t>
      </w: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546"/>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5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2"/>
        </w:trPr>
        <w:tc>
          <w:tcPr>
            <w:tcW w:w="5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Linear distribution</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4,325</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4,632</w:t>
            </w:r>
          </w:p>
        </w:tc>
      </w:tr>
      <w:tr>
        <w:trPr>
          <w:trHeight w:val="255"/>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Advertising</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1,731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w:t>
            </w:r>
          </w:p>
        </w:tc>
      </w:tr>
      <w:tr>
        <w:trPr>
          <w:trHeight w:val="255"/>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Platforms</w:t>
            </w: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795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w:t>
            </w:r>
          </w:p>
        </w:tc>
      </w:tr>
      <w:tr>
        <w:trPr>
          <w:trHeight w:val="263"/>
        </w:trPr>
        <w:tc>
          <w:tcPr>
            <w:tcW w:w="5320" w:type="dxa"/>
            <w:vAlign w:val="bottom"/>
          </w:tcPr>
          <w:p>
            <w:pPr>
              <w:spacing w:after="0"/>
              <w:rPr>
                <w:sz w:val="20"/>
                <w:szCs w:val="20"/>
                <w:color w:val="auto"/>
              </w:rPr>
            </w:pPr>
            <w:r>
              <w:rPr>
                <w:rFonts w:ascii="Times New Roman" w:cs="Times New Roman" w:eastAsia="Times New Roman" w:hAnsi="Times New Roman"/>
                <w:sz w:val="20"/>
                <w:szCs w:val="20"/>
                <w:color w:val="auto"/>
              </w:rPr>
              <w:t>Content licensing and other</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211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w:t>
            </w:r>
          </w:p>
        </w:tc>
      </w:tr>
      <w:tr>
        <w:trPr>
          <w:trHeight w:val="215"/>
        </w:trPr>
        <w:tc>
          <w:tcPr>
            <w:tcW w:w="53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 revenue</w:t>
            </w:r>
          </w:p>
        </w:tc>
        <w:tc>
          <w:tcPr>
            <w:tcW w:w="30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6,688</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ind w:right="6"/>
              <w:spacing w:after="0" w:line="215" w:lineRule="exact"/>
              <w:rPr>
                <w:sz w:val="20"/>
                <w:szCs w:val="20"/>
                <w:color w:val="auto"/>
              </w:rPr>
            </w:pPr>
            <w:r>
              <w:rPr>
                <w:rFonts w:ascii="Times New Roman" w:cs="Times New Roman" w:eastAsia="Times New Roman" w:hAnsi="Times New Roman"/>
                <w:sz w:val="20"/>
                <w:szCs w:val="20"/>
                <w:b w:val="1"/>
                <w:bCs w:val="1"/>
                <w:color w:val="auto"/>
              </w:rPr>
              <w:t>7,062</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80"/>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7,445</w:t>
            </w:r>
          </w:p>
        </w:tc>
      </w:tr>
      <w:tr>
        <w:trPr>
          <w:trHeight w:val="20"/>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-840740</wp:posOffset>
            </wp:positionV>
            <wp:extent cx="5981700" cy="860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extLst>
                    </a:blip>
                    <a:srcRect/>
                    <a:stretch>
                      <a:fillRect/>
                    </a:stretch>
                  </pic:blipFill>
                  <pic:spPr bwMode="auto">
                    <a:xfrm>
                      <a:off x="0" y="0"/>
                      <a:ext cx="5981700" cy="86042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Linear distribution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360"/>
          </w:cols>
          <w:pgMar w:left="1440" w:top="1369" w:right="1440" w:bottom="0" w:gutter="0" w:footer="0" w:header="0"/>
          <w:type w:val="continuous"/>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20"/>
          <w:szCs w:val="20"/>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Advertising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generate revenue from the sale of advertising on our linear television networks and digital platforms.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 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$234 million as of December 31, 2025, which will be recognized over the next 5 years.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Platforms</w:t>
      </w:r>
    </w:p>
    <w:p>
      <w:pPr>
        <w:spacing w:after="0" w:line="2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also sell technology and related services to golf courses, movie theaters and youth sports organizations that leverage our platform, and also offer consumer subscription services, which provide access to streaming content.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2025 and 2024, the gift card liability for our movie ticket platform was $51 million and $53 million, respectively, including $36 million and $37 million in accrued expenses and other current liabilities, respectively, with the remainder presented in other noncurrent liabilities. Revenue recorded related to breakage on these gift cards was $12 million for the year ended December 31, 2025 and $15 million for each of the years ended December 31, 2024 and 2023.</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technology solutions provide customers access to our cloud-based applications. Contracts for these and our agency services generally have terms ranging from one year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360"/>
          </w:cols>
          <w:pgMar w:left="1440" w:top="1378" w:right="1440" w:bottom="0" w:gutter="0" w:footer="0" w:header="0"/>
          <w:type w:val="continuous"/>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20"/>
          <w:szCs w:val="20"/>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Content Licensing</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generate revenue from the licensing of our owned content to television networks and direct-to-consumer streaming service providers, as well as through video on demand services provided by multichannel video providers and other service providers. These agreements generally include fixed pricing and span multiple years.</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$88 million, which will be recognized within one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Combined Balance Sheets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4"/>
        </w:trPr>
        <w:tc>
          <w:tcPr>
            <w:tcW w:w="5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(in millions)</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Receivables, gross</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w:t>
            </w:r>
          </w:p>
        </w:tc>
        <w:tc>
          <w:tcPr>
            <w:tcW w:w="20" w:type="dxa"/>
            <w:vAlign w:val="bottom"/>
          </w:tcPr>
          <w:p>
            <w:pPr>
              <w:spacing w:after="0"/>
              <w:rPr>
                <w:sz w:val="24"/>
                <w:szCs w:val="24"/>
                <w:color w:val="auto"/>
              </w:rPr>
            </w:pP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w:t>
            </w: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Less: Allowance for credit losses</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Receivables, net</w:t>
            </w: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1,151</w:t>
            </w:r>
          </w:p>
        </w:tc>
        <w:tc>
          <w:tcPr>
            <w:tcW w:w="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1,245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5260" w:type="dxa"/>
            <w:vAlign w:val="bottom"/>
          </w:tcPr>
          <w:p>
            <w:pPr>
              <w:spacing w:after="0"/>
              <w:rPr>
                <w:sz w:val="24"/>
                <w:szCs w:val="24"/>
                <w:color w:val="auto"/>
              </w:rPr>
            </w:pPr>
          </w:p>
        </w:tc>
        <w:tc>
          <w:tcPr>
            <w:tcW w:w="404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Changes in Allowance for Credit Losses</w:t>
            </w: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0" w:type="dxa"/>
            <w:vAlign w:val="bottom"/>
          </w:tcPr>
          <w:p>
            <w:pPr>
              <w:spacing w:after="0"/>
              <w:rPr>
                <w:sz w:val="1"/>
                <w:szCs w:val="1"/>
                <w:color w:val="auto"/>
              </w:rPr>
            </w:pPr>
          </w:p>
        </w:tc>
      </w:tr>
      <w:tr>
        <w:trPr>
          <w:trHeight w:val="214"/>
        </w:trPr>
        <w:tc>
          <w:tcPr>
            <w:tcW w:w="5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920" w:type="dxa"/>
            <w:vAlign w:val="bottom"/>
          </w:tcPr>
          <w:p>
            <w:pPr>
              <w:jc w:val="right"/>
              <w:ind w:right="67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0" w:type="dxa"/>
            <w:vAlign w:val="bottom"/>
          </w:tcPr>
          <w:p>
            <w:pPr>
              <w:spacing w:after="0"/>
              <w:rPr>
                <w:sz w:val="24"/>
                <w:szCs w:val="24"/>
                <w:color w:val="auto"/>
              </w:rPr>
            </w:pP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8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Current-period provision for expected credit losses</w:t>
            </w:r>
          </w:p>
        </w:tc>
        <w:tc>
          <w:tcPr>
            <w:tcW w:w="9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5260" w:type="dxa"/>
            <w:vAlign w:val="bottom"/>
          </w:tcPr>
          <w:p>
            <w:pPr>
              <w:spacing w:after="0" w:line="205" w:lineRule="exact"/>
              <w:rPr>
                <w:sz w:val="20"/>
                <w:szCs w:val="20"/>
                <w:color w:val="auto"/>
              </w:rPr>
            </w:pPr>
            <w:r>
              <w:rPr>
                <w:rFonts w:ascii="Times New Roman" w:cs="Times New Roman" w:eastAsia="Times New Roman" w:hAnsi="Times New Roman"/>
                <w:sz w:val="20"/>
                <w:szCs w:val="20"/>
                <w:color w:val="auto"/>
              </w:rPr>
              <w:t>Write-offs charged against the allowance, net of recoveries and</w:t>
            </w:r>
          </w:p>
        </w:tc>
        <w:tc>
          <w:tcPr>
            <w:tcW w:w="92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52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9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Ending balance</w:t>
            </w:r>
          </w:p>
        </w:tc>
        <w:tc>
          <w:tcPr>
            <w:tcW w:w="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20"/>
                <w:szCs w:val="20"/>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w:t>
            </w:r>
          </w:p>
        </w:tc>
        <w:tc>
          <w:tcPr>
            <w:tcW w:w="60" w:type="dxa"/>
            <w:vAlign w:val="bottom"/>
          </w:tcPr>
          <w:p>
            <w:pPr>
              <w:spacing w:after="0"/>
              <w:rPr>
                <w:sz w:val="21"/>
                <w:szCs w:val="21"/>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-2070100</wp:posOffset>
            </wp:positionV>
            <wp:extent cx="5981700" cy="593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a:extLst>
                        <a:ext uri="{28A0092B-C50C-407E-A947-70E740481C1C}"/>
                      </a:extLst>
                    </a:blip>
                    <a:srcRect/>
                    <a:stretch>
                      <a:fillRect/>
                    </a:stretch>
                  </pic:blipFill>
                  <pic:spPr bwMode="auto">
                    <a:xfrm>
                      <a:off x="0" y="0"/>
                      <a:ext cx="5981700" cy="5937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-869315</wp:posOffset>
            </wp:positionV>
            <wp:extent cx="5981700" cy="889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a:extLst>
                        <a:ext uri="{28A0092B-C50C-407E-A947-70E740481C1C}"/>
                      </a:extLst>
                    </a:blip>
                    <a:srcRect/>
                    <a:stretch>
                      <a:fillRect/>
                    </a:stretch>
                  </pic:blipFill>
                  <pic:spPr bwMode="auto">
                    <a:xfrm>
                      <a:off x="0" y="0"/>
                      <a:ext cx="5981700" cy="8890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Customer Concentration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Our most significant accounts receivable balances relate to our linear distribution agreements with large multichannel video providers. As of December 31, 2025 and 2024, our ten largest multichannel video provider customers accounted for approximately 56% and 55% of our total accounts receivable, respectively. For each of the periods presented, revenues from arrangements with Comcast totaled between 10% and 11% of our total revenue. Refer to Note 11 for revenue and accounts receivable information related to distribution and other arrangements with Comcast. In addition, for the year ended December 2025, revenue from one other customer represented 11% of our total revenue.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360"/>
          </w:cols>
          <w:pgMar w:left="1440" w:top="1378" w:right="144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Note 4. Costs of Revenue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0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Programming and production</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2,446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2,724</w:t>
            </w:r>
          </w:p>
        </w:tc>
        <w:tc>
          <w:tcPr>
            <w:tcW w:w="0" w:type="dxa"/>
            <w:vAlign w:val="bottom"/>
          </w:tcPr>
          <w:p>
            <w:pPr>
              <w:spacing w:after="0"/>
              <w:rPr>
                <w:sz w:val="1"/>
                <w:szCs w:val="1"/>
                <w:color w:val="auto"/>
              </w:rPr>
            </w:pPr>
          </w:p>
        </w:tc>
      </w:tr>
      <w:tr>
        <w:trPr>
          <w:trHeight w:val="288"/>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491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w:t>
            </w:r>
          </w:p>
        </w:tc>
        <w:tc>
          <w:tcPr>
            <w:tcW w:w="0" w:type="dxa"/>
            <w:vAlign w:val="bottom"/>
          </w:tcPr>
          <w:p>
            <w:pPr>
              <w:spacing w:after="0"/>
              <w:rPr>
                <w:sz w:val="1"/>
                <w:szCs w:val="1"/>
                <w:color w:val="auto"/>
              </w:rPr>
            </w:pPr>
          </w:p>
        </w:tc>
      </w:tr>
      <w:tr>
        <w:trPr>
          <w:trHeight w:val="245"/>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costs of revenue</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b w:val="1"/>
                <w:bCs w:val="1"/>
                <w:color w:val="auto"/>
              </w:rPr>
              <w:t>2,937</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3,064</w:t>
            </w:r>
          </w:p>
        </w:tc>
        <w:tc>
          <w:tcPr>
            <w:tcW w:w="60" w:type="dxa"/>
            <w:vAlign w:val="bottom"/>
          </w:tcPr>
          <w:p>
            <w:pPr>
              <w:spacing w:after="0"/>
              <w:rPr>
                <w:sz w:val="21"/>
                <w:szCs w:val="21"/>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3,154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Programming and Production Costs</w:t>
            </w: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4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6"/>
          </w:tcPr>
          <w:p>
            <w:pPr>
              <w:jc w:val="center"/>
              <w:ind w:left="50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5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Licensed, including sports rights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1,531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w:t>
            </w:r>
          </w:p>
        </w:tc>
        <w:tc>
          <w:tcPr>
            <w:tcW w:w="0" w:type="dxa"/>
            <w:vAlign w:val="bottom"/>
          </w:tcPr>
          <w:p>
            <w:pPr>
              <w:spacing w:after="0"/>
              <w:rPr>
                <w:sz w:val="1"/>
                <w:szCs w:val="1"/>
                <w:color w:val="auto"/>
              </w:rPr>
            </w:pPr>
          </w:p>
        </w:tc>
      </w:tr>
      <w:tr>
        <w:trPr>
          <w:trHeight w:val="288"/>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Owned</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915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0" w:type="dxa"/>
            <w:vAlign w:val="bottom"/>
          </w:tcPr>
          <w:p>
            <w:pPr>
              <w:spacing w:after="0"/>
              <w:rPr>
                <w:sz w:val="1"/>
                <w:szCs w:val="1"/>
                <w:color w:val="auto"/>
              </w:rPr>
            </w:pPr>
          </w:p>
        </w:tc>
      </w:tr>
      <w:tr>
        <w:trPr>
          <w:trHeight w:val="245"/>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programming and production costs</w:t>
            </w: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b w:val="1"/>
                <w:bCs w:val="1"/>
                <w:color w:val="auto"/>
              </w:rPr>
              <w:t>2,446</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2,606</w:t>
            </w:r>
          </w:p>
        </w:tc>
        <w:tc>
          <w:tcPr>
            <w:tcW w:w="60" w:type="dxa"/>
            <w:vAlign w:val="bottom"/>
          </w:tcPr>
          <w:p>
            <w:pPr>
              <w:spacing w:after="0"/>
              <w:rPr>
                <w:sz w:val="21"/>
                <w:szCs w:val="21"/>
                <w:color w:val="auto"/>
              </w:rPr>
            </w:pPr>
          </w:p>
        </w:tc>
        <w:tc>
          <w:tcPr>
            <w:tcW w:w="3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2,724</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-1900555</wp:posOffset>
            </wp:positionV>
            <wp:extent cx="5981700" cy="593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a:extLst>
                        <a:ext uri="{28A0092B-C50C-407E-A947-70E740481C1C}"/>
                      </a:extLst>
                    </a:blip>
                    <a:srcRect/>
                    <a:stretch>
                      <a:fillRect/>
                    </a:stretch>
                  </pic:blipFill>
                  <pic:spPr bwMode="auto">
                    <a:xfrm>
                      <a:off x="0" y="0"/>
                      <a:ext cx="5981700" cy="5937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pacing w:after="0" w:line="10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In 2025 and 2024, we recorded reductions of programming and production costs related to production tax incentives of $10 million and $58 million, respectively, along with corresponding noncurrent receivables.</w:t>
      </w:r>
    </w:p>
    <w:p>
      <w:pPr>
        <w:sectPr>
          <w:pgSz w:w="12240" w:h="15840" w:orient="portrait"/>
          <w:cols w:equalWidth="0" w:num="1">
            <w:col w:w="9360"/>
          </w:cols>
          <w:pgMar w:left="1440" w:top="1371" w:right="1440" w:bottom="0" w:gutter="0" w:footer="0" w:header="0"/>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Capitalized Content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526415</wp:posOffset>
            </wp:positionV>
            <wp:extent cx="5981700" cy="1136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extLst>
                    </a:blip>
                    <a:srcRect/>
                    <a:stretch>
                      <a:fillRect/>
                    </a:stretch>
                  </pic:blipFill>
                  <pic:spPr bwMode="auto">
                    <a:xfrm>
                      <a:off x="0" y="0"/>
                      <a:ext cx="5981700" cy="113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Licensed, including sports advances</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Owned:</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 production and in development</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Released, less amortization</w:t>
      </w:r>
    </w:p>
    <w:p>
      <w:pPr>
        <w:spacing w:after="0" w:line="3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Content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26670</wp:posOffset>
                </wp:positionV>
                <wp:extent cx="169545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95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pt" to="133pt,2.1pt" o:allowincell="f" strokecolor="#000000" strokeweight="1pt"/>
            </w:pict>
          </mc:Fallback>
        </mc:AlternateConten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4"/>
        </w:trPr>
        <w:tc>
          <w:tcPr>
            <w:tcW w:w="3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60" w:type="dxa"/>
            <w:vAlign w:val="bottom"/>
          </w:tcPr>
          <w:p>
            <w:pPr>
              <w:spacing w:after="0"/>
              <w:rPr>
                <w:sz w:val="18"/>
                <w:szCs w:val="18"/>
                <w:color w:val="auto"/>
              </w:rPr>
            </w:pPr>
          </w:p>
        </w:tc>
      </w:tr>
      <w:tr>
        <w:trPr>
          <w:trHeight w:val="288"/>
        </w:trPr>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w:t>
            </w:r>
          </w:p>
        </w:tc>
      </w:tr>
      <w:tr>
        <w:trPr>
          <w:trHeight w:val="570"/>
        </w:trPr>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288"/>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65"/>
        </w:trPr>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45"/>
        </w:trPr>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539</w:t>
            </w:r>
          </w:p>
        </w:tc>
        <w:tc>
          <w:tcPr>
            <w:tcW w:w="5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639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2240" w:h="15840" w:orient="portrait"/>
          <w:cols w:equalWidth="0" w:num="2">
            <w:col w:w="5980" w:space="720"/>
            <w:col w:w="2660"/>
          </w:cols>
          <w:pgMar w:left="1440" w:top="1371" w:right="1440" w:bottom="0" w:gutter="0" w:footer="0" w:header="0"/>
          <w:type w:val="continuous"/>
        </w:sectPr>
      </w:pPr>
    </w:p>
    <w:p>
      <w:pPr>
        <w:spacing w:after="0" w:line="275" w:lineRule="auto"/>
        <w:rPr>
          <w:sz w:val="20"/>
          <w:szCs w:val="20"/>
          <w:color w:val="auto"/>
        </w:rPr>
      </w:pPr>
      <w:r>
        <w:rPr>
          <w:rFonts w:ascii="Times New Roman" w:cs="Times New Roman" w:eastAsia="Times New Roman" w:hAnsi="Times New Roman"/>
          <w:sz w:val="20"/>
          <w:szCs w:val="20"/>
          <w:color w:val="auto"/>
        </w:rPr>
        <w:t>The table below summarizes estimated future amortization expense for the next three years for capitalized content costs recorded in our combined balance sheets as of December 31, 2025.</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Licensed</w:t>
            </w: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Owned</w:t>
            </w:r>
          </w:p>
        </w:tc>
      </w:tr>
      <w:tr>
        <w:trPr>
          <w:trHeight w:val="214"/>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r>
      <w:tr>
        <w:trPr>
          <w:trHeight w:val="288"/>
        </w:trPr>
        <w:tc>
          <w:tcPr>
            <w:tcW w:w="6640" w:type="dxa"/>
            <w:vAlign w:val="bottom"/>
          </w:tcPr>
          <w:p>
            <w:pPr>
              <w:jc w:val="right"/>
              <w:ind w:right="6140"/>
              <w:spacing w:after="0"/>
              <w:rPr>
                <w:sz w:val="20"/>
                <w:szCs w:val="20"/>
                <w:color w:val="auto"/>
              </w:rPr>
            </w:pPr>
            <w:r>
              <w:rPr>
                <w:rFonts w:ascii="Times New Roman" w:cs="Times New Roman" w:eastAsia="Times New Roman" w:hAnsi="Times New Roman"/>
                <w:sz w:val="20"/>
                <w:szCs w:val="20"/>
                <w:color w:val="auto"/>
                <w:w w:val="94"/>
              </w:rPr>
              <w:t>2026</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85"/>
        </w:trPr>
        <w:tc>
          <w:tcPr>
            <w:tcW w:w="6640" w:type="dxa"/>
            <w:vAlign w:val="bottom"/>
          </w:tcPr>
          <w:p>
            <w:pPr>
              <w:jc w:val="right"/>
              <w:ind w:right="6140"/>
              <w:spacing w:after="0"/>
              <w:rPr>
                <w:sz w:val="20"/>
                <w:szCs w:val="20"/>
                <w:color w:val="auto"/>
              </w:rPr>
            </w:pPr>
            <w:r>
              <w:rPr>
                <w:rFonts w:ascii="Times New Roman" w:cs="Times New Roman" w:eastAsia="Times New Roman" w:hAnsi="Times New Roman"/>
                <w:sz w:val="20"/>
                <w:szCs w:val="20"/>
                <w:color w:val="auto"/>
                <w:w w:val="94"/>
              </w:rPr>
              <w:t>2027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85"/>
        </w:trPr>
        <w:tc>
          <w:tcPr>
            <w:tcW w:w="6640" w:type="dxa"/>
            <w:vAlign w:val="bottom"/>
          </w:tcPr>
          <w:p>
            <w:pPr>
              <w:jc w:val="right"/>
              <w:ind w:right="6140"/>
              <w:spacing w:after="0"/>
              <w:rPr>
                <w:sz w:val="20"/>
                <w:szCs w:val="20"/>
                <w:color w:val="auto"/>
              </w:rPr>
            </w:pPr>
            <w:r>
              <w:rPr>
                <w:rFonts w:ascii="Times New Roman" w:cs="Times New Roman" w:eastAsia="Times New Roman" w:hAnsi="Times New Roman"/>
                <w:sz w:val="20"/>
                <w:szCs w:val="20"/>
                <w:color w:val="auto"/>
                <w:w w:val="94"/>
              </w:rPr>
              <w:t>2028</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-546735</wp:posOffset>
            </wp:positionV>
            <wp:extent cx="5969000" cy="568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5969000" cy="568325"/>
                    </a:xfrm>
                    <a:prstGeom prst="rect">
                      <a:avLst/>
                    </a:prstGeom>
                    <a:noFill/>
                  </pic:spPr>
                </pic:pic>
              </a:graphicData>
            </a:graphic>
          </wp:anchor>
        </w:drawing>
      </w:r>
    </w:p>
    <w:p>
      <w:pPr>
        <w:spacing w:after="0" w:line="1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We have future minimum commitments for licensed content that are not recognized in our combined balance sheets as of December 31, 2025 totaling $110 million.</w:t>
      </w:r>
    </w:p>
    <w:p>
      <w:pPr>
        <w:sectPr>
          <w:pgSz w:w="12240" w:h="15840" w:orient="portrait"/>
          <w:cols w:equalWidth="0" w:num="1">
            <w:col w:w="9360"/>
          </w:cols>
          <w:pgMar w:left="1440" w:top="137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360"/>
          </w:cols>
          <w:pgMar w:left="1440" w:top="1371" w:right="144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i w:val="1"/>
          <w:iCs w:val="1"/>
          <w:color w:val="auto"/>
        </w:rPr>
        <w:t>Capitalization and Recognition of Content Costs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Sports Rights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Costs of Revenue</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Investments</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investments are accounted for as nonmarketable equity securities. During the year ended December 31, 2025, we recorded an unrealized impairment loss of $40 million for one of our investments. The estimated fair value of $94 million was determined based on an analysis that leveraged multiples of earnings from comparable public companies, which are Level 2 inputs. The cumulative amount of downward adjustments to our nonmarketable equity securities totaled $102 million for investments that continue to be held as of December 31, 2025.</w:t>
      </w:r>
    </w:p>
    <w:p>
      <w:pPr>
        <w:sectPr>
          <w:pgSz w:w="12240" w:h="15840" w:orient="portrait"/>
          <w:cols w:equalWidth="0" w:num="1">
            <w:col w:w="9360"/>
          </w:cols>
          <w:pgMar w:left="1440" w:top="137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360"/>
          </w:cols>
          <w:pgMar w:left="1440" w:top="1374" w:right="1440" w:bottom="0" w:gutter="0" w:footer="0" w:header="0"/>
          <w:type w:val="continuous"/>
        </w:sectPr>
      </w:pPr>
    </w:p>
    <w:bookmarkStart w:id="63" w:name="page64"/>
    <w:bookmarkEnd w:id="63"/>
    <w:p>
      <w:pPr>
        <w:jc w:val="both"/>
        <w:spacing w:after="0" w:line="252" w:lineRule="auto"/>
        <w:rPr>
          <w:sz w:val="20"/>
          <w:szCs w:val="20"/>
          <w:color w:val="auto"/>
        </w:rPr>
      </w:pPr>
      <w:r>
        <w:rPr>
          <w:rFonts w:ascii="Times New Roman" w:cs="Times New Roman" w:eastAsia="Times New Roman" w:hAnsi="Times New Roman"/>
          <w:sz w:val="20"/>
          <w:szCs w:val="20"/>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 fair value of the investment, then the fair value is not estimated. We record the changes in value from observable events and impairments to investment and other income (loss), net.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Property and Equipment</w:t>
      </w:r>
    </w:p>
    <w:p>
      <w:pPr>
        <w:spacing w:after="0" w:line="31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Original Useful Lives</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47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vMerge w:val="restart"/>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vMerge w:val="restart"/>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 of December 31, 2025</w:t>
            </w: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Machinery, equipment and technology</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rPr>
              <w:t>3-8 years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w:t>
            </w:r>
          </w:p>
        </w:tc>
        <w:tc>
          <w:tcPr>
            <w:tcW w:w="52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0" w:type="dxa"/>
            <w:vAlign w:val="bottom"/>
          </w:tcPr>
          <w:p>
            <w:pPr>
              <w:spacing w:after="0"/>
              <w:rPr>
                <w:sz w:val="1"/>
                <w:szCs w:val="1"/>
                <w:color w:val="auto"/>
              </w:rPr>
            </w:pPr>
          </w:p>
        </w:tc>
      </w:tr>
      <w:tr>
        <w:trPr>
          <w:trHeight w:val="285"/>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Buildings and leasehold improvements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7"/>
              </w:rPr>
              <w:t>4-40 years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85"/>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process</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N/A</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88"/>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1860" w:type="dxa"/>
            <w:vAlign w:val="bottom"/>
            <w:gridSpan w:val="2"/>
          </w:tcPr>
          <w:p>
            <w:pPr>
              <w:jc w:val="center"/>
              <w:ind w:right="40"/>
              <w:spacing w:after="0"/>
              <w:rPr>
                <w:sz w:val="20"/>
                <w:szCs w:val="20"/>
                <w:color w:val="auto"/>
              </w:rPr>
            </w:pPr>
            <w:r>
              <w:rPr>
                <w:rFonts w:ascii="Times New Roman" w:cs="Times New Roman" w:eastAsia="Times New Roman" w:hAnsi="Times New Roman"/>
                <w:sz w:val="20"/>
                <w:szCs w:val="20"/>
                <w:color w:val="auto"/>
                <w:w w:val="98"/>
              </w:rPr>
              <w:t>N/A</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2"/>
        </w:trPr>
        <w:tc>
          <w:tcPr>
            <w:tcW w:w="4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Property and equipment, at cost</w:t>
            </w:r>
          </w:p>
        </w:tc>
        <w:tc>
          <w:tcPr>
            <w:tcW w:w="1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0" w:type="dxa"/>
            <w:vAlign w:val="bottom"/>
          </w:tcPr>
          <w:p>
            <w:pPr>
              <w:spacing w:after="0"/>
              <w:rPr>
                <w:sz w:val="1"/>
                <w:szCs w:val="1"/>
                <w:color w:val="auto"/>
              </w:rPr>
            </w:pPr>
          </w:p>
        </w:tc>
      </w:tr>
      <w:tr>
        <w:trPr>
          <w:trHeight w:val="288"/>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(615)</w:t>
            </w: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0" w:type="dxa"/>
            <w:vAlign w:val="bottom"/>
          </w:tcPr>
          <w:p>
            <w:pPr>
              <w:spacing w:after="0"/>
              <w:rPr>
                <w:sz w:val="1"/>
                <w:szCs w:val="1"/>
                <w:color w:val="auto"/>
              </w:rPr>
            </w:pPr>
          </w:p>
        </w:tc>
      </w:tr>
      <w:tr>
        <w:trPr>
          <w:trHeight w:val="245"/>
        </w:trPr>
        <w:tc>
          <w:tcPr>
            <w:tcW w:w="47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423</w:t>
            </w:r>
          </w:p>
        </w:tc>
        <w:tc>
          <w:tcPr>
            <w:tcW w:w="5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143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-1297940</wp:posOffset>
            </wp:positionV>
            <wp:extent cx="5981700" cy="1317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5981700" cy="1317625"/>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Depreciation expense relating to property and equipment was $67 million, $63 million and $67 million for the years ended December 31, 2025, 2024 and 2023, respectively.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360"/>
          </w:cols>
          <w:pgMar w:left="1440" w:top="1378" w:right="144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Note 7. Goodwill and Intangible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changes in the carrying value of our goodwill were as follows: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gridSpan w:val="4"/>
          </w:tcPr>
          <w:p>
            <w:pPr>
              <w:jc w:val="right"/>
              <w:ind w:right="1542"/>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5"/>
        </w:trPr>
        <w:tc>
          <w:tcPr>
            <w:tcW w:w="5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8"/>
        </w:trPr>
        <w:tc>
          <w:tcPr>
            <w:tcW w:w="5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w:t>
            </w:r>
          </w:p>
        </w:tc>
        <w:tc>
          <w:tcPr>
            <w:tcW w:w="60" w:type="dxa"/>
            <w:vAlign w:val="bottom"/>
          </w:tcPr>
          <w:p>
            <w:pPr>
              <w:spacing w:after="0"/>
              <w:rPr>
                <w:sz w:val="20"/>
                <w:szCs w:val="20"/>
                <w:color w:val="auto"/>
              </w:rPr>
            </w:pPr>
          </w:p>
        </w:tc>
        <w:tc>
          <w:tcPr>
            <w:tcW w:w="2240" w:type="dxa"/>
            <w:vAlign w:val="bottom"/>
            <w:gridSpan w:val="2"/>
          </w:tcPr>
          <w:p>
            <w:pPr>
              <w:jc w:val="right"/>
              <w:ind w:right="1542"/>
              <w:spacing w:after="0"/>
              <w:rPr>
                <w:sz w:val="20"/>
                <w:szCs w:val="20"/>
                <w:color w:val="auto"/>
              </w:rPr>
            </w:pPr>
            <w:r>
              <w:rPr>
                <w:rFonts w:ascii="Times New Roman" w:cs="Times New Roman" w:eastAsia="Times New Roman" w:hAnsi="Times New Roman"/>
                <w:sz w:val="18"/>
                <w:szCs w:val="18"/>
                <w:b w:val="1"/>
                <w:bCs w:val="1"/>
                <w:color w:val="auto"/>
                <w:w w:val="86"/>
              </w:rPr>
              <w:t>millions)</w:t>
            </w:r>
          </w:p>
        </w:tc>
      </w:tr>
      <w:tr>
        <w:trPr>
          <w:trHeight w:val="279"/>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Opening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7,732</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7,732</w:t>
            </w:r>
          </w:p>
        </w:tc>
      </w:tr>
      <w:tr>
        <w:trPr>
          <w:trHeight w:val="285"/>
        </w:trPr>
        <w:tc>
          <w:tcPr>
            <w:tcW w:w="5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Acquisition</w:t>
            </w:r>
          </w:p>
        </w:tc>
        <w:tc>
          <w:tcPr>
            <w:tcW w:w="1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8"/>
        </w:trPr>
        <w:tc>
          <w:tcPr>
            <w:tcW w:w="51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Assets held for sale</w:t>
            </w: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45"/>
        </w:trPr>
        <w:tc>
          <w:tcPr>
            <w:tcW w:w="510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7,611</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7,732</w:t>
            </w:r>
          </w:p>
        </w:tc>
      </w:tr>
      <w:tr>
        <w:trPr>
          <w:trHeight w:val="20"/>
        </w:trPr>
        <w:tc>
          <w:tcPr>
            <w:tcW w:w="5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5981700" cy="774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5981700" cy="774700"/>
                    </a:xfrm>
                    <a:prstGeom prst="rect">
                      <a:avLst/>
                    </a:prstGeom>
                    <a:noFill/>
                  </pic:spPr>
                </pic:pic>
              </a:graphicData>
            </a:graphic>
          </wp:anchor>
        </w:drawing>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Following the 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3"/>
                <w:szCs w:val="13"/>
                <w:color w:val="auto"/>
              </w:rPr>
            </w:pPr>
          </w:p>
        </w:tc>
        <w:tc>
          <w:tcPr>
            <w:tcW w:w="1260" w:type="dxa"/>
            <w:vAlign w:val="bottom"/>
            <w:gridSpan w:val="2"/>
          </w:tcPr>
          <w:p>
            <w:pPr>
              <w:jc w:val="center"/>
              <w:ind w:right="60"/>
              <w:spacing w:after="0" w:line="161"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2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2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3"/>
                <w:szCs w:val="13"/>
                <w:color w:val="auto"/>
              </w:rPr>
            </w:pPr>
          </w:p>
        </w:tc>
        <w:tc>
          <w:tcPr>
            <w:tcW w:w="1000" w:type="dxa"/>
            <w:vAlign w:val="bottom"/>
            <w:vMerge w:val="restart"/>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2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2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60"/>
        </w:trPr>
        <w:tc>
          <w:tcPr>
            <w:tcW w:w="3060" w:type="dxa"/>
            <w:vAlign w:val="bottom"/>
          </w:tcPr>
          <w:p>
            <w:pPr>
              <w:spacing w:after="0"/>
              <w:rPr>
                <w:sz w:val="13"/>
                <w:szCs w:val="13"/>
                <w:color w:val="auto"/>
              </w:rPr>
            </w:pPr>
          </w:p>
        </w:tc>
        <w:tc>
          <w:tcPr>
            <w:tcW w:w="12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as of December</w:t>
            </w:r>
          </w:p>
        </w:tc>
        <w:tc>
          <w:tcPr>
            <w:tcW w:w="200" w:type="dxa"/>
            <w:vAlign w:val="bottom"/>
          </w:tcPr>
          <w:p>
            <w:pPr>
              <w:spacing w:after="0"/>
              <w:rPr>
                <w:sz w:val="13"/>
                <w:szCs w:val="13"/>
                <w:color w:val="auto"/>
              </w:rPr>
            </w:pPr>
          </w:p>
        </w:tc>
        <w:tc>
          <w:tcPr>
            <w:tcW w:w="1000" w:type="dxa"/>
            <w:vAlign w:val="bottom"/>
          </w:tcPr>
          <w:p>
            <w:pPr>
              <w:jc w:val="center"/>
              <w:ind w:right="111"/>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center"/>
              <w:ind w:right="131"/>
              <w:spacing w:after="0" w:line="160"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31, 2025</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11"/>
              <w:spacing w:after="0" w:line="214" w:lineRule="exact"/>
              <w:rPr>
                <w:sz w:val="20"/>
                <w:szCs w:val="20"/>
                <w:color w:val="auto"/>
              </w:rPr>
            </w:pPr>
            <w:r>
              <w:rPr>
                <w:rFonts w:ascii="Times New Roman" w:cs="Times New Roman" w:eastAsia="Times New Roman" w:hAnsi="Times New Roman"/>
                <w:sz w:val="16"/>
                <w:szCs w:val="16"/>
                <w:b w:val="1"/>
                <w:bCs w:val="1"/>
                <w:color w:val="auto"/>
                <w:w w:val="95"/>
              </w:rPr>
              <w:t xml:space="preserve">Amount </w:t>
            </w:r>
            <w:r>
              <w:rPr>
                <w:rFonts w:ascii="Times New Roman" w:cs="Times New Roman" w:eastAsia="Times New Roman" w:hAnsi="Times New Roman"/>
                <w:sz w:val="20"/>
                <w:szCs w:val="20"/>
                <w:b w:val="1"/>
                <w:bCs w:val="1"/>
                <w:color w:val="auto"/>
                <w:w w:val="95"/>
                <w:vertAlign w:val="superscript"/>
              </w:rPr>
              <w:t>(1)</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6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4"/>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3060" w:type="dxa"/>
            <w:vAlign w:val="bottom"/>
          </w:tcPr>
          <w:p>
            <w:pPr>
              <w:spacing w:after="0"/>
              <w:rPr>
                <w:sz w:val="20"/>
                <w:szCs w:val="20"/>
                <w:color w:val="auto"/>
              </w:rPr>
            </w:pPr>
            <w:r>
              <w:rPr>
                <w:rFonts w:ascii="Times New Roman" w:cs="Times New Roman" w:eastAsia="Times New Roman" w:hAnsi="Times New Roman"/>
                <w:sz w:val="20"/>
                <w:szCs w:val="20"/>
                <w:color w:val="auto"/>
              </w:rPr>
              <w:t>Finite-Lived Intangible Assets:</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3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Customer relationships</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 year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9,043</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9,033</w:t>
            </w:r>
          </w:p>
        </w:tc>
        <w:tc>
          <w:tcPr>
            <w:tcW w:w="440" w:type="dxa"/>
            <w:vAlign w:val="bottom"/>
            <w:gridSpan w:val="2"/>
          </w:tcPr>
          <w:p>
            <w:pPr>
              <w:jc w:val="right"/>
              <w:ind w:right="133"/>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(7,477)</w:t>
            </w:r>
          </w:p>
        </w:tc>
        <w:tc>
          <w:tcPr>
            <w:tcW w:w="0" w:type="dxa"/>
            <w:vAlign w:val="bottom"/>
          </w:tcPr>
          <w:p>
            <w:pPr>
              <w:spacing w:after="0"/>
              <w:rPr>
                <w:sz w:val="1"/>
                <w:szCs w:val="1"/>
                <w:color w:val="auto"/>
              </w:rPr>
            </w:pPr>
          </w:p>
        </w:tc>
      </w:tr>
      <w:tr>
        <w:trPr>
          <w:trHeight w:val="288"/>
        </w:trPr>
        <w:tc>
          <w:tcPr>
            <w:tcW w:w="30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Tradenames and other</w:t>
            </w:r>
          </w:p>
        </w:tc>
        <w:tc>
          <w:tcPr>
            <w:tcW w:w="12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1 year</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w:t>
            </w:r>
          </w:p>
        </w:tc>
        <w:tc>
          <w:tcPr>
            <w:tcW w:w="0" w:type="dxa"/>
            <w:vAlign w:val="bottom"/>
          </w:tcPr>
          <w:p>
            <w:pPr>
              <w:spacing w:after="0"/>
              <w:rPr>
                <w:sz w:val="1"/>
                <w:szCs w:val="1"/>
                <w:color w:val="auto"/>
              </w:rPr>
            </w:pPr>
          </w:p>
        </w:tc>
      </w:tr>
      <w:tr>
        <w:trPr>
          <w:trHeight w:val="245"/>
        </w:trPr>
        <w:tc>
          <w:tcPr>
            <w:tcW w:w="30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9,772</w:t>
            </w:r>
          </w:p>
        </w:tc>
        <w:tc>
          <w:tcPr>
            <w:tcW w:w="60" w:type="dxa"/>
            <w:vAlign w:val="bottom"/>
          </w:tcPr>
          <w:p>
            <w:pPr>
              <w:spacing w:after="0"/>
              <w:rPr>
                <w:sz w:val="21"/>
                <w:szCs w:val="21"/>
                <w:color w:val="auto"/>
              </w:rPr>
            </w:pP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(8,848)</w:t>
            </w:r>
          </w:p>
        </w:tc>
        <w:tc>
          <w:tcPr>
            <w:tcW w:w="60" w:type="dxa"/>
            <w:vAlign w:val="bottom"/>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9,987</w:t>
            </w:r>
          </w:p>
        </w:tc>
        <w:tc>
          <w:tcPr>
            <w:tcW w:w="60" w:type="dxa"/>
            <w:vAlign w:val="bottom"/>
          </w:tcPr>
          <w:p>
            <w:pPr>
              <w:spacing w:after="0"/>
              <w:rPr>
                <w:sz w:val="21"/>
                <w:szCs w:val="21"/>
                <w:color w:val="auto"/>
              </w:rPr>
            </w:pP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(8,118)</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-755015</wp:posOffset>
            </wp:positionV>
            <wp:extent cx="5981700" cy="774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5981700" cy="774700"/>
                    </a:xfrm>
                    <a:prstGeom prst="rect">
                      <a:avLst/>
                    </a:prstGeom>
                    <a:noFill/>
                  </pic:spPr>
                </pic:pic>
              </a:graphicData>
            </a:graphic>
          </wp:anchor>
        </w:drawing>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360"/>
          </w:cols>
          <w:pgMar w:left="1440" w:top="1371" w:right="1440" w:bottom="0" w:gutter="0" w:footer="0" w:header="0"/>
          <w:type w:val="continuous"/>
        </w:sectPr>
      </w:pPr>
    </w:p>
    <w:bookmarkStart w:id="65" w:name="page66"/>
    <w:bookmarkEnd w:id="65"/>
    <w:p>
      <w:pPr>
        <w:jc w:val="both"/>
        <w:spacing w:after="0" w:line="260" w:lineRule="auto"/>
        <w:rPr>
          <w:sz w:val="20"/>
          <w:szCs w:val="20"/>
          <w:color w:val="auto"/>
        </w:rPr>
      </w:pPr>
      <w:r>
        <w:rPr>
          <w:rFonts w:ascii="Times New Roman" w:cs="Times New Roman" w:eastAsia="Times New Roman" w:hAnsi="Times New Roman"/>
          <w:sz w:val="20"/>
          <w:szCs w:val="20"/>
          <w:color w:val="auto"/>
        </w:rPr>
        <w:t>Amortization expense for intangible assets subject to amortization was $943 million, $926 million, and $924 million for the years ended December 31, 2025, 2024 and 2023, respectively. Amortization expense for the year ended December 31, 2025 includes accelerated amortization of the MSNBC trade name as a result of the rebranding of the network.</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the estimated amortization expense of our intangible assets.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2026</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7"/>
        </w:trPr>
        <w:tc>
          <w:tcPr>
            <w:tcW w:w="8000" w:type="dxa"/>
            <w:vAlign w:val="bottom"/>
            <w:vMerge w:val="continue"/>
          </w:tcPr>
          <w:p>
            <w:pPr>
              <w:spacing w:after="0"/>
              <w:rPr>
                <w:sz w:val="19"/>
                <w:szCs w:val="19"/>
                <w:color w:val="auto"/>
              </w:rPr>
            </w:pPr>
          </w:p>
        </w:tc>
        <w:tc>
          <w:tcPr>
            <w:tcW w:w="2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884</w:t>
            </w:r>
          </w:p>
        </w:tc>
        <w:tc>
          <w:tcPr>
            <w:tcW w:w="0" w:type="dxa"/>
            <w:vAlign w:val="bottom"/>
          </w:tcPr>
          <w:p>
            <w:pPr>
              <w:spacing w:after="0"/>
              <w:rPr>
                <w:sz w:val="1"/>
                <w:szCs w:val="1"/>
                <w:color w:val="auto"/>
              </w:rPr>
            </w:pPr>
          </w:p>
        </w:tc>
      </w:tr>
      <w:tr>
        <w:trPr>
          <w:trHeight w:val="25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55"/>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60"/>
        </w:trPr>
        <w:tc>
          <w:tcPr>
            <w:tcW w:w="80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-975360</wp:posOffset>
            </wp:positionV>
            <wp:extent cx="5969000" cy="996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5969000" cy="996950"/>
                    </a:xfrm>
                    <a:prstGeom prst="rect">
                      <a:avLst/>
                    </a:prstGeom>
                    <a:noFill/>
                  </pic:spPr>
                </pic:pic>
              </a:graphicData>
            </a:graphic>
          </wp:anchor>
        </w:drawing>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Debt Obligations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Senior Secured Notes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In October 2025, we completed a private offering pursuant to which we issued $1.0 billion in aggregate principal amount of 7.250% senior secured notes due January 2031 (the “Senior Notes”). Interest on the Senior Notes will be paid semi-annually, on January 30 and July 30 of each year, commencing on July 30, 2026.</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proceeds from the Senior Notes were initially placed into an escrow account due to a special mandatory redemption provision that would have required the Senior Notes to be redeemed if the Separation of Versant from Comcast had not been consummated by March 2, 2026, and were released on January 2, 2026 in connection with the consummation of the Separation. The balance in the escrow account was presented as restricted cash and cash equivalents in our combined balance sheet as of December 31, 2025.</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Senior Notes are senior in right of payment and are jointly and unconditionally guaranteed on a senior secured basis by each of our subsidiaries that is a guarantor under the Senior Credit Facilities (as defined below) and are secured, subject to permitted liens and certain other exceptions, by perfected first-priority security interests in substantially all of our and each guarantor’s tangible and intangible assets and property, now owned or hereafter acquired, subject to certain customary exceptions.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 any time prior to January 30, 2028, we may, at our option, redeem the Senior Notes, in whole or in part, at a price equal to 100% of the principal amount thereof, plus accrued and unpaid interest, if any, plus the applicable “make-whole” premium set forth in the indenture that governs the Senior Notes. At any time prior to January 30, 2028, we may redeem up to 10% of the principal amount of the Senior Notes during any twelve-month period at a redemption price equal to 103% of the principal amount thereof, plus accrued and unpaid interest, if any. We may, at our option, also redeem up to 40% of the principal amount of the Senior Notes at any time prior to January 30, 2028 in an amount equal to the net proceeds from certain equity offerings at the redemption price equal to 107.250% of the principal amount thereof plus accrued and unpaid interest, if any. We may redeem the Senior Notes, in whole or in</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360"/>
          </w:cols>
          <w:pgMar w:left="1440" w:top="1378" w:right="1440" w:bottom="0" w:gutter="0" w:footer="0" w:header="0"/>
          <w:type w:val="continuous"/>
        </w:sectPr>
      </w:pPr>
    </w:p>
    <w:bookmarkStart w:id="66" w:name="page67"/>
    <w:bookmarkEnd w:id="66"/>
    <w:p>
      <w:pPr>
        <w:jc w:val="both"/>
        <w:spacing w:after="0" w:line="255" w:lineRule="auto"/>
        <w:rPr>
          <w:sz w:val="20"/>
          <w:szCs w:val="20"/>
          <w:color w:val="auto"/>
        </w:rPr>
      </w:pPr>
      <w:r>
        <w:rPr>
          <w:rFonts w:ascii="Times New Roman" w:cs="Times New Roman" w:eastAsia="Times New Roman" w:hAnsi="Times New Roman"/>
          <w:sz w:val="20"/>
          <w:szCs w:val="20"/>
          <w:color w:val="auto"/>
        </w:rPr>
        <w:t>part, at any time on or after January 30, 2028 at the redemption prices set forth in the indenture. The Senior Notes contain customary events of default, as well as customary negative covenants that include, among other things, and subject to certain qualifications and exceptions, covenants that restrict our ability and the ability of certain of our subsidiaries to: incur or guarantee additional indebtedness; create or permit liens on assets; pay dividends on capital stock or redeem, repurchase or retire capital stock or subordinated indebtedness; make certain investments and other restricted payments; engage in mergers, acquisitions, consolidations and amalgamations; transfer and sell certain assets; and engage in transactions with affiliates.</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At December 31, 2025, the carrying value of the Senior Notes was $983 million, and the estimated fair value was approximately $1.03 billion, which is based Level 2 inputs using external market data available for debt with similar terms and maturities.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Loans and Revolving Credit Facility</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In October 2025, we entered into a credit agreement providing for a term loan of $1.0 billion due January 2031 (the “Term Loan A”) and a revolving credit facility of $750 million due January 2031 (the “Revolving Credit Facility”). The proceeds of the Term Loan A were funded on January 2, 2026 in connection with the consummation of the Separation and the Revolving Credit Facility remains undrawn. In addition, on January 2, 2026, we entered into an additional credit agreement providing for a term loan of $1.0 billion due January 2031 (the “Term Loan B” and together with Term Loan A, the “Term Loans”), with the proceeds of the Term Loan B funded on January 2, 2026.</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Term Loans and the Revolving Credit Facility (the “Senior Credit Facilities”) are secured by substantially all the assets of the Company and its material, wholly-owned U.S. subsidiaries, subject to certain exceptions. The Term Loans are denominated in U.S. dollars, and borrowings under the Revolving Credit Facility may be made available in U.S. Dollars, Euros, Pounds Sterling and Canadian Dollars.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Borrowings under the Term Loan A and the Revolving Credit Facility in U.S. Dollars bear interest at a rate per annum equal to, at our option, either (a) a term SOFR-based rate, subject to a floor of 0.00% per annum, or (b) a U.S. Dollar base rate, subject to a floor of 1.00% per annum, in each case plus an applicable margin. The applicable interest rate margins for borrowings under the Term Loan A and the Revolving Credit Facility in U.S. Dollars are initially (a) 0.75% per annum in the case of U.S. Dollar base rate borrowings and (b) 1.75% per annum in the case of SOFR borrowings. In addition, we are required to pay commitment fees of 0.25% per annum on the unutilized commitments under the Revolving Credit Facility, payable quarterly in arrears. The interest rate margins and the commitments fees may be subject to step downs based on our consolidated first lien net leverage ratio, as defined in the credit agreement governing the Term Loan A and the Revolving Credit Facility.</w:t>
      </w:r>
    </w:p>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Borrowings under the Term Loan B bear interest at a rate per annum equal to, at our option, either a term SOFR-based rate or a U.S. Dollar base rate, in each case plus an applicable margin of (a) 2.50% per annum in the case of U.S. Dollar base rate borrowings and (b) 3.50% per annum in the case of SOFR borrowings, subject to a SOFR-based rate floor of 0.00% per annum and U.S. Dollar base rate floor of 1.00% per annum.</w:t>
      </w:r>
    </w:p>
    <w:p>
      <w:pPr>
        <w:spacing w:after="0" w:line="14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amortization rate for the Term Loan A is 5.00% per annum, payable in quarterly installments beginning on September 30, 2026, with the balance being payable at maturity. The amortization rate for the Term B Loan Facility is 7.00% per annum, payable in quarterly installments beginning on September 30, 2026, with the balance being payable at maturity.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credit agreements governing the Senior Credit Facilities also require mandatory prepayments of the Term Loans under certain circumstances and subject to customary exceptions and baskets set forth in the respective credit agreements, following certain asset sales and debt incurrences. The Term Loan B credit agreement also requires prepayment based on a percentage of excess cash flows as defined in such credit agreement and subject to customary exceptions and baskets set forth therein.</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360"/>
          </w:cols>
          <w:pgMar w:left="1440" w:top="1378" w:right="1440" w:bottom="0" w:gutter="0" w:footer="0" w:header="0"/>
          <w:type w:val="continuous"/>
        </w:sectPr>
      </w:pPr>
    </w:p>
    <w:bookmarkStart w:id="67" w:name="page68"/>
    <w:bookmarkEnd w:id="67"/>
    <w:p>
      <w:pPr>
        <w:jc w:val="both"/>
        <w:spacing w:after="0" w:line="255" w:lineRule="auto"/>
        <w:rPr>
          <w:sz w:val="20"/>
          <w:szCs w:val="20"/>
          <w:color w:val="auto"/>
        </w:rPr>
      </w:pPr>
      <w:r>
        <w:rPr>
          <w:rFonts w:ascii="Times New Roman" w:cs="Times New Roman" w:eastAsia="Times New Roman" w:hAnsi="Times New Roman"/>
          <w:sz w:val="20"/>
          <w:szCs w:val="20"/>
          <w:color w:val="auto"/>
        </w:rPr>
        <w:t>We are permitted to voluntarily reduce unutilized portion of the Revolving Credit Facility and repay outstanding loans under the Term Loan A and the Revolving Credit Facility at any time without prepayment premium or penalty. We may voluntarily repay outstanding loans under Term Loan B at any time, subject to the payment of a customary make-whole premium set forth in the Term Loan B credit agreement, if such prepayment occurs prior to the first anniversary of the closing date, subject to a prepayment premium of 1% if such prepayment occurs on or after the first anniversary of the closing date and before the second anniversary of the closing date, and at par if such prepayment occurs on or after the second anniversary of the closing date.</w:t>
      </w:r>
    </w:p>
    <w:p>
      <w:pPr>
        <w:spacing w:after="0" w:line="1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credit agreements for the Senior Credit Facilities contains certain customary negative and affirmative covenants and events of default. Negative covenants restrict, among other things, subject to certain qualifications and exceptions, our ability and the ability of certain of our subsidiaries to: incur additional indebtedness; create liens; enter into agreements and other arrangements that include negative pledge clauses; pay dividends on capital stock or redeem, repurchase or retire capital stock or subordinated indebtedness; make investments, loans, advances and acquisitions; merge, amalgamate or sell assets; enter into sale and leaseback transactions; engage in transactions with affiliates; and enter into amendments of or waivers under subordinated indebtedness. If an event of default, as specified in the credit agreements, shall occur and be continuing, we may be required to repay all amounts outstanding thereunder.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Term A Loan Facility and the Revolving Credit Facility also contain a financial covenant that requires us to maintain a maximum consolidated first lien net leverage ratio, as defined in the credit agreement governing the Term Loan A and the Revolving Credit Facility, of not greater than 3.50:1.00.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Income Taxes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Before Income Taxes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center"/>
              <w:ind w:left="548"/>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60" w:type="dxa"/>
            <w:vAlign w:val="bottom"/>
            <w:tcBorders>
              <w:bottom w:val="single" w:sz="8" w:color="auto"/>
            </w:tcBorders>
          </w:tcPr>
          <w:p>
            <w:pPr>
              <w:spacing w:after="0"/>
              <w:rPr>
                <w:sz w:val="18"/>
                <w:szCs w:val="18"/>
                <w:color w:val="auto"/>
              </w:rPr>
            </w:pPr>
          </w:p>
        </w:tc>
      </w:tr>
      <w:tr>
        <w:trPr>
          <w:trHeight w:val="220"/>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9"/>
        </w:trPr>
        <w:tc>
          <w:tcPr>
            <w:tcW w:w="5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8"/>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20"/>
                <w:szCs w:val="20"/>
                <w:color w:val="auto"/>
              </w:rPr>
              <w:t>1,222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w:t>
            </w:r>
          </w:p>
        </w:tc>
      </w:tr>
      <w:tr>
        <w:trPr>
          <w:trHeight w:val="288"/>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6</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45"/>
        </w:trPr>
        <w:tc>
          <w:tcPr>
            <w:tcW w:w="5300" w:type="dxa"/>
            <w:vAlign w:val="bottom"/>
          </w:tcPr>
          <w:p>
            <w:pPr>
              <w:spacing w:after="0"/>
              <w:rPr>
                <w:sz w:val="21"/>
                <w:szCs w:val="21"/>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1,228</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4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2,069</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-574040</wp:posOffset>
            </wp:positionV>
            <wp:extent cx="5981700" cy="593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5981700" cy="593725"/>
                    </a:xfrm>
                    <a:prstGeom prst="rect">
                      <a:avLst/>
                    </a:prstGeom>
                    <a:noFill/>
                  </pic:spPr>
                </pic:pic>
              </a:graphicData>
            </a:graphic>
          </wp:anchor>
        </w:drawing>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360"/>
          </w:cols>
          <w:pgMar w:left="1440" w:top="1378" w:right="144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i w:val="1"/>
          <w:iCs w:val="1"/>
          <w:color w:val="auto"/>
        </w:rPr>
        <w:t>Components of Income Tax Expense</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564"/>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80" w:type="dxa"/>
            <w:vAlign w:val="bottom"/>
            <w:tcBorders>
              <w:bottom w:val="single" w:sz="8" w:color="auto"/>
            </w:tcBorders>
          </w:tcPr>
          <w:p>
            <w:pPr>
              <w:spacing w:after="0"/>
              <w:rPr>
                <w:sz w:val="18"/>
                <w:szCs w:val="18"/>
                <w:color w:val="auto"/>
              </w:rPr>
            </w:pPr>
          </w:p>
        </w:tc>
      </w:tr>
      <w:tr>
        <w:trPr>
          <w:trHeight w:val="220"/>
        </w:trPr>
        <w:tc>
          <w:tcPr>
            <w:tcW w:w="5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59"/>
        </w:trPr>
        <w:tc>
          <w:tcPr>
            <w:tcW w:w="5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8"/>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Current Expense (Benefit):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85"/>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334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w:t>
            </w:r>
          </w:p>
        </w:tc>
      </w:tr>
      <w:tr>
        <w:trPr>
          <w:trHeight w:val="285"/>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w:t>
            </w:r>
          </w:p>
        </w:tc>
        <w:tc>
          <w:tcPr>
            <w:tcW w:w="320" w:type="dxa"/>
            <w:vAlign w:val="bottom"/>
          </w:tcPr>
          <w:p>
            <w:pPr>
              <w:spacing w:after="0"/>
              <w:rPr>
                <w:sz w:val="24"/>
                <w:szCs w:val="24"/>
                <w:color w:val="auto"/>
              </w:rPr>
            </w:pP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102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w:t>
            </w:r>
          </w:p>
        </w:tc>
      </w:tr>
      <w:tr>
        <w:trPr>
          <w:trHeight w:val="288"/>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65"/>
        </w:trPr>
        <w:tc>
          <w:tcPr>
            <w:tcW w:w="5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436</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w:t>
            </w:r>
          </w:p>
        </w:tc>
      </w:tr>
      <w:tr>
        <w:trPr>
          <w:trHeight w:val="262"/>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Deferred Expense (Benefit):</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5"/>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Federal</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85"/>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State</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88"/>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5"/>
        </w:trPr>
        <w:tc>
          <w:tcPr>
            <w:tcW w:w="52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297</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-2021840</wp:posOffset>
            </wp:positionV>
            <wp:extent cx="5981700" cy="2041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5981700" cy="2041525"/>
                    </a:xfrm>
                    <a:prstGeom prst="rect">
                      <a:avLst/>
                    </a:prstGeom>
                    <a:noFill/>
                  </pic:spPr>
                </pic:pic>
              </a:graphicData>
            </a:graphic>
          </wp:anchor>
        </w:drawing>
      </w:r>
    </w:p>
    <w:p>
      <w:pPr>
        <w:spacing w:after="0" w:line="16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income tax expense (benefit) differs from the federal statutory amount because of the effect of the items detailed in the table below.</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65"/>
        </w:trPr>
        <w:tc>
          <w:tcPr>
            <w:tcW w:w="37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20" w:type="dxa"/>
            <w:vAlign w:val="bottom"/>
            <w:tcBorders>
              <w:bottom w:val="single" w:sz="8" w:color="auto"/>
            </w:tcBorders>
          </w:tcPr>
          <w:p>
            <w:pPr>
              <w:spacing w:after="0"/>
              <w:rPr>
                <w:sz w:val="23"/>
                <w:szCs w:val="23"/>
                <w:color w:val="auto"/>
              </w:rPr>
            </w:pPr>
          </w:p>
        </w:tc>
      </w:tr>
      <w:tr>
        <w:trPr>
          <w:trHeight w:val="265"/>
        </w:trPr>
        <w:tc>
          <w:tcPr>
            <w:tcW w:w="37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59"/>
        </w:trPr>
        <w:tc>
          <w:tcPr>
            <w:tcW w:w="3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3"/>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88"/>
        </w:trPr>
        <w:tc>
          <w:tcPr>
            <w:tcW w:w="3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Federal tax at statutory rate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258</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387</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435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21.0 %</w:t>
            </w:r>
          </w:p>
        </w:tc>
      </w:tr>
      <w:tr>
        <w:trPr>
          <w:trHeight w:val="31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State income taxes, net of federal benefit </w:t>
            </w:r>
            <w:r>
              <w:rPr>
                <w:rFonts w:ascii="Times New Roman" w:cs="Times New Roman" w:eastAsia="Times New Roman" w:hAnsi="Times New Roman"/>
                <w:sz w:val="26"/>
                <w:szCs w:val="26"/>
                <w:color w:val="auto"/>
                <w:vertAlign w:val="superscript"/>
              </w:rPr>
              <w:t>(a)</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4.7 %</w:t>
            </w:r>
          </w:p>
        </w:tc>
      </w:tr>
      <w:tr>
        <w:trPr>
          <w:trHeight w:val="260"/>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w:t>
            </w:r>
          </w:p>
        </w:tc>
      </w:tr>
      <w:tr>
        <w:trPr>
          <w:trHeight w:val="288"/>
        </w:trPr>
        <w:tc>
          <w:tcPr>
            <w:tcW w:w="376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0.3 %</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 %</w:t>
            </w:r>
          </w:p>
        </w:tc>
      </w:tr>
      <w:tr>
        <w:trPr>
          <w:trHeight w:val="245"/>
        </w:trPr>
        <w:tc>
          <w:tcPr>
            <w:tcW w:w="3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Effective tax rate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297</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24.2 %</w:t>
            </w:r>
          </w:p>
        </w:tc>
        <w:tc>
          <w:tcPr>
            <w:tcW w:w="60" w:type="dxa"/>
            <w:vAlign w:val="bottom"/>
          </w:tcPr>
          <w:p>
            <w:pPr>
              <w:spacing w:after="0"/>
              <w:rPr>
                <w:sz w:val="21"/>
                <w:szCs w:val="21"/>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478</w:t>
            </w: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26.0 %</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530</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25.6 %</w:t>
            </w: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-935990</wp:posOffset>
            </wp:positionV>
            <wp:extent cx="5969000" cy="955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5969000" cy="955675"/>
                    </a:xfrm>
                    <a:prstGeom prst="rect">
                      <a:avLst/>
                    </a:prstGeom>
                    <a:noFill/>
                  </pic:spPr>
                </pic:pic>
              </a:graphicData>
            </a:graphic>
          </wp:anchor>
        </w:drawing>
      </w:r>
    </w:p>
    <w:p>
      <w:pPr>
        <w:spacing w:after="0" w:line="168" w:lineRule="exact"/>
        <w:rPr>
          <w:sz w:val="20"/>
          <w:szCs w:val="20"/>
          <w:color w:val="auto"/>
        </w:rPr>
      </w:pPr>
    </w:p>
    <w:p>
      <w:pPr>
        <w:ind w:left="280" w:hanging="280"/>
        <w:spacing w:after="0" w:line="226" w:lineRule="auto"/>
        <w:tabs>
          <w:tab w:leader="none" w:pos="289" w:val="left"/>
        </w:tabs>
        <w:numPr>
          <w:ilvl w:val="0"/>
          <w:numId w:val="2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majority of the tax effect in this category was attributable to state taxes in California, New York, Florida, Illinois, New Jersey, Pennsylvania, and Michigan for each of the years presented.</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 statements of income. Current income tax expense has been offset by a corresponding change in net Comcast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360"/>
          </w:cols>
          <w:pgMar w:left="1440" w:top="1369" w:right="144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Legislation</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July 4, 2025, the U.S. H.R.1. legislation (“H.R.1.”) was enacted in the United States and provides, among other things, for immediate deduction of 100% of the costs of qualified property, including significant portions of our capital expenditures and film and television production costs, acquired and placed into service after January 19, 2025, compared to the 40% and 20% deductions that would have applied in 2025 and 2026, respectively, under prior law. H.R.1 also reinstates the immediate deduction of domestic research and development expenses, retroactive to 2022, repealing the prior requirement to capitalize and amortize such costs over five years. H.R.1 resulted in a reduction in our income tax obligation in net Comcast investment of approximately $15 million and a corresponding increase in our deferred tax liability. There is no material impact on our income tax expense or effective tax rate.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Components of Net Deferred Tax Liability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 Tax Assets: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operating loss and other loss carryforwards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85"/>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Investments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85"/>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Nondeductible accruals and other</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88"/>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Less: Valuation allowance</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0" w:type="dxa"/>
            <w:vAlign w:val="bottom"/>
          </w:tcPr>
          <w:p>
            <w:pPr>
              <w:spacing w:after="0"/>
              <w:rPr>
                <w:sz w:val="1"/>
                <w:szCs w:val="1"/>
                <w:color w:val="auto"/>
              </w:rPr>
            </w:pPr>
          </w:p>
        </w:tc>
      </w:tr>
      <w:tr>
        <w:trPr>
          <w:trHeight w:val="265"/>
        </w:trPr>
        <w:tc>
          <w:tcPr>
            <w:tcW w:w="5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62"/>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Deferred Tax Liabilities:</w:t>
            </w: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 and equipment</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88"/>
        </w:trPr>
        <w:tc>
          <w:tcPr>
            <w:tcW w:w="54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Intangible assets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w:t>
            </w:r>
          </w:p>
        </w:tc>
        <w:tc>
          <w:tcPr>
            <w:tcW w:w="0" w:type="dxa"/>
            <w:vAlign w:val="bottom"/>
          </w:tcPr>
          <w:p>
            <w:pPr>
              <w:spacing w:after="0"/>
              <w:rPr>
                <w:sz w:val="1"/>
                <w:szCs w:val="1"/>
                <w:color w:val="auto"/>
              </w:rPr>
            </w:pPr>
          </w:p>
        </w:tc>
      </w:tr>
      <w:tr>
        <w:trPr>
          <w:trHeight w:val="265"/>
        </w:trPr>
        <w:tc>
          <w:tcPr>
            <w:tcW w:w="54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0" w:type="dxa"/>
            <w:vAlign w:val="bottom"/>
          </w:tcPr>
          <w:p>
            <w:pPr>
              <w:spacing w:after="0"/>
              <w:rPr>
                <w:sz w:val="1"/>
                <w:szCs w:val="1"/>
                <w:color w:val="auto"/>
              </w:rPr>
            </w:pPr>
          </w:p>
        </w:tc>
      </w:tr>
      <w:tr>
        <w:trPr>
          <w:trHeight w:val="245"/>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 deferred tax liability</w:t>
            </w: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52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our Valuation Allowance for Deferred Tax Assets</w:t>
            </w: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4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54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59"/>
        </w:trPr>
        <w:tc>
          <w:tcPr>
            <w:tcW w:w="5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106"/>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Beginning balance</w:t>
            </w:r>
          </w:p>
        </w:tc>
        <w:tc>
          <w:tcPr>
            <w:tcW w:w="860" w:type="dxa"/>
            <w:vAlign w:val="bottom"/>
          </w:tcPr>
          <w:p>
            <w:pPr>
              <w:jc w:val="right"/>
              <w:ind w:right="627"/>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520" w:type="dxa"/>
            <w:vAlign w:val="bottom"/>
            <w:gridSpan w:val="4"/>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85"/>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Additions charged to income tax expense and other accounts</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Deductions from reserves</w:t>
            </w: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54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Ending balance</w:t>
            </w:r>
          </w:p>
        </w:tc>
        <w:tc>
          <w:tcPr>
            <w:tcW w:w="86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20"/>
                <w:szCs w:val="20"/>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12</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37</w:t>
            </w:r>
          </w:p>
        </w:tc>
        <w:tc>
          <w:tcPr>
            <w:tcW w:w="20" w:type="dxa"/>
            <w:vAlign w:val="bottom"/>
            <w:tcBorders>
              <w:bottom w:val="single" w:sz="8" w:color="auto"/>
            </w:tcBorders>
          </w:tcPr>
          <w:p>
            <w:pPr>
              <w:spacing w:after="0"/>
              <w:rPr>
                <w:sz w:val="21"/>
                <w:szCs w:val="21"/>
                <w:color w:val="auto"/>
              </w:rPr>
            </w:pPr>
          </w:p>
        </w:tc>
        <w:tc>
          <w:tcPr>
            <w:tcW w:w="60" w:type="dxa"/>
            <w:vAlign w:val="bottom"/>
            <w:gridSpan w:val="2"/>
          </w:tcPr>
          <w:p>
            <w:pPr>
              <w:spacing w:after="0"/>
              <w:rPr>
                <w:sz w:val="21"/>
                <w:szCs w:val="21"/>
                <w:color w:val="auto"/>
              </w:rPr>
            </w:pPr>
          </w:p>
        </w:tc>
        <w:tc>
          <w:tcPr>
            <w:tcW w:w="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-3523615</wp:posOffset>
            </wp:positionV>
            <wp:extent cx="5981700" cy="2041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5981700" cy="2041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-755015</wp:posOffset>
            </wp:positionV>
            <wp:extent cx="5981700" cy="774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5981700" cy="774700"/>
                    </a:xfrm>
                    <a:prstGeom prst="rect">
                      <a:avLst/>
                    </a:prstGeom>
                    <a:noFill/>
                  </pic:spPr>
                </pic:pic>
              </a:graphicData>
            </a:graphic>
          </wp:anchor>
        </w:drawing>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of December 31, 2025 and 2024, net operating loss carryforwards primarily related to subsidiaries included in our combined financial statements, which can be carried forward indefinitely. At December 31, 2025 our valuation allowances primarily related to these net operating loss carryforwards and the impairment of certain investments. The reduction in our net operating loss carryforwards and valuation allowance in 2025 primarily resulted from a change in the tax status of one of our subsidiaries.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 Tax Positions</w:t>
      </w:r>
    </w:p>
    <w:p>
      <w:pPr>
        <w:spacing w:after="0" w:line="1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 litigation processes, based on the technical merits of the position. A tax position that meets the more-likely-than-not recognition threshold is measured</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360"/>
          </w:cols>
          <w:pgMar w:left="1440" w:top="1369" w:right="1440" w:bottom="0" w:gutter="0" w:footer="0" w:header="0"/>
          <w:type w:val="continuous"/>
        </w:sectPr>
      </w:pPr>
    </w:p>
    <w:bookmarkStart w:id="70" w:name="page71"/>
    <w:bookmarkEnd w:id="70"/>
    <w:p>
      <w:pPr>
        <w:jc w:val="both"/>
        <w:spacing w:after="0" w:line="266" w:lineRule="auto"/>
        <w:rPr>
          <w:sz w:val="20"/>
          <w:szCs w:val="20"/>
          <w:color w:val="auto"/>
        </w:rPr>
      </w:pPr>
      <w:r>
        <w:rPr>
          <w:rFonts w:ascii="Times New Roman" w:cs="Times New Roman" w:eastAsia="Times New Roman" w:hAnsi="Times New Roman"/>
          <w:sz w:val="20"/>
          <w:szCs w:val="20"/>
          <w:color w:val="auto"/>
        </w:rPr>
        <w:t>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IRS has completed its examination of Comcast’s income tax returns for all years through 2022. Various states and foreign jurisdictions are examining Comcast’s tax returns and the tax years of those tax returns currently under examination vary by state, with most of the periods relating to tax years 2011 and forward.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Licensed Content</w:t>
      </w:r>
    </w:p>
    <w:p>
      <w:pPr>
        <w:spacing w:after="0" w:line="19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Our most significant fixed-price purchase obligations relate to long-term commitments for licensed content. Refer to Note 4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Related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Transactions</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enter into transactions with Comcast, of which prior to January 2, 2026, we were a wholly owned subsidiary,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Sales to related parties were $928 million, $1.26 billion and $1.34 billion during the years ended December 31, 2025, 2024 and 2023, respectively. Accounts receivable due for these transactions were $123 million and $208 million as of December 31, 2025 and 2024, respectively.</w:t>
      </w:r>
    </w:p>
    <w:p>
      <w:pPr>
        <w:spacing w:after="0" w:line="1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Costs of revenue from related parties were $973 million, $1.16 billion and $1.15 billion for the years ended December 31, 2025, 2024 and 2023, respectively. Capitalized content costs related to these costs were $302 million and $286 million as of December 31, 2025 and 2024, respectively. Content obligations related to these costs were $94 million and $112 million as of December 31, 2025 and 2024,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Costs of advertising purchased from related parties were $8 million, $12 million and $14 million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2024 and 2023, respectively, and are presented in selling, general and administrative expenses.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payable for these transactions were not material as of December 31, 2025 or 2024.</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Prior to the third quarter 2025, we had related party loan balances associated with the participation of certain of our subsidiaries in Comcast’s centralized cash management programs. Our receivable balances pursuant to these contracts were presented in other current assets in the combined balance sheets and totaled $35 million as of December 31, 2024. Our payable balances pursuant to these contracts were presented in accrued expenses and other current liabilities in the combined balance sheets and totaled $12 million as of December 31, 2024. Activity related to loans receivable and payable is presented in the combined statements of cash flows in other investing and other financing activities, respectively.</w:t>
      </w:r>
    </w:p>
    <w:p>
      <w:pPr>
        <w:sectPr>
          <w:pgSz w:w="12240" w:h="15840" w:orient="portrait"/>
          <w:cols w:equalWidth="0" w:num="1">
            <w:col w:w="9360"/>
          </w:cols>
          <w:pgMar w:left="1440" w:top="137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360"/>
          </w:cols>
          <w:pgMar w:left="1440" w:top="1378" w:right="144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i w:val="1"/>
          <w:iCs w:val="1"/>
          <w:color w:val="auto"/>
        </w:rPr>
        <w:t>Shared Services and Other Allocated Costs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Comcast investment. These amounts represent management’s reasonable estimate of the costs incurred; however, they are not necessarily representative of the costs required for us to operate as an independent, publicly traded company.</w:t>
      </w:r>
    </w:p>
    <w:p>
      <w:pPr>
        <w:spacing w:after="0" w:line="15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Amounts recorded in cost of revenue for these services were $264 million, $266 million and $277 million in 2025, 2024 and 2023, respectively.</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Amounts recorded in selling, general and administrative expenses for these services were $844 million, $870 million and $910 million in 2025, 2024 and 2023,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Additional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Supplemental Cash Flow Information</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Cash, cash equivalents and restricted cash and cash equivalents at December 31, 2025 of $1.09 billion includes cash and cash equivalents of $55 million, restricted cash of $1.03 billion, and cash presented within assets held for sale of $3 million.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Non-cash investing activities for the year ended December 31, 2025 included approximately $168 million related to the contribution of a key operational hub located in Englewood Cliffs, New Jersey as part of a series of legal steps executed in October 2025 in anticipation of the Separation.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Held for Sale</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During the fourth quarter of 2025, we initiated a process to sell SportsEngine and the related assets and liabilities were classified as held for sale in our combined balance sheet as of December 31, 2025. Upon classification as held for sale, this business was measured at the lower of its carrying amount or its estimated fair value less costs to sell. The assets held for sale are primarily comprised of goodwill of $149 million, property and equipment of $17 million and intangible assets of $14 million. Liabilities held for sale totaled $18 million and are presented in other current liabilities. We currently expect to complete the sale of SportsEngine during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Costs</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Approximately $36 million of costs incurred by Comcast related to the Separation have been included in selling, general and administrative expenses in our combined statements of income for the year ended December 31, 2025. These costs include legal, consulting, advisory and audit fees that will directly benefit the Versant business as a standalone company, or for which the Versant business is the legal obligor.</w:t>
      </w:r>
    </w:p>
    <w:p>
      <w:pPr>
        <w:sectPr>
          <w:pgSz w:w="12240" w:h="15840" w:orient="portrait"/>
          <w:cols w:equalWidth="0" w:num="1">
            <w:col w:w="9360"/>
          </w:cols>
          <w:pgMar w:left="1440" w:top="1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360"/>
          </w:cols>
          <w:pgMar w:left="1440" w:top="1369" w:right="144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Note 13. Subsequent Events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Separation and Financing Arrangements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January 2, 2026, we completed the Separation from Comcast through the distribution of 100% of the shares of Versant Class A common stock and Versant Class B common stock to holders of Comcast Class A common stock and Comcast Class B common stock as of the close of business on the record date of December 16, 2025. Comcast’s shareholders of record received one share of Versant Class A common stock or Versant Class B common stock for every 25 shares of Comcast Class A common stock or Class B common stock, respectively, held as of the record date. Immediately after the Separation, holders of Comcast’s common stock prior to the Separation owned 100% of our issued and outstanding shares. Prior to the Separation, the assets related to certain of Comcast’s cable television networks and digital platforms were contributed to, and the related liabilities were assumed, by Versant in accordance with certain agreements entered into in connection with the Separation. These agreements, among other things, effected the Separation and provide a framework for our relationship with Comcast after the Separation, including the separation and distribution agreement, the transition service agreement, the tax matters agreement and certain other agreements related to employee matters, intellectual property, and certain commercial arrangements.</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connection with the Separation, we issued approximately $3.0 billion of total debt, including Senior Notes issued in October 2025 and borrowings under the Term Loans drawn upon the Separation. These borrowings are further described in Note 8. A portion of the proceeds from these borrowings was used to fund a cash payment to Comcast of $2.25 billion at the time of the Separation as consideration for assets that were contributed to us in connection with the Separation.</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Articles of Incorporation were amended and restated following the Separation to provide the Company with the authority to issue up to 7.5 billion shares of $0.01 par value per share Class A common stock, up to 75 million shares of $0.01 par value per share of Class B common stock, and up to 20 million shares of preferred stock with no par value, Class A and Class B common stock have substantially identical rights, except with respect to voting rights. Holders of Class A common stock are entitled to one vote per share and holders of Class B common stock are entitled to 15 votes per share, and are entitled to any dividends when and as declared without regard to class. Holders of both stock classes vote together as a single class on all matters with respect to which a vote of the shareholders is required or permitted under applicable law, the Amended and Restated Articles of Incorporation, or the Bylaws of the Corporation, whereby Class B common stock in the aggregate are entitled to cast 33 1/3% of the votes, subject to reduction if the number of shares of Class B common stock outstanding is reduced. Each share of Class B common stock is convertible at the option of the holder into one share of Class A common stock.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 Plans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January 2026, in connection with the Separation, our Board of Directors adopted our Omnibus Equity Incentive Plan. A total of 19 million shares of the Company’s common stock have been reserved for issuance under the plan, subject to certain adjustments. The plan may be used to grant restricted stock and restricted stock unit awards, stock options and stock appreciation right awards. In connection with the Separation, 1.6 million RSUs, which were originally granted under Comcast’s equity plans, were converted into Versant RSUs for our employees in accordance with the employee matters agreement. In addition, on January 9, 2026, we granted approximately 500,000 RSUs to eligible employees vesting ratably over a three year service period and approximately 500,000 performance stock units to certain senior executives vesting after 3 years based on achievement of certain market conditions.</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9360"/>
          </w:cols>
          <w:pgMar w:left="1440" w:top="1371" w:right="144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color w:val="auto"/>
        </w:rPr>
        <w:t>Dividends and Share Repurchase Authorization</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On March 3, 2026, our Board of Directors declared our first quarter dividend of $0.375 per share to be paid in April 2026.</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March 3, 2026, our Board of Directors also authorized a share repurchase program under which the Company may purchase up to $1 billion of its outstanding shares of Class A common stock. The repurchase authorization does not obligate the Company to acquire any particular number of shares, and the program may be suspended, extended, modified or discontinued at any time.</w:t>
      </w:r>
    </w:p>
    <w:p>
      <w:pPr>
        <w:sectPr>
          <w:pgSz w:w="12240" w:h="15840" w:orient="portrait"/>
          <w:cols w:equalWidth="0" w:num="1">
            <w:col w:w="9360"/>
          </w:cols>
          <w:pgMar w:left="144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9360"/>
          </w:cols>
          <w:pgMar w:left="1440" w:top="1371" w:right="144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Discussion of Financial Responsibility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the end of the period covered by this Annual Report on Form 10-K (the “Evaluation Date”). Based on this evaluation, our Chief Executive Officer and Chief Financial Officer concluded as of the Evaluation Date that our disclosure controls and procedures were effective such that the information required to be disclosed by us in the reports that we file or submit under the Exchange Act (i) is recorded, processed, summarized and reported within the time periods specified in SEC rules and forms, and (ii) is accumulated and communicated to our management, including our principal executive officer and principal financial officer, as appropriate to allow timely decisions regarding required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 Under the rules and regulations of the SEC, the Company is not required to comply with the requirements of Section 404 of the Sarbanes-Oxley Act of 2002 until the Company files its Annual Report on Form 10-K for fiscal year ending December 31, 2026.</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Controls over Financial Reporting</w:t>
      </w:r>
    </w:p>
    <w:p>
      <w:pPr>
        <w:spacing w:after="0" w:line="19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that occurred during the quarter ended December 31, 2025 that materially affected or are reasonably likely to materially affect our internal control over financial reporting.</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240"/>
          </w:cols>
          <w:pgMar w:left="1000" w:top="11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40"/>
          </w:cols>
          <w:pgMar w:left="1000" w:top="1198" w:right="100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other than the information set forth below, is incorporated by reference to our definitive proxy statement for the 2026 Annual Meeting of Shareholders (the “2026 Proxy Statement”) to be filed with the SEC within 120 days after the end of the fiscal year ended December 31, 2025.</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adopted a Code of Conduct that applies to all of our directors, officers and employees, including our principal executive, principal financial and principal accounting officers, or persons performing similar functions. Our Code of Conduct is posted on our website located at investors.versantmedia.com/corporate-governance/documents-charters. To the extent required by the rules of the SEC and Nasdaq, we intend to disclose future amendments to certain provisions of the Code of Conduct, and waivers of the Code of Conduct granted to executive officers and directors, on the website within four business days following the date of the amendment or waiver.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incorporate the information required by this item by reference to our 2026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incorporate the information required by this item by reference to our 2026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incorporate the information required by this item by reference to our 2026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19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We incorporate the information required by this item relating to our principal accountant, Deloitte &amp; Touche LLP (PCAOB ID No. 34), by reference to our 2026 Proxy Statement.</w:t>
      </w:r>
    </w:p>
    <w:p>
      <w:pPr>
        <w:sectPr>
          <w:pgSz w:w="12240" w:h="15840" w:orient="portrait"/>
          <w:cols w:equalWidth="0" w:num="1">
            <w:col w:w="10240"/>
          </w:cols>
          <w:pgMar w:left="1000" w:top="119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240"/>
          </w:cols>
          <w:pgMar w:left="1000" w:top="1198" w:right="1000" w:bottom="0" w:gutter="0" w:footer="0" w:header="0"/>
          <w:type w:val="continuous"/>
        </w:sectPr>
      </w:pPr>
    </w:p>
    <w:bookmarkStart w:id="76" w:name="page77"/>
    <w:bookmarkEnd w:id="76"/>
    <w:p>
      <w:pPr>
        <w:ind w:left="6"/>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190"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97" w:lineRule="exact"/>
        <w:rPr>
          <w:sz w:val="20"/>
          <w:szCs w:val="20"/>
          <w:color w:val="auto"/>
        </w:rPr>
      </w:pPr>
    </w:p>
    <w:p>
      <w:pPr>
        <w:ind w:left="366" w:right="120" w:hanging="366"/>
        <w:spacing w:after="0" w:line="260" w:lineRule="auto"/>
        <w:tabs>
          <w:tab w:leader="none" w:pos="36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combined financial statements are filed as a part of this report on Form 10-K in Item 8, Financial Statements and Supplementary Data, and a list of Versant’s combined financial statements are found on page 42 of this report. Financial statement schedules are omitted because the required information is not applicable, or because the information required is included in the combined financial statements and notes thereto.</w:t>
      </w:r>
    </w:p>
    <w:p>
      <w:pPr>
        <w:spacing w:after="0" w:line="143" w:lineRule="exact"/>
        <w:rPr>
          <w:rFonts w:ascii="Times New Roman" w:cs="Times New Roman" w:eastAsia="Times New Roman" w:hAnsi="Times New Roman"/>
          <w:sz w:val="20"/>
          <w:szCs w:val="20"/>
          <w:color w:val="auto"/>
        </w:rPr>
      </w:pPr>
    </w:p>
    <w:p>
      <w:pPr>
        <w:ind w:left="366" w:right="480" w:hanging="366"/>
        <w:spacing w:after="0" w:line="281" w:lineRule="auto"/>
        <w:tabs>
          <w:tab w:leader="none" w:pos="36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 required to be filed by Item 601 of Regulation S-K (all of which are under Commission File No. 001-42856, except as otherwise noted):</w:t>
      </w:r>
    </w:p>
    <w:p>
      <w:pPr>
        <w:spacing w:after="0" w:line="225" w:lineRule="exact"/>
        <w:rPr>
          <w:sz w:val="20"/>
          <w:szCs w:val="20"/>
          <w:color w:val="auto"/>
        </w:rPr>
      </w:pPr>
    </w:p>
    <w:tbl>
      <w:tblPr>
        <w:tblLayout w:type="fixed"/>
        <w:tblInd w:w="46" w:type="dxa"/>
        <w:tblCellMar>
          <w:top w:w="0" w:type="dxa"/>
          <w:left w:w="0" w:type="dxa"/>
          <w:bottom w:w="0" w:type="dxa"/>
          <w:right w:w="0" w:type="dxa"/>
        </w:tblCellMar>
      </w:tblPr>
      <w:tr>
        <w:trPr>
          <w:trHeight w:val="230"/>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2.1†+</w:t>
            </w: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Separation and Distribution Agreement between Comcast Corporation and Versant Media Group, Inc., dated</w:t>
            </w:r>
          </w:p>
        </w:tc>
        <w:tc>
          <w:tcPr>
            <w:tcW w:w="0" w:type="dxa"/>
            <w:vAlign w:val="bottom"/>
          </w:tcPr>
          <w:p>
            <w:pPr>
              <w:spacing w:after="0"/>
              <w:rPr>
                <w:sz w:val="1"/>
                <w:szCs w:val="1"/>
                <w:color w:val="auto"/>
              </w:rPr>
            </w:pPr>
          </w:p>
        </w:tc>
      </w:tr>
      <w:tr>
        <w:trPr>
          <w:trHeight w:val="200"/>
        </w:trPr>
        <w:tc>
          <w:tcPr>
            <w:tcW w:w="660" w:type="dxa"/>
            <w:vAlign w:val="bottom"/>
            <w:vMerge w:val="continue"/>
          </w:tcPr>
          <w:p>
            <w:pPr>
              <w:spacing w:after="0"/>
              <w:rPr>
                <w:sz w:val="17"/>
                <w:szCs w:val="17"/>
                <w:color w:val="auto"/>
              </w:rPr>
            </w:pPr>
          </w:p>
        </w:tc>
        <w:tc>
          <w:tcPr>
            <w:tcW w:w="950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auto"/>
                <w:w w:val="99"/>
              </w:rPr>
              <w:t>January 2, 2026 (incorporated by reference to Exhibit 2.1 to Versant’s Current Report on Form 8-K filed on January</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5, 2026).</w:t>
            </w:r>
          </w:p>
        </w:tc>
        <w:tc>
          <w:tcPr>
            <w:tcW w:w="0" w:type="dxa"/>
            <w:vAlign w:val="bottom"/>
          </w:tcPr>
          <w:p>
            <w:pPr>
              <w:spacing w:after="0"/>
              <w:rPr>
                <w:sz w:val="1"/>
                <w:szCs w:val="1"/>
                <w:color w:val="auto"/>
              </w:rPr>
            </w:pPr>
          </w:p>
        </w:tc>
      </w:tr>
      <w:tr>
        <w:trPr>
          <w:trHeight w:val="285"/>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w:t>
            </w: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Articles of Incorporation of Versant Media Group Inc. (incorporated by reference to Exhibit</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95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3.1 to Versant’s Current Report on Form 8-K filed on January 5, 2026).</w:t>
            </w:r>
          </w:p>
        </w:tc>
        <w:tc>
          <w:tcPr>
            <w:tcW w:w="0" w:type="dxa"/>
            <w:vAlign w:val="bottom"/>
          </w:tcPr>
          <w:p>
            <w:pPr>
              <w:spacing w:after="0"/>
              <w:rPr>
                <w:sz w:val="1"/>
                <w:szCs w:val="1"/>
                <w:color w:val="auto"/>
              </w:rPr>
            </w:pPr>
          </w:p>
        </w:tc>
      </w:tr>
      <w:tr>
        <w:trPr>
          <w:trHeight w:val="100"/>
        </w:trPr>
        <w:tc>
          <w:tcPr>
            <w:tcW w:w="660" w:type="dxa"/>
            <w:vAlign w:val="bottom"/>
          </w:tcPr>
          <w:p>
            <w:pPr>
              <w:spacing w:after="0"/>
              <w:rPr>
                <w:sz w:val="8"/>
                <w:szCs w:val="8"/>
                <w:color w:val="auto"/>
              </w:rPr>
            </w:pPr>
          </w:p>
        </w:tc>
        <w:tc>
          <w:tcPr>
            <w:tcW w:w="9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w:t>
            </w: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Amended and Restated Bylaws of Versant Media Group Inc. (incorporated by reference to Exhibit 3.1 to Versant’s</w:t>
            </w:r>
          </w:p>
        </w:tc>
        <w:tc>
          <w:tcPr>
            <w:tcW w:w="0" w:type="dxa"/>
            <w:vAlign w:val="bottom"/>
          </w:tcPr>
          <w:p>
            <w:pPr>
              <w:spacing w:after="0"/>
              <w:rPr>
                <w:sz w:val="1"/>
                <w:szCs w:val="1"/>
                <w:color w:val="auto"/>
              </w:rPr>
            </w:pPr>
          </w:p>
        </w:tc>
      </w:tr>
      <w:tr>
        <w:trPr>
          <w:trHeight w:val="160"/>
        </w:trPr>
        <w:tc>
          <w:tcPr>
            <w:tcW w:w="660" w:type="dxa"/>
            <w:vAlign w:val="bottom"/>
            <w:vMerge w:val="continue"/>
          </w:tcPr>
          <w:p>
            <w:pPr>
              <w:spacing w:after="0"/>
              <w:rPr>
                <w:sz w:val="13"/>
                <w:szCs w:val="13"/>
                <w:color w:val="auto"/>
              </w:rPr>
            </w:pPr>
          </w:p>
        </w:tc>
        <w:tc>
          <w:tcPr>
            <w:tcW w:w="950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auto"/>
              </w:rPr>
              <w:t>Current Report on Form 8-K filed on January 7, 2026).</w:t>
            </w:r>
          </w:p>
        </w:tc>
        <w:tc>
          <w:tcPr>
            <w:tcW w:w="0" w:type="dxa"/>
            <w:vAlign w:val="bottom"/>
          </w:tcPr>
          <w:p>
            <w:pPr>
              <w:spacing w:after="0"/>
              <w:rPr>
                <w:sz w:val="1"/>
                <w:szCs w:val="1"/>
                <w:color w:val="auto"/>
              </w:rPr>
            </w:pPr>
          </w:p>
        </w:tc>
      </w:tr>
      <w:tr>
        <w:trPr>
          <w:trHeight w:val="100"/>
        </w:trPr>
        <w:tc>
          <w:tcPr>
            <w:tcW w:w="660" w:type="dxa"/>
            <w:vAlign w:val="bottom"/>
          </w:tcPr>
          <w:p>
            <w:pPr>
              <w:spacing w:after="0"/>
              <w:rPr>
                <w:sz w:val="8"/>
                <w:szCs w:val="8"/>
                <w:color w:val="auto"/>
              </w:rPr>
            </w:pPr>
          </w:p>
        </w:tc>
        <w:tc>
          <w:tcPr>
            <w:tcW w:w="9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4.1+</w:t>
            </w: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Indenture, dated as of October 29, 2025, between Versant Media Group, Inc., as issuer, and Citibank, N.A., as</w:t>
            </w:r>
          </w:p>
        </w:tc>
        <w:tc>
          <w:tcPr>
            <w:tcW w:w="0" w:type="dxa"/>
            <w:vAlign w:val="bottom"/>
          </w:tcPr>
          <w:p>
            <w:pPr>
              <w:spacing w:after="0"/>
              <w:rPr>
                <w:sz w:val="1"/>
                <w:szCs w:val="1"/>
                <w:color w:val="auto"/>
              </w:rPr>
            </w:pPr>
          </w:p>
        </w:tc>
      </w:tr>
      <w:tr>
        <w:trPr>
          <w:trHeight w:val="200"/>
        </w:trPr>
        <w:tc>
          <w:tcPr>
            <w:tcW w:w="660" w:type="dxa"/>
            <w:vAlign w:val="bottom"/>
            <w:vMerge w:val="continue"/>
          </w:tcPr>
          <w:p>
            <w:pPr>
              <w:spacing w:after="0"/>
              <w:rPr>
                <w:sz w:val="17"/>
                <w:szCs w:val="17"/>
                <w:color w:val="auto"/>
              </w:rPr>
            </w:pPr>
          </w:p>
        </w:tc>
        <w:tc>
          <w:tcPr>
            <w:tcW w:w="950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auto"/>
              </w:rPr>
              <w:t>trustee and notes collateral agent (incorporated by reference to Exhibit 10.11 to Versant’s registration statement on</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Form 10 filed on December 3, 2025).</w:t>
            </w:r>
          </w:p>
        </w:tc>
        <w:tc>
          <w:tcPr>
            <w:tcW w:w="0" w:type="dxa"/>
            <w:vAlign w:val="bottom"/>
          </w:tcPr>
          <w:p>
            <w:pPr>
              <w:spacing w:after="0"/>
              <w:rPr>
                <w:sz w:val="1"/>
                <w:szCs w:val="1"/>
                <w:color w:val="auto"/>
              </w:rPr>
            </w:pPr>
          </w:p>
        </w:tc>
      </w:tr>
      <w:tr>
        <w:trPr>
          <w:trHeight w:val="290"/>
        </w:trPr>
        <w:tc>
          <w:tcPr>
            <w:tcW w:w="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4.2</w:t>
            </w: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First Supplemental Indenture, dated January 2, 2026, among the Guarantors and Citibank N.A., as Trustee and</w:t>
            </w:r>
          </w:p>
        </w:tc>
        <w:tc>
          <w:tcPr>
            <w:tcW w:w="0" w:type="dxa"/>
            <w:vAlign w:val="bottom"/>
          </w:tcPr>
          <w:p>
            <w:pPr>
              <w:spacing w:after="0"/>
              <w:rPr>
                <w:sz w:val="1"/>
                <w:szCs w:val="1"/>
                <w:color w:val="auto"/>
              </w:rPr>
            </w:pPr>
          </w:p>
        </w:tc>
      </w:tr>
      <w:tr>
        <w:trPr>
          <w:trHeight w:val="200"/>
        </w:trPr>
        <w:tc>
          <w:tcPr>
            <w:tcW w:w="660" w:type="dxa"/>
            <w:vAlign w:val="bottom"/>
            <w:vMerge w:val="continue"/>
          </w:tcPr>
          <w:p>
            <w:pPr>
              <w:spacing w:after="0"/>
              <w:rPr>
                <w:sz w:val="17"/>
                <w:szCs w:val="17"/>
                <w:color w:val="auto"/>
              </w:rPr>
            </w:pPr>
          </w:p>
        </w:tc>
        <w:tc>
          <w:tcPr>
            <w:tcW w:w="950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color w:val="auto"/>
              </w:rPr>
              <w:t>Notes Collateral Agent (incorporated by reference to Exhibit 4.1 to Versant’s Current Report on Form 8-K for the</w:t>
            </w:r>
          </w:p>
        </w:tc>
        <w:tc>
          <w:tcPr>
            <w:tcW w:w="0" w:type="dxa"/>
            <w:vAlign w:val="bottom"/>
          </w:tcPr>
          <w:p>
            <w:pPr>
              <w:spacing w:after="0"/>
              <w:rPr>
                <w:sz w:val="1"/>
                <w:szCs w:val="1"/>
                <w:color w:val="auto"/>
              </w:rPr>
            </w:pPr>
          </w:p>
        </w:tc>
      </w:tr>
      <w:tr>
        <w:trPr>
          <w:trHeight w:val="260"/>
        </w:trPr>
        <w:tc>
          <w:tcPr>
            <w:tcW w:w="660" w:type="dxa"/>
            <w:vAlign w:val="bottom"/>
          </w:tcPr>
          <w:p>
            <w:pPr>
              <w:spacing w:after="0"/>
              <w:rPr>
                <w:sz w:val="22"/>
                <w:szCs w:val="22"/>
                <w:color w:val="auto"/>
              </w:rPr>
            </w:pPr>
          </w:p>
        </w:tc>
        <w:tc>
          <w:tcPr>
            <w:tcW w:w="95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year ended January 5, 2026).</w:t>
            </w:r>
          </w:p>
        </w:tc>
        <w:tc>
          <w:tcPr>
            <w:tcW w:w="0" w:type="dxa"/>
            <w:vAlign w:val="bottom"/>
          </w:tcPr>
          <w:p>
            <w:pPr>
              <w:spacing w:after="0"/>
              <w:rPr>
                <w:sz w:val="1"/>
                <w:szCs w:val="1"/>
                <w:color w:val="auto"/>
              </w:rPr>
            </w:pPr>
          </w:p>
        </w:tc>
      </w:tr>
    </w:tbl>
    <w:p>
      <w:pPr>
        <w:spacing w:after="0" w:line="55" w:lineRule="exact"/>
        <w:rPr>
          <w:sz w:val="20"/>
          <w:szCs w:val="20"/>
          <w:color w:val="auto"/>
        </w:rPr>
      </w:pPr>
    </w:p>
    <w:tbl>
      <w:tblPr>
        <w:tblLayout w:type="fixed"/>
        <w:tblInd w:w="46" w:type="dxa"/>
        <w:tblCellMar>
          <w:top w:w="0" w:type="dxa"/>
          <w:left w:w="0" w:type="dxa"/>
          <w:bottom w:w="0" w:type="dxa"/>
          <w:right w:w="0" w:type="dxa"/>
        </w:tblCellMar>
      </w:tblPr>
      <w:tr>
        <w:trPr>
          <w:trHeight w:val="230"/>
        </w:trPr>
        <w:tc>
          <w:tcPr>
            <w:tcW w:w="560" w:type="dxa"/>
            <w:vAlign w:val="bottom"/>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w w:val="95"/>
              </w:rPr>
              <w:t>4.3</w:t>
            </w:r>
          </w:p>
        </w:tc>
        <w:tc>
          <w:tcPr>
            <w:tcW w:w="942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Description of Versant Media Group Inc.’s securities registered pursuant to Section 12 of the Securities Exchange</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9420" w:type="dxa"/>
            <w:vAlign w:val="bottom"/>
            <w:vMerge w:val="restart"/>
          </w:tcPr>
          <w:p>
            <w:pPr>
              <w:ind w:left="300"/>
              <w:spacing w:after="0"/>
              <w:rPr>
                <w:sz w:val="20"/>
                <w:szCs w:val="20"/>
                <w:color w:val="auto"/>
              </w:rPr>
            </w:pPr>
            <w:r>
              <w:rPr>
                <w:rFonts w:ascii="Times New Roman" w:cs="Times New Roman" w:eastAsia="Times New Roman" w:hAnsi="Times New Roman"/>
                <w:sz w:val="20"/>
                <w:szCs w:val="20"/>
                <w:color w:val="auto"/>
              </w:rPr>
              <w:t>Act.</w:t>
            </w:r>
          </w:p>
        </w:tc>
        <w:tc>
          <w:tcPr>
            <w:tcW w:w="0" w:type="dxa"/>
            <w:vAlign w:val="bottom"/>
          </w:tcPr>
          <w:p>
            <w:pPr>
              <w:spacing w:after="0"/>
              <w:rPr>
                <w:sz w:val="1"/>
                <w:szCs w:val="1"/>
                <w:color w:val="auto"/>
              </w:rPr>
            </w:pPr>
          </w:p>
        </w:tc>
      </w:tr>
      <w:tr>
        <w:trPr>
          <w:trHeight w:val="100"/>
        </w:trPr>
        <w:tc>
          <w:tcPr>
            <w:tcW w:w="560" w:type="dxa"/>
            <w:vAlign w:val="bottom"/>
          </w:tcPr>
          <w:p>
            <w:pPr>
              <w:spacing w:after="0"/>
              <w:rPr>
                <w:sz w:val="8"/>
                <w:szCs w:val="8"/>
                <w:color w:val="auto"/>
              </w:rPr>
            </w:pPr>
          </w:p>
        </w:tc>
        <w:tc>
          <w:tcPr>
            <w:tcW w:w="9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2240" w:h="15840" w:orient="portrait"/>
          <w:cols w:equalWidth="0" w:num="1">
            <w:col w:w="10206"/>
          </w:cols>
          <w:pgMar w:left="994" w:top="1198" w:right="1040" w:bottom="0" w:gutter="0" w:footer="0" w:header="0"/>
        </w:sectPr>
      </w:pPr>
    </w:p>
    <w:p>
      <w:pPr>
        <w:spacing w:after="0" w:line="10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19"/>
          <w:szCs w:val="19"/>
          <w:color w:val="auto"/>
        </w:rPr>
        <w:t>10.1†+</w:t>
      </w:r>
    </w:p>
    <w:p>
      <w:pPr>
        <w:spacing w:after="0" w:line="322" w:lineRule="exact"/>
        <w:rPr>
          <w:sz w:val="20"/>
          <w:szCs w:val="20"/>
          <w:color w:val="auto"/>
        </w:rPr>
      </w:pPr>
    </w:p>
    <w:p>
      <w:pPr>
        <w:ind w:left="46"/>
        <w:spacing w:after="0"/>
        <w:rPr>
          <w:sz w:val="20"/>
          <w:szCs w:val="20"/>
          <w:color w:val="auto"/>
        </w:rPr>
      </w:pPr>
      <w:r>
        <w:rPr>
          <w:rFonts w:ascii="Times New Roman" w:cs="Times New Roman" w:eastAsia="Times New Roman" w:hAnsi="Times New Roman"/>
          <w:sz w:val="19"/>
          <w:szCs w:val="19"/>
          <w:color w:val="auto"/>
        </w:rPr>
        <w:t>10.2†+</w:t>
      </w:r>
    </w:p>
    <w:p>
      <w:pPr>
        <w:spacing w:after="0" w:line="322"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10.3†</w:t>
      </w:r>
    </w:p>
    <w:p>
      <w:pPr>
        <w:spacing w:after="0" w:line="31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10.4*</w:t>
      </w:r>
    </w:p>
    <w:p>
      <w:pPr>
        <w:spacing w:after="0" w:line="31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10.5*</w:t>
      </w:r>
    </w:p>
    <w:p>
      <w:pPr>
        <w:spacing w:after="0" w:line="31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10.6*</w:t>
      </w:r>
    </w:p>
    <w:p>
      <w:pPr>
        <w:spacing w:after="0" w:line="31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10.7*</w:t>
      </w:r>
    </w:p>
    <w:p>
      <w:pPr>
        <w:spacing w:after="0" w:line="31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10.8*</w:t>
      </w:r>
    </w:p>
    <w:p>
      <w:pPr>
        <w:spacing w:after="0" w:line="22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10.9*</w:t>
      </w:r>
    </w:p>
    <w:p>
      <w:pPr>
        <w:spacing w:after="0" w:line="13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10.10*</w:t>
      </w:r>
    </w:p>
    <w:p>
      <w:pPr>
        <w:spacing w:after="0" w:line="22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10.11*</w:t>
      </w:r>
    </w:p>
    <w:p>
      <w:pPr>
        <w:spacing w:after="0" w:line="31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10.12*</w:t>
      </w:r>
    </w:p>
    <w:p>
      <w:pPr>
        <w:spacing w:after="0" w:line="31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10.13*</w:t>
      </w:r>
    </w:p>
    <w:p>
      <w:pPr>
        <w:spacing w:after="0" w:line="280" w:lineRule="exact"/>
        <w:rPr>
          <w:sz w:val="20"/>
          <w:szCs w:val="20"/>
          <w:color w:val="auto"/>
        </w:rPr>
      </w:pPr>
    </w:p>
    <w:p>
      <w:pPr>
        <w:ind w:left="46"/>
        <w:spacing w:after="0"/>
        <w:rPr>
          <w:sz w:val="20"/>
          <w:szCs w:val="20"/>
          <w:color w:val="auto"/>
        </w:rPr>
      </w:pPr>
      <w:r>
        <w:rPr>
          <w:rFonts w:ascii="Times New Roman" w:cs="Times New Roman" w:eastAsia="Times New Roman" w:hAnsi="Times New Roman"/>
          <w:sz w:val="20"/>
          <w:szCs w:val="20"/>
          <w:color w:val="auto"/>
        </w:rPr>
        <w:t>10.14*</w:t>
      </w:r>
    </w:p>
    <w:p>
      <w:pPr>
        <w:spacing w:after="0" w:line="20" w:lineRule="exact"/>
        <w:rPr>
          <w:sz w:val="20"/>
          <w:szCs w:val="20"/>
          <w:color w:val="auto"/>
        </w:rPr>
      </w:pPr>
      <w:r>
        <w:rPr>
          <w:sz w:val="20"/>
          <w:szCs w:val="20"/>
          <w:color w:val="auto"/>
        </w:rPr>
        <w:br w:type="column"/>
      </w:r>
    </w:p>
    <w:p>
      <w:pPr>
        <w:ind w:right="20"/>
        <w:spacing w:after="0" w:line="265" w:lineRule="auto"/>
        <w:rPr>
          <w:sz w:val="20"/>
          <w:szCs w:val="20"/>
          <w:color w:val="auto"/>
        </w:rPr>
      </w:pPr>
      <w:r>
        <w:rPr>
          <w:rFonts w:ascii="Times New Roman" w:cs="Times New Roman" w:eastAsia="Times New Roman" w:hAnsi="Times New Roman"/>
          <w:sz w:val="19"/>
          <w:szCs w:val="19"/>
          <w:color w:val="auto"/>
        </w:rPr>
        <w:t>Transition Services Agreement between Comcast Corporation and Versant Media Group, Inc., dated January 2, 2026 (incorporated by reference to Exhibit 10.1 to Versant’s Current Report on Form 8-K filed on January 2, 2026).</w:t>
      </w:r>
    </w:p>
    <w:p>
      <w:pPr>
        <w:spacing w:after="0" w:line="58" w:lineRule="exact"/>
        <w:rPr>
          <w:sz w:val="20"/>
          <w:szCs w:val="20"/>
          <w:color w:val="auto"/>
        </w:rPr>
      </w:pPr>
    </w:p>
    <w:p>
      <w:pPr>
        <w:jc w:val="both"/>
        <w:ind w:right="460"/>
        <w:spacing w:after="0" w:line="265" w:lineRule="auto"/>
        <w:rPr>
          <w:sz w:val="20"/>
          <w:szCs w:val="20"/>
          <w:color w:val="auto"/>
        </w:rPr>
      </w:pPr>
      <w:r>
        <w:rPr>
          <w:rFonts w:ascii="Times New Roman" w:cs="Times New Roman" w:eastAsia="Times New Roman" w:hAnsi="Times New Roman"/>
          <w:sz w:val="19"/>
          <w:szCs w:val="19"/>
          <w:color w:val="auto"/>
        </w:rPr>
        <w:t>Tax Matters Agreement between Comcast Corporation and Versant Media Group, Inc., dated January 2, 2026 (incorporated by reference to Exhibit 10.2 to Versant’s Current Report on Form 8-K filed on January 2, 2026).</w:t>
      </w:r>
    </w:p>
    <w:p>
      <w:pPr>
        <w:spacing w:after="0" w:line="5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Employee Matters Agreement between Comcast Corporation and Versant Media Group, Inc., dated January 2, 2026 (incorporated by reference to Exhibit 10.3 to Versant’s Current Report on Form 8-K filed on January 2, 2026).</w:t>
      </w:r>
    </w:p>
    <w:p>
      <w:pPr>
        <w:spacing w:after="0" w:line="58"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Versant Media Group, Inc. Omnibus Equity Incentive Plan (incorporated by reference to Exhibit 99.1 to Versant’s Registration Statement on Form S-8, filed on January 9, 2026).</w:t>
      </w:r>
    </w:p>
    <w:p>
      <w:pPr>
        <w:spacing w:after="0" w:line="80"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20"/>
          <w:szCs w:val="20"/>
          <w:color w:val="auto"/>
        </w:rPr>
        <w:t>Form of Indemnification Agreement for Non-Employee Directors (incorporated by reference to Exhibit 10.5 to Versant’s registration statement on Form 10 filed on December 3, 2025).</w:t>
      </w:r>
    </w:p>
    <w:p>
      <w:pPr>
        <w:spacing w:after="0" w:line="80"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20"/>
          <w:szCs w:val="20"/>
          <w:color w:val="auto"/>
        </w:rPr>
        <w:t>Executive Employment Agreement of Mark Lazarus (incorporated by reference to Exhibit 10.6 to Versant’s registration statement on Form 10 filed on December 3, 2025).</w:t>
      </w:r>
    </w:p>
    <w:p>
      <w:pPr>
        <w:spacing w:after="0" w:line="80"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20"/>
          <w:szCs w:val="20"/>
          <w:color w:val="auto"/>
        </w:rPr>
        <w:t>Executive Employment Agreement of Anand M. Kini (incorporated by reference to Exhibit 10.7 to Versant’s registration statement on Form 10 filed on December 3, 2025).</w:t>
      </w:r>
    </w:p>
    <w:p>
      <w:pPr>
        <w:spacing w:after="0" w:line="80"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Executive Employment Agreement of Jordan R. Fasbender (incorporated by reference to Exhibit 10.8 to Versant’s registration statement on Form 10 filed on December 3,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Versant Media Group, Inc. Non-Employee Director Compensation Plan.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Versant Media Group, Inc. Deferred Compensation Plan for Non-Employee Directors.</w:t>
      </w:r>
    </w:p>
    <w:p>
      <w:pPr>
        <w:spacing w:after="0" w:line="120" w:lineRule="exact"/>
        <w:rPr>
          <w:sz w:val="20"/>
          <w:szCs w:val="20"/>
          <w:color w:val="auto"/>
        </w:rPr>
      </w:pPr>
    </w:p>
    <w:p>
      <w:pPr>
        <w:ind w:right="580"/>
        <w:spacing w:after="0"/>
        <w:rPr>
          <w:sz w:val="20"/>
          <w:szCs w:val="20"/>
          <w:color w:val="auto"/>
        </w:rPr>
      </w:pPr>
      <w:r>
        <w:rPr>
          <w:rFonts w:ascii="Times New Roman" w:cs="Times New Roman" w:eastAsia="Times New Roman" w:hAnsi="Times New Roman"/>
          <w:sz w:val="20"/>
          <w:szCs w:val="20"/>
          <w:color w:val="auto"/>
        </w:rPr>
        <w:t>Form of Non-Employee Director Restricted Stock Unit Award Agreement and Long-Term Incentive Awards Summary Schedule.</w:t>
      </w:r>
    </w:p>
    <w:p>
      <w:pPr>
        <w:spacing w:after="0" w:line="80" w:lineRule="exact"/>
        <w:rPr>
          <w:sz w:val="20"/>
          <w:szCs w:val="20"/>
          <w:color w:val="auto"/>
        </w:rPr>
      </w:pPr>
    </w:p>
    <w:p>
      <w:pPr>
        <w:ind w:right="600"/>
        <w:spacing w:after="0"/>
        <w:rPr>
          <w:sz w:val="20"/>
          <w:szCs w:val="20"/>
          <w:color w:val="auto"/>
        </w:rPr>
      </w:pPr>
      <w:r>
        <w:rPr>
          <w:rFonts w:ascii="Times New Roman" w:cs="Times New Roman" w:eastAsia="Times New Roman" w:hAnsi="Times New Roman"/>
          <w:sz w:val="20"/>
          <w:szCs w:val="20"/>
          <w:color w:val="auto"/>
        </w:rPr>
        <w:t>Form of Performance Stock Unit Agreement (Founders Award) and Long-Term Incentive Awards Summary Schedule.</w:t>
      </w:r>
    </w:p>
    <w:p>
      <w:pPr>
        <w:spacing w:after="0" w:line="80" w:lineRule="exact"/>
        <w:rPr>
          <w:sz w:val="20"/>
          <w:szCs w:val="20"/>
          <w:color w:val="auto"/>
        </w:rPr>
      </w:pPr>
    </w:p>
    <w:p>
      <w:pPr>
        <w:ind w:right="820"/>
        <w:spacing w:after="0"/>
        <w:rPr>
          <w:sz w:val="20"/>
          <w:szCs w:val="20"/>
          <w:color w:val="auto"/>
        </w:rPr>
      </w:pPr>
      <w:r>
        <w:rPr>
          <w:rFonts w:ascii="Times New Roman" w:cs="Times New Roman" w:eastAsia="Times New Roman" w:hAnsi="Times New Roman"/>
          <w:sz w:val="20"/>
          <w:szCs w:val="20"/>
          <w:color w:val="auto"/>
        </w:rPr>
        <w:t>Form of Restricted Stock Unit Agreement (Founders Award) and Long-Term Incentive Awards Summary Schedule.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Performance Stock Unit Agreement and Long-Term Incentive Awards Summary Schedule.</w:t>
      </w:r>
    </w:p>
    <w:p>
      <w:pPr>
        <w:spacing w:after="0" w:line="200" w:lineRule="exact"/>
        <w:rPr>
          <w:sz w:val="20"/>
          <w:szCs w:val="20"/>
          <w:color w:val="auto"/>
        </w:rPr>
      </w:pPr>
    </w:p>
    <w:p>
      <w:pPr>
        <w:sectPr>
          <w:pgSz w:w="12240" w:h="15840" w:orient="portrait"/>
          <w:cols w:equalWidth="0" w:num="2">
            <w:col w:w="606" w:space="300"/>
            <w:col w:w="9300"/>
          </w:cols>
          <w:pgMar w:left="994" w:top="1198" w:right="1040" w:bottom="0" w:gutter="0" w:footer="0" w:header="0"/>
          <w:type w:val="continuous"/>
        </w:sectPr>
      </w:pPr>
    </w:p>
    <w:p>
      <w:pPr>
        <w:spacing w:after="0" w:line="333"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206"/>
          </w:cols>
          <w:pgMar w:left="994" w:top="1198" w:right="1040" w:bottom="0" w:gutter="0" w:footer="0" w:header="0"/>
          <w:type w:val="continuous"/>
        </w:sectPr>
      </w:pPr>
    </w:p>
    <w:bookmarkStart w:id="77" w:name="page78"/>
    <w:bookmarkEnd w:id="77"/>
    <w:p>
      <w:pPr>
        <w:ind w:left="40"/>
        <w:spacing w:after="0"/>
        <w:rPr>
          <w:sz w:val="20"/>
          <w:szCs w:val="20"/>
          <w:color w:val="auto"/>
        </w:rPr>
      </w:pPr>
      <w:r>
        <w:rPr>
          <w:rFonts w:ascii="Times New Roman" w:cs="Times New Roman" w:eastAsia="Times New Roman" w:hAnsi="Times New Roman"/>
          <w:sz w:val="20"/>
          <w:szCs w:val="20"/>
          <w:color w:val="auto"/>
        </w:rPr>
        <w:t>10.15*</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10.16*</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10.17*</w:t>
      </w: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10.18*</w:t>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10.20†+</w:t>
      </w: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19</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21</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Form of Restricted Stock Unit Agreement (Annual Award) and Long-Term Incentive Awards Summary Schedule.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Comcast Corporation 2022 Restricted Stock Unit Award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Comcast Corporation 2023 Restricted Stock Unit Award Agreement.</w:t>
      </w:r>
    </w:p>
    <w:p>
      <w:pPr>
        <w:spacing w:after="0" w:line="143"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Comcast Corporation 2023 Omnibus Equity Incentive Plan Form of Restricted Stock Unit Award Agreement and Long-Term Incentive Awards Summary Schedule.</w:t>
      </w:r>
    </w:p>
    <w:p>
      <w:pPr>
        <w:spacing w:after="0" w:line="65"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20"/>
          <w:szCs w:val="20"/>
          <w:color w:val="auto"/>
        </w:rPr>
        <w:t>Credit and Guaranty Agreement, dated as of October 3, 2025, among Versant Media Group, Inc., as borrower, certain subsidiary guarantors party thereto from time to time, the financial institutions party thereto, as lenders and issuing banks, and J.P. Morgan Chase Bank, N.A., as administrative agent, collateral agent and swingline lender (incorporated by reference to Exhibit 10.9 to Versant’s registration statement on Form 10 filed on December 3, 2025).</w:t>
      </w:r>
    </w:p>
    <w:p>
      <w:pPr>
        <w:spacing w:after="0" w:line="91"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20"/>
          <w:szCs w:val="20"/>
          <w:color w:val="auto"/>
        </w:rPr>
        <w:t>Credit and Guaranty Agreement, dated January 2, 2026, among Versant Media Group, Inc., as borrower, certain subsidiary guarantors party thereto from time to time, the financial institutions party thereto, as lenders and issuing banks, and Morgan Stanley Senior Funding, Inc., as administrative agent and collateral agent (incorporated by reference to Exhibit 10.4 to Versant’s Form 8-K filed on January 5,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Versant Media Group, Inc. Insider Trading Policy.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List of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 of Deloitte &amp; Touche LLP.</w:t>
      </w:r>
    </w:p>
    <w:p>
      <w:pPr>
        <w:spacing w:after="0" w:line="113" w:lineRule="exact"/>
        <w:rPr>
          <w:sz w:val="20"/>
          <w:szCs w:val="20"/>
          <w:color w:val="auto"/>
        </w:rPr>
      </w:pPr>
    </w:p>
    <w:p>
      <w:pPr>
        <w:sectPr>
          <w:pgSz w:w="12240" w:h="15840" w:orient="portrait"/>
          <w:cols w:equalWidth="0" w:num="2">
            <w:col w:w="700" w:space="200"/>
            <w:col w:w="9200"/>
          </w:cols>
          <w:pgMar w:left="1000" w:top="1366" w:right="1140" w:bottom="0" w:gutter="0" w:footer="0" w:header="0"/>
        </w:sectPr>
      </w:pPr>
    </w:p>
    <w:tbl>
      <w:tblPr>
        <w:tblLayout w:type="fixed"/>
        <w:tblInd w:w="40" w:type="dxa"/>
        <w:tblCellMar>
          <w:top w:w="0" w:type="dxa"/>
          <w:left w:w="0" w:type="dxa"/>
          <w:bottom w:w="0" w:type="dxa"/>
          <w:right w:w="0" w:type="dxa"/>
        </w:tblCellMar>
      </w:tblPr>
      <w:tr>
        <w:trPr>
          <w:trHeight w:val="230"/>
        </w:trPr>
        <w:tc>
          <w:tcPr>
            <w:tcW w:w="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31.1</w:t>
            </w:r>
          </w:p>
        </w:tc>
        <w:tc>
          <w:tcPr>
            <w:tcW w:w="9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Certification of the Registrant’s Chief Executive Officer pursuant to Rule 13a-14(a)/15d-14(a) of the Securities</w:t>
            </w:r>
          </w:p>
        </w:tc>
        <w:tc>
          <w:tcPr>
            <w:tcW w:w="0" w:type="dxa"/>
            <w:vAlign w:val="bottom"/>
          </w:tcPr>
          <w:p>
            <w:pPr>
              <w:spacing w:after="0"/>
              <w:rPr>
                <w:sz w:val="1"/>
                <w:szCs w:val="1"/>
                <w:color w:val="auto"/>
              </w:rPr>
            </w:pPr>
          </w:p>
        </w:tc>
      </w:tr>
      <w:tr>
        <w:trPr>
          <w:trHeight w:val="160"/>
        </w:trPr>
        <w:tc>
          <w:tcPr>
            <w:tcW w:w="600" w:type="dxa"/>
            <w:vAlign w:val="bottom"/>
            <w:vMerge w:val="continue"/>
          </w:tcPr>
          <w:p>
            <w:pPr>
              <w:spacing w:after="0"/>
              <w:rPr>
                <w:sz w:val="13"/>
                <w:szCs w:val="13"/>
                <w:color w:val="auto"/>
              </w:rPr>
            </w:pPr>
          </w:p>
        </w:tc>
        <w:tc>
          <w:tcPr>
            <w:tcW w:w="93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Exchange Act of 1934, as amended, as adopted pursuant to Section 302 of the Sarbanes-Oxley Act of 2002.</w:t>
            </w:r>
          </w:p>
        </w:tc>
        <w:tc>
          <w:tcPr>
            <w:tcW w:w="0" w:type="dxa"/>
            <w:vAlign w:val="bottom"/>
          </w:tcPr>
          <w:p>
            <w:pPr>
              <w:spacing w:after="0"/>
              <w:rPr>
                <w:sz w:val="1"/>
                <w:szCs w:val="1"/>
                <w:color w:val="auto"/>
              </w:rPr>
            </w:pPr>
          </w:p>
        </w:tc>
      </w:tr>
      <w:tr>
        <w:trPr>
          <w:trHeight w:val="100"/>
        </w:trPr>
        <w:tc>
          <w:tcPr>
            <w:tcW w:w="600" w:type="dxa"/>
            <w:vAlign w:val="bottom"/>
          </w:tcPr>
          <w:p>
            <w:pPr>
              <w:spacing w:after="0"/>
              <w:rPr>
                <w:sz w:val="8"/>
                <w:szCs w:val="8"/>
                <w:color w:val="auto"/>
              </w:rPr>
            </w:pPr>
          </w:p>
        </w:tc>
        <w:tc>
          <w:tcPr>
            <w:tcW w:w="9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31.2</w:t>
            </w:r>
          </w:p>
        </w:tc>
        <w:tc>
          <w:tcPr>
            <w:tcW w:w="9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Certification of the Registrant’s Chief Financial Officer pursuant to Rule 13a-14(a)/15d-14(a) of the Securities</w:t>
            </w:r>
          </w:p>
        </w:tc>
        <w:tc>
          <w:tcPr>
            <w:tcW w:w="0" w:type="dxa"/>
            <w:vAlign w:val="bottom"/>
          </w:tcPr>
          <w:p>
            <w:pPr>
              <w:spacing w:after="0"/>
              <w:rPr>
                <w:sz w:val="1"/>
                <w:szCs w:val="1"/>
                <w:color w:val="auto"/>
              </w:rPr>
            </w:pPr>
          </w:p>
        </w:tc>
      </w:tr>
      <w:tr>
        <w:trPr>
          <w:trHeight w:val="160"/>
        </w:trPr>
        <w:tc>
          <w:tcPr>
            <w:tcW w:w="600" w:type="dxa"/>
            <w:vAlign w:val="bottom"/>
            <w:vMerge w:val="continue"/>
          </w:tcPr>
          <w:p>
            <w:pPr>
              <w:spacing w:after="0"/>
              <w:rPr>
                <w:sz w:val="13"/>
                <w:szCs w:val="13"/>
                <w:color w:val="auto"/>
              </w:rPr>
            </w:pPr>
          </w:p>
        </w:tc>
        <w:tc>
          <w:tcPr>
            <w:tcW w:w="93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Exchange Act of 1934, as amended, as adopted pursuant to Section 302 of the Sarbanes-Oxley Act of 2002.</w:t>
            </w:r>
          </w:p>
        </w:tc>
        <w:tc>
          <w:tcPr>
            <w:tcW w:w="0" w:type="dxa"/>
            <w:vAlign w:val="bottom"/>
          </w:tcPr>
          <w:p>
            <w:pPr>
              <w:spacing w:after="0"/>
              <w:rPr>
                <w:sz w:val="1"/>
                <w:szCs w:val="1"/>
                <w:color w:val="auto"/>
              </w:rPr>
            </w:pPr>
          </w:p>
        </w:tc>
      </w:tr>
      <w:tr>
        <w:trPr>
          <w:trHeight w:val="100"/>
        </w:trPr>
        <w:tc>
          <w:tcPr>
            <w:tcW w:w="600" w:type="dxa"/>
            <w:vAlign w:val="bottom"/>
          </w:tcPr>
          <w:p>
            <w:pPr>
              <w:spacing w:after="0"/>
              <w:rPr>
                <w:sz w:val="8"/>
                <w:szCs w:val="8"/>
                <w:color w:val="auto"/>
              </w:rPr>
            </w:pPr>
          </w:p>
        </w:tc>
        <w:tc>
          <w:tcPr>
            <w:tcW w:w="9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32.1</w:t>
            </w:r>
          </w:p>
        </w:tc>
        <w:tc>
          <w:tcPr>
            <w:tcW w:w="9380" w:type="dxa"/>
            <w:vAlign w:val="bottom"/>
          </w:tcPr>
          <w:p>
            <w:pPr>
              <w:ind w:left="260"/>
              <w:spacing w:after="0"/>
              <w:rPr>
                <w:sz w:val="20"/>
                <w:szCs w:val="20"/>
                <w:color w:val="auto"/>
              </w:rPr>
            </w:pPr>
            <w:r>
              <w:rPr>
                <w:rFonts w:ascii="Times New Roman" w:cs="Times New Roman" w:eastAsia="Times New Roman" w:hAnsi="Times New Roman"/>
                <w:sz w:val="20"/>
                <w:szCs w:val="20"/>
                <w:color w:val="auto"/>
                <w:w w:val="99"/>
              </w:rPr>
              <w:t>Certifications of the Registrant’s Chief Executive Officer and Chief Financial Officer pursuant to 18 U.S.C. 1350,</w:t>
            </w:r>
          </w:p>
        </w:tc>
        <w:tc>
          <w:tcPr>
            <w:tcW w:w="0" w:type="dxa"/>
            <w:vAlign w:val="bottom"/>
          </w:tcPr>
          <w:p>
            <w:pPr>
              <w:spacing w:after="0"/>
              <w:rPr>
                <w:sz w:val="1"/>
                <w:szCs w:val="1"/>
                <w:color w:val="auto"/>
              </w:rPr>
            </w:pPr>
          </w:p>
        </w:tc>
      </w:tr>
      <w:tr>
        <w:trPr>
          <w:trHeight w:val="160"/>
        </w:trPr>
        <w:tc>
          <w:tcPr>
            <w:tcW w:w="600" w:type="dxa"/>
            <w:vAlign w:val="bottom"/>
            <w:vMerge w:val="continue"/>
          </w:tcPr>
          <w:p>
            <w:pPr>
              <w:spacing w:after="0"/>
              <w:rPr>
                <w:sz w:val="13"/>
                <w:szCs w:val="13"/>
                <w:color w:val="auto"/>
              </w:rPr>
            </w:pPr>
          </w:p>
        </w:tc>
        <w:tc>
          <w:tcPr>
            <w:tcW w:w="938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auto"/>
              </w:rPr>
              <w:t>as adopted pursuant to Section 906 of the Sarbanes-Oxley Act of 2002.</w:t>
            </w:r>
          </w:p>
        </w:tc>
        <w:tc>
          <w:tcPr>
            <w:tcW w:w="0" w:type="dxa"/>
            <w:vAlign w:val="bottom"/>
          </w:tcPr>
          <w:p>
            <w:pPr>
              <w:spacing w:after="0"/>
              <w:rPr>
                <w:sz w:val="1"/>
                <w:szCs w:val="1"/>
                <w:color w:val="auto"/>
              </w:rPr>
            </w:pPr>
          </w:p>
        </w:tc>
      </w:tr>
      <w:tr>
        <w:trPr>
          <w:trHeight w:val="100"/>
        </w:trPr>
        <w:tc>
          <w:tcPr>
            <w:tcW w:w="600" w:type="dxa"/>
            <w:vAlign w:val="bottom"/>
          </w:tcPr>
          <w:p>
            <w:pPr>
              <w:spacing w:after="0"/>
              <w:rPr>
                <w:sz w:val="8"/>
                <w:szCs w:val="8"/>
                <w:color w:val="auto"/>
              </w:rPr>
            </w:pPr>
          </w:p>
        </w:tc>
        <w:tc>
          <w:tcPr>
            <w:tcW w:w="9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9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Versant Media Group. Inc. Recoupment Policy.</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900" w:right="60"/>
        <w:spacing w:after="0" w:line="220" w:lineRule="auto"/>
        <w:rPr>
          <w:sz w:val="20"/>
          <w:szCs w:val="20"/>
          <w:color w:val="auto"/>
        </w:rPr>
      </w:pPr>
      <w:r>
        <w:rPr>
          <w:rFonts w:ascii="Times New Roman" w:cs="Times New Roman" w:eastAsia="Times New Roman" w:hAnsi="Times New Roman"/>
          <w:sz w:val="20"/>
          <w:szCs w:val="20"/>
          <w:color w:val="auto"/>
        </w:rPr>
        <w:t>The following financial statements from Versant’s Annual Report on Form 10-K for the year ended December 31, 2025, filed with the Securities and Exchange Commission on March 3, 2026, formatted in Inline Extensible</w:t>
      </w:r>
    </w:p>
    <w:p>
      <w:pPr>
        <w:jc w:val="both"/>
        <w:ind w:left="900" w:hanging="854"/>
        <w:spacing w:after="0" w:line="233" w:lineRule="auto"/>
        <w:tabs>
          <w:tab w:leader="none" w:pos="90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Reporting Language (iXBRL): (1) the Consolidated Statement of Income; (2) the Consolidated Statement of Comprehensive Income; (3) the Consolidated Statement of Cash Flows; (4) the Consolidated Balance Sheet; (5) the Consolidated Statement of Changes in Equity; and (6) the Notes to Consolidated Financial Statements.</w:t>
      </w:r>
    </w:p>
    <w:p>
      <w:pPr>
        <w:spacing w:after="0" w:line="24"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20"/>
          <w:szCs w:val="20"/>
          <w:color w:val="auto"/>
        </w:rPr>
        <w:t>Cover Page Interactive Data File (embedded within the iXBRL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238760</wp:posOffset>
                </wp:positionV>
                <wp:extent cx="6514465"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8.8pt" to="512.65pt,18.8pt" o:allowincell="f" strokecolor="#000000" strokeweight="1pt"/>
            </w:pict>
          </mc:Fallback>
        </mc:AlternateContent>
      </w:r>
    </w:p>
    <w:p>
      <w:pPr>
        <w:spacing w:after="0" w:line="388" w:lineRule="exact"/>
        <w:rPr>
          <w:sz w:val="20"/>
          <w:szCs w:val="20"/>
          <w:color w:val="auto"/>
        </w:rPr>
      </w:pPr>
    </w:p>
    <w:p>
      <w:pPr>
        <w:ind w:left="900" w:hanging="854"/>
        <w:spacing w:after="0"/>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Constitutes a management contract or compensatory plan or arrangement.</w:t>
      </w:r>
    </w:p>
    <w:p>
      <w:pPr>
        <w:spacing w:after="0" w:line="72" w:lineRule="exact"/>
        <w:rPr>
          <w:sz w:val="20"/>
          <w:szCs w:val="20"/>
          <w:color w:val="auto"/>
        </w:rPr>
      </w:pPr>
    </w:p>
    <w:p>
      <w:pPr>
        <w:ind w:left="900" w:right="420" w:hanging="854"/>
        <w:spacing w:after="0"/>
        <w:tabs>
          <w:tab w:leader="none" w:pos="9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and exhibits to this agreement have been omitted pursuant to Item 601(a)(5) of Regulation S-K. A copy of any omitted schedule and/or exhibit will be furnished supplementally to the SEC upon request.</w:t>
      </w:r>
    </w:p>
    <w:p>
      <w:pPr>
        <w:spacing w:after="0" w:line="37" w:lineRule="exact"/>
        <w:rPr>
          <w:sz w:val="20"/>
          <w:szCs w:val="20"/>
          <w:color w:val="auto"/>
        </w:rPr>
      </w:pPr>
    </w:p>
    <w:p>
      <w:pPr>
        <w:ind w:left="900" w:hanging="854"/>
        <w:spacing w:after="0"/>
        <w:tabs>
          <w:tab w:leader="none" w:pos="9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personally identifiable information has been omitted from this exhibit pursuant to Item 601(a)(6) of Regulation S-K.</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100"/>
          </w:cols>
          <w:pgMar w:left="1000" w:top="1366" w:right="11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100"/>
          </w:cols>
          <w:pgMar w:left="1000" w:top="1366" w:right="1140" w:bottom="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 on March 3, 2026.</w:t>
      </w:r>
    </w:p>
    <w:p>
      <w:pPr>
        <w:spacing w:after="0" w:line="174" w:lineRule="exact"/>
        <w:rPr>
          <w:sz w:val="20"/>
          <w:szCs w:val="20"/>
          <w:color w:val="auto"/>
        </w:rPr>
      </w:pPr>
    </w:p>
    <w:p>
      <w:pPr>
        <w:ind w:left="3540"/>
        <w:spacing w:after="0"/>
        <w:tabs>
          <w:tab w:leader="none" w:pos="6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MARK LAZARUS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2862580</wp:posOffset>
                </wp:positionH>
                <wp:positionV relativeFrom="paragraph">
                  <wp:posOffset>40640</wp:posOffset>
                </wp:positionV>
                <wp:extent cx="36480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48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5.4pt,3.2pt" to="512.65pt,3.2pt" o:allowincell="f" strokecolor="#000000" strokeweight="1pt"/>
            </w:pict>
          </mc:Fallback>
        </mc:AlternateContent>
      </w:r>
    </w:p>
    <w:p>
      <w:pPr>
        <w:spacing w:after="0" w:line="3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20"/>
          <w:szCs w:val="20"/>
          <w:color w:val="auto"/>
        </w:rPr>
        <w:t>Mark Lazarus</w:t>
      </w:r>
    </w:p>
    <w:p>
      <w:pPr>
        <w:spacing w:after="0" w:line="51"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20"/>
          <w:szCs w:val="20"/>
          <w:b w:val="1"/>
          <w:bCs w:val="1"/>
          <w:i w:val="1"/>
          <w:iCs w:val="1"/>
          <w:color w:val="auto"/>
        </w:rPr>
        <w:t>Chief Executive Officer</w:t>
      </w:r>
    </w:p>
    <w:p>
      <w:pPr>
        <w:spacing w:after="0" w:line="34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95" w:lineRule="exact"/>
        <w:rPr>
          <w:sz w:val="20"/>
          <w:szCs w:val="20"/>
          <w:color w:val="auto"/>
        </w:rPr>
      </w:pPr>
    </w:p>
    <w:p>
      <w:pPr>
        <w:ind w:left="1340"/>
        <w:spacing w:after="0"/>
        <w:tabs>
          <w:tab w:leader="none" w:pos="5480" w:val="left"/>
          <w:tab w:leader="none" w:pos="88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651446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512.65pt,2.15pt" o:allowincell="f" strokecolor="#000000" strokeweight="1pt"/>
            </w:pict>
          </mc:Fallback>
        </mc:AlternateContent>
      </w:r>
    </w:p>
    <w:p>
      <w:pPr>
        <w:sectPr>
          <w:pgSz w:w="12240" w:h="15840" w:orient="portrait"/>
          <w:cols w:equalWidth="0" w:num="1">
            <w:col w:w="10240"/>
          </w:cols>
          <w:pgMar w:left="1000" w:top="1198" w:right="1000" w:bottom="0" w:gutter="0" w:footer="0" w:header="0"/>
        </w:sectPr>
      </w:pPr>
    </w:p>
    <w:p>
      <w:pPr>
        <w:spacing w:after="0" w:line="37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color w:val="auto"/>
        </w:rPr>
        <w:t>/s/ MARK LAZARUS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color w:val="auto"/>
        </w:rPr>
        <w:t>Mark Lazarus</w:t>
      </w:r>
    </w:p>
    <w:p>
      <w:pPr>
        <w:spacing w:after="0" w:line="1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color w:val="auto"/>
        </w:rPr>
        <w:t>/s/ ANAND M. KINI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0"/>
          <w:szCs w:val="20"/>
          <w:color w:val="auto"/>
        </w:rPr>
        <w:t>Anand M. Kini</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/s/ GREGORY WRIGHT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67310</wp:posOffset>
                </wp:positionV>
                <wp:extent cx="219964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5.3pt" to="172.9pt,5.3pt" o:allowincell="f" strokecolor="#000000" strokeweight="1pt"/>
            </w:pict>
          </mc:Fallback>
        </mc:AlternateConten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Gregory Wright</w:t>
      </w:r>
    </w:p>
    <w:p>
      <w:pPr>
        <w:spacing w:after="0" w:line="1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/s/ DAVID NOVAK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David Novak</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/s/ REBECCA S. CAMPBELL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34290</wp:posOffset>
                </wp:positionV>
                <wp:extent cx="219964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7pt" to="172.9pt,2.7pt" o:allowincell="f" strokecolor="#000000" strokeweight="1pt"/>
            </w:pict>
          </mc:Fallback>
        </mc:AlternateConten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Rebecca S. Campbell</w:t>
      </w:r>
    </w:p>
    <w:p>
      <w:pPr>
        <w:spacing w:after="0" w:line="1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/s/ CREIGHTON CORDON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Creighton Condon</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/s/ MICHAEL A. CONWAY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Michael A. Conway</w:t>
      </w:r>
    </w:p>
    <w:p>
      <w:pPr>
        <w:spacing w:after="0" w:line="11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/s/ DAVID EUN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David Eun</w:t>
      </w:r>
    </w:p>
    <w:p>
      <w:pPr>
        <w:spacing w:after="0" w:line="1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/s/ GERALD L. HASSEL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Gerald L. Hassell</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/s/ W. SCOTT MAHONEY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W. Scott Mahoney</w:t>
      </w:r>
    </w:p>
    <w:p>
      <w:pPr>
        <w:spacing w:after="0" w:line="1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/s/ MARITZA MONTIEL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color w:val="auto"/>
        </w:rPr>
        <w:t>Maritza Montiel</w:t>
      </w: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 LEONARD POTTER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27305</wp:posOffset>
                </wp:positionV>
                <wp:extent cx="21996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96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15pt" to="172.9pt,2.15pt" o:allowincell="f" strokecolor="#000000" strokeweight="1pt"/>
            </w:pict>
          </mc:Fallback>
        </mc:AlternateContent>
      </w:r>
    </w:p>
    <w:p>
      <w:pPr>
        <w:spacing w:after="0" w:line="3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Leonard A. Potter</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454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Chief Executive Officer and 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26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540" w:type="dxa"/>
            <w:vAlign w:val="bottom"/>
          </w:tcPr>
          <w:p>
            <w:pPr>
              <w:spacing w:after="0"/>
              <w:rPr>
                <w:sz w:val="22"/>
                <w:szCs w:val="22"/>
                <w:color w:val="auto"/>
              </w:rPr>
            </w:pPr>
          </w:p>
        </w:tc>
      </w:tr>
      <w:tr>
        <w:trPr>
          <w:trHeight w:val="317"/>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rPr>
              <w:t>Chief Financial Officer and Chief Operating Officer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260"/>
        </w:trPr>
        <w:tc>
          <w:tcPr>
            <w:tcW w:w="4540" w:type="dxa"/>
            <w:vAlign w:val="bottom"/>
          </w:tcPr>
          <w:p>
            <w:pPr>
              <w:jc w:val="center"/>
              <w:ind w:right="24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1540" w:type="dxa"/>
            <w:vAlign w:val="bottom"/>
          </w:tcPr>
          <w:p>
            <w:pPr>
              <w:spacing w:after="0"/>
              <w:rPr>
                <w:sz w:val="22"/>
                <w:szCs w:val="22"/>
                <w:color w:val="auto"/>
              </w:rPr>
            </w:pPr>
          </w:p>
        </w:tc>
      </w:tr>
      <w:tr>
        <w:trPr>
          <w:trHeight w:val="37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Chief Accounting</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200"/>
        </w:trPr>
        <w:tc>
          <w:tcPr>
            <w:tcW w:w="4540" w:type="dxa"/>
            <w:vAlign w:val="bottom"/>
          </w:tcPr>
          <w:p>
            <w:pPr>
              <w:jc w:val="center"/>
              <w:ind w:right="260"/>
              <w:spacing w:after="0" w:line="200" w:lineRule="exact"/>
              <w:rPr>
                <w:sz w:val="20"/>
                <w:szCs w:val="20"/>
                <w:color w:val="auto"/>
              </w:rPr>
            </w:pPr>
            <w:r>
              <w:rPr>
                <w:rFonts w:ascii="Times New Roman" w:cs="Times New Roman" w:eastAsia="Times New Roman" w:hAnsi="Times New Roman"/>
                <w:sz w:val="20"/>
                <w:szCs w:val="20"/>
                <w:color w:val="auto"/>
                <w:w w:val="99"/>
              </w:rPr>
              <w:t>Officer and Controller</w:t>
            </w:r>
          </w:p>
        </w:tc>
        <w:tc>
          <w:tcPr>
            <w:tcW w:w="1540" w:type="dxa"/>
            <w:vAlign w:val="bottom"/>
          </w:tcPr>
          <w:p>
            <w:pPr>
              <w:spacing w:after="0"/>
              <w:rPr>
                <w:sz w:val="17"/>
                <w:szCs w:val="17"/>
                <w:color w:val="auto"/>
              </w:rPr>
            </w:pPr>
          </w:p>
        </w:tc>
      </w:tr>
      <w:tr>
        <w:trPr>
          <w:trHeight w:val="26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9"/>
              </w:rPr>
              <w:t>(Principal Accounting Officer)</w:t>
            </w:r>
          </w:p>
        </w:tc>
        <w:tc>
          <w:tcPr>
            <w:tcW w:w="1540" w:type="dxa"/>
            <w:vAlign w:val="bottom"/>
          </w:tcPr>
          <w:p>
            <w:pPr>
              <w:spacing w:after="0"/>
              <w:rPr>
                <w:sz w:val="22"/>
                <w:szCs w:val="22"/>
                <w:color w:val="auto"/>
              </w:rPr>
            </w:pPr>
          </w:p>
        </w:tc>
      </w:tr>
      <w:tr>
        <w:trPr>
          <w:trHeight w:val="335"/>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Chairman</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r>
        <w:trPr>
          <w:trHeight w:val="630"/>
        </w:trPr>
        <w:tc>
          <w:tcPr>
            <w:tcW w:w="4540" w:type="dxa"/>
            <w:vAlign w:val="bottom"/>
          </w:tcPr>
          <w:p>
            <w:pPr>
              <w:jc w:val="center"/>
              <w:ind w:right="260"/>
              <w:spacing w:after="0"/>
              <w:rPr>
                <w:sz w:val="20"/>
                <w:szCs w:val="20"/>
                <w:color w:val="auto"/>
              </w:rPr>
            </w:pPr>
            <w:r>
              <w:rPr>
                <w:rFonts w:ascii="Times New Roman" w:cs="Times New Roman" w:eastAsia="Times New Roman" w:hAnsi="Times New Roman"/>
                <w:sz w:val="20"/>
                <w:szCs w:val="20"/>
                <w:color w:val="auto"/>
                <w:w w:val="98"/>
              </w:rPr>
              <w:t>Director</w:t>
            </w:r>
          </w:p>
        </w:tc>
        <w:tc>
          <w:tcPr>
            <w:tcW w:w="15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March 3, 2026</w:t>
            </w:r>
          </w:p>
        </w:tc>
      </w:tr>
    </w:tbl>
    <w:p>
      <w:pPr>
        <w:spacing w:after="0" w:line="475" w:lineRule="exact"/>
        <w:rPr>
          <w:sz w:val="20"/>
          <w:szCs w:val="20"/>
          <w:color w:val="auto"/>
        </w:rPr>
      </w:pPr>
    </w:p>
    <w:p>
      <w:pPr>
        <w:sectPr>
          <w:pgSz w:w="12240" w:h="15840" w:orient="portrait"/>
          <w:cols w:equalWidth="0" w:num="2">
            <w:col w:w="2960" w:space="640"/>
            <w:col w:w="6640"/>
          </w:cols>
          <w:pgMar w:left="1000" w:top="1198" w:right="10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240"/>
          </w:cols>
          <w:pgMar w:left="1000" w:top="1198" w:right="100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8"/>
          <w:szCs w:val="28"/>
          <w:b w:val="1"/>
          <w:bCs w:val="1"/>
          <w:color w:val="A6A6A6"/>
        </w:rPr>
        <w:t>BOARD OF DIRECTORS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Mark Lazarus</w:t>
            </w:r>
          </w:p>
        </w:tc>
        <w:tc>
          <w:tcPr>
            <w:tcW w:w="4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David Eun</w:t>
            </w:r>
          </w:p>
        </w:tc>
      </w:tr>
      <w:tr>
        <w:trPr>
          <w:trHeight w:val="266"/>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Advisor, Kanza AI,</w:t>
            </w:r>
          </w:p>
        </w:tc>
      </w:tr>
      <w:tr>
        <w:trPr>
          <w:trHeight w:val="265"/>
        </w:trPr>
        <w:tc>
          <w:tcPr>
            <w:tcW w:w="4200" w:type="dxa"/>
            <w:vAlign w:val="bottom"/>
          </w:tcPr>
          <w:p>
            <w:pPr>
              <w:spacing w:after="0"/>
              <w:rPr>
                <w:sz w:val="23"/>
                <w:szCs w:val="23"/>
                <w:color w:val="auto"/>
              </w:rPr>
            </w:pP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Former President and Chief Innovation Officer,</w:t>
            </w:r>
          </w:p>
        </w:tc>
      </w:tr>
      <w:tr>
        <w:trPr>
          <w:trHeight w:val="289"/>
        </w:trPr>
        <w:tc>
          <w:tcPr>
            <w:tcW w:w="4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David Novak</w:t>
            </w: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Samsung Electronics</w:t>
            </w:r>
          </w:p>
        </w:tc>
      </w:tr>
      <w:tr>
        <w:trPr>
          <w:trHeight w:val="266"/>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w:t>
            </w:r>
          </w:p>
        </w:tc>
        <w:tc>
          <w:tcPr>
            <w:tcW w:w="4640" w:type="dxa"/>
            <w:vAlign w:val="bottom"/>
          </w:tcPr>
          <w:p>
            <w:pPr>
              <w:spacing w:after="0"/>
              <w:rPr>
                <w:sz w:val="23"/>
                <w:szCs w:val="23"/>
                <w:color w:val="auto"/>
              </w:rPr>
            </w:pPr>
          </w:p>
        </w:tc>
      </w:tr>
      <w:tr>
        <w:trPr>
          <w:trHeight w:val="26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Co-Founder, Retired Chairman, and</w:t>
            </w:r>
          </w:p>
        </w:tc>
        <w:tc>
          <w:tcPr>
            <w:tcW w:w="4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Gerald L. Hassell</w:t>
            </w:r>
          </w:p>
        </w:tc>
      </w:tr>
      <w:tr>
        <w:trPr>
          <w:trHeight w:val="26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 Yum! Brands, Inc.</w:t>
            </w: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Former Chairman and Chief Executive Officer,</w:t>
            </w:r>
          </w:p>
        </w:tc>
      </w:tr>
      <w:tr>
        <w:trPr>
          <w:trHeight w:val="266"/>
        </w:trPr>
        <w:tc>
          <w:tcPr>
            <w:tcW w:w="4200" w:type="dxa"/>
            <w:vAlign w:val="bottom"/>
          </w:tcPr>
          <w:p>
            <w:pPr>
              <w:spacing w:after="0"/>
              <w:rPr>
                <w:sz w:val="23"/>
                <w:szCs w:val="23"/>
                <w:color w:val="auto"/>
              </w:rPr>
            </w:pP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The Bank of New York Mellon Corporation</w:t>
            </w:r>
          </w:p>
        </w:tc>
      </w:tr>
      <w:tr>
        <w:trPr>
          <w:trHeight w:val="289"/>
        </w:trPr>
        <w:tc>
          <w:tcPr>
            <w:tcW w:w="4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Rebecca S. Campbell</w:t>
            </w:r>
          </w:p>
        </w:tc>
        <w:tc>
          <w:tcPr>
            <w:tcW w:w="4640" w:type="dxa"/>
            <w:vAlign w:val="bottom"/>
          </w:tcPr>
          <w:p>
            <w:pPr>
              <w:spacing w:after="0"/>
              <w:rPr>
                <w:sz w:val="24"/>
                <w:szCs w:val="24"/>
                <w:color w:val="auto"/>
              </w:rPr>
            </w:pPr>
          </w:p>
        </w:tc>
      </w:tr>
      <w:tr>
        <w:trPr>
          <w:trHeight w:val="266"/>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Former Chairman of International Content and</w:t>
            </w:r>
          </w:p>
        </w:tc>
        <w:tc>
          <w:tcPr>
            <w:tcW w:w="4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W. Scott Mahoney</w:t>
            </w:r>
          </w:p>
        </w:tc>
      </w:tr>
      <w:tr>
        <w:trPr>
          <w:trHeight w:val="26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Operations, The Walt Disney Company</w:t>
            </w: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Chairman and Chief Executive Officer,</w:t>
            </w:r>
          </w:p>
        </w:tc>
      </w:tr>
      <w:tr>
        <w:trPr>
          <w:trHeight w:val="265"/>
        </w:trPr>
        <w:tc>
          <w:tcPr>
            <w:tcW w:w="4200" w:type="dxa"/>
            <w:vAlign w:val="bottom"/>
          </w:tcPr>
          <w:p>
            <w:pPr>
              <w:spacing w:after="0"/>
              <w:rPr>
                <w:sz w:val="23"/>
                <w:szCs w:val="23"/>
                <w:color w:val="auto"/>
              </w:rPr>
            </w:pP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Peter Millar LLC</w:t>
            </w:r>
          </w:p>
        </w:tc>
      </w:tr>
      <w:tr>
        <w:trPr>
          <w:trHeight w:val="289"/>
        </w:trPr>
        <w:tc>
          <w:tcPr>
            <w:tcW w:w="4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Creighton Condon</w:t>
            </w:r>
          </w:p>
        </w:tc>
        <w:tc>
          <w:tcPr>
            <w:tcW w:w="4640" w:type="dxa"/>
            <w:vAlign w:val="bottom"/>
          </w:tcPr>
          <w:p>
            <w:pPr>
              <w:spacing w:after="0"/>
              <w:rPr>
                <w:sz w:val="24"/>
                <w:szCs w:val="24"/>
                <w:color w:val="auto"/>
              </w:rPr>
            </w:pPr>
          </w:p>
        </w:tc>
      </w:tr>
      <w:tr>
        <w:trPr>
          <w:trHeight w:val="266"/>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Of Counsel, A&amp;O Shearman</w:t>
            </w:r>
          </w:p>
        </w:tc>
        <w:tc>
          <w:tcPr>
            <w:tcW w:w="4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Maritza Montiel</w:t>
            </w:r>
          </w:p>
        </w:tc>
      </w:tr>
      <w:tr>
        <w:trPr>
          <w:trHeight w:val="265"/>
        </w:trPr>
        <w:tc>
          <w:tcPr>
            <w:tcW w:w="4200" w:type="dxa"/>
            <w:vAlign w:val="bottom"/>
          </w:tcPr>
          <w:p>
            <w:pPr>
              <w:spacing w:after="0"/>
              <w:rPr>
                <w:sz w:val="23"/>
                <w:szCs w:val="23"/>
                <w:color w:val="auto"/>
              </w:rPr>
            </w:pP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Former Deputy Chief Executive Officer and Vice</w:t>
            </w:r>
          </w:p>
        </w:tc>
      </w:tr>
      <w:tr>
        <w:trPr>
          <w:trHeight w:val="289"/>
        </w:trPr>
        <w:tc>
          <w:tcPr>
            <w:tcW w:w="42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Michael A. Conway</w:t>
            </w: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9"/>
              </w:rPr>
              <w:t>Chairman of Deloitte &amp; Touche LLP, U.S. Business</w:t>
            </w:r>
          </w:p>
        </w:tc>
      </w:tr>
      <w:tr>
        <w:trPr>
          <w:trHeight w:val="266"/>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Former Chief Executive Officer,</w:t>
            </w:r>
          </w:p>
        </w:tc>
        <w:tc>
          <w:tcPr>
            <w:tcW w:w="4640" w:type="dxa"/>
            <w:vAlign w:val="bottom"/>
          </w:tcPr>
          <w:p>
            <w:pPr>
              <w:spacing w:after="0"/>
              <w:rPr>
                <w:sz w:val="23"/>
                <w:szCs w:val="23"/>
                <w:color w:val="auto"/>
              </w:rPr>
            </w:pPr>
          </w:p>
        </w:tc>
      </w:tr>
      <w:tr>
        <w:trPr>
          <w:trHeight w:val="265"/>
        </w:trPr>
        <w:tc>
          <w:tcPr>
            <w:tcW w:w="4200" w:type="dxa"/>
            <w:vAlign w:val="bottom"/>
          </w:tcPr>
          <w:p>
            <w:pPr>
              <w:spacing w:after="0"/>
              <w:rPr>
                <w:sz w:val="20"/>
                <w:szCs w:val="20"/>
                <w:color w:val="auto"/>
              </w:rPr>
            </w:pPr>
            <w:r>
              <w:rPr>
                <w:rFonts w:ascii="Times New Roman" w:cs="Times New Roman" w:eastAsia="Times New Roman" w:hAnsi="Times New Roman"/>
                <w:sz w:val="20"/>
                <w:szCs w:val="20"/>
                <w:color w:val="auto"/>
              </w:rPr>
              <w:t>Starbucks North America</w:t>
            </w:r>
          </w:p>
        </w:tc>
        <w:tc>
          <w:tcPr>
            <w:tcW w:w="4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Leonard A. Potter</w:t>
            </w:r>
          </w:p>
        </w:tc>
      </w:tr>
      <w:tr>
        <w:trPr>
          <w:trHeight w:val="265"/>
        </w:trPr>
        <w:tc>
          <w:tcPr>
            <w:tcW w:w="4200" w:type="dxa"/>
            <w:vAlign w:val="bottom"/>
          </w:tcPr>
          <w:p>
            <w:pPr>
              <w:spacing w:after="0"/>
              <w:rPr>
                <w:sz w:val="23"/>
                <w:szCs w:val="23"/>
                <w:color w:val="auto"/>
              </w:rPr>
            </w:pP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Founder, Chief Executive Officer, and</w:t>
            </w:r>
          </w:p>
        </w:tc>
      </w:tr>
      <w:tr>
        <w:trPr>
          <w:trHeight w:val="265"/>
        </w:trPr>
        <w:tc>
          <w:tcPr>
            <w:tcW w:w="4200" w:type="dxa"/>
            <w:vAlign w:val="bottom"/>
          </w:tcPr>
          <w:p>
            <w:pPr>
              <w:spacing w:after="0"/>
              <w:rPr>
                <w:sz w:val="23"/>
                <w:szCs w:val="23"/>
                <w:color w:val="auto"/>
              </w:rPr>
            </w:pP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Chief Investment Officer, Wildcat Capital</w:t>
            </w:r>
          </w:p>
        </w:tc>
      </w:tr>
      <w:tr>
        <w:trPr>
          <w:trHeight w:val="260"/>
        </w:trPr>
        <w:tc>
          <w:tcPr>
            <w:tcW w:w="4200" w:type="dxa"/>
            <w:vAlign w:val="bottom"/>
          </w:tcPr>
          <w:p>
            <w:pPr>
              <w:spacing w:after="0"/>
              <w:rPr>
                <w:sz w:val="22"/>
                <w:szCs w:val="22"/>
                <w:color w:val="auto"/>
              </w:rPr>
            </w:pPr>
          </w:p>
        </w:tc>
        <w:tc>
          <w:tcPr>
            <w:tcW w:w="46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Management, LLC</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6A6A6"/>
        </w:rPr>
        <w:t>EXECUTIVE OFFICERS</w:t>
      </w:r>
    </w:p>
    <w:p>
      <w:pPr>
        <w:sectPr>
          <w:pgSz w:w="12240" w:h="15840" w:orient="portrait"/>
          <w:cols w:equalWidth="0" w:num="1">
            <w:col w:w="9360"/>
          </w:cols>
          <w:pgMar w:left="1440" w:top="1438" w:right="1440" w:bottom="1440" w:gutter="0" w:footer="0" w:header="0"/>
        </w:sectPr>
      </w:pPr>
    </w:p>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Mark Lazarus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Jordan R. Fasbender</w:t>
      </w:r>
    </w:p>
    <w:p>
      <w:pPr>
        <w:spacing w:after="0" w:line="46" w:lineRule="exact"/>
        <w:rPr>
          <w:sz w:val="20"/>
          <w:szCs w:val="20"/>
          <w:color w:val="auto"/>
        </w:rPr>
      </w:pPr>
    </w:p>
    <w:p>
      <w:pPr>
        <w:sectPr>
          <w:pgSz w:w="12240" w:h="15840" w:orient="portrait"/>
          <w:cols w:equalWidth="0" w:num="2">
            <w:col w:w="4080" w:space="720"/>
            <w:col w:w="4560"/>
          </w:cols>
          <w:pgMar w:left="1440" w:top="1438" w:right="144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9"/>
          <w:szCs w:val="19"/>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General Counsel and Corporate Secretary</w:t>
      </w:r>
    </w:p>
    <w:p>
      <w:pPr>
        <w:spacing w:after="0" w:line="200" w:lineRule="exact"/>
        <w:rPr>
          <w:sz w:val="20"/>
          <w:szCs w:val="20"/>
          <w:color w:val="auto"/>
        </w:rPr>
      </w:pPr>
    </w:p>
    <w:p>
      <w:pPr>
        <w:sectPr>
          <w:pgSz w:w="12240" w:h="15840" w:orient="portrait"/>
          <w:cols w:equalWidth="0" w:num="2">
            <w:col w:w="4080" w:space="720"/>
            <w:col w:w="4560"/>
          </w:cols>
          <w:pgMar w:left="1440" w:top="1438" w:right="1440" w:bottom="1440" w:gutter="0" w:footer="0" w:header="0"/>
          <w:type w:val="continuous"/>
        </w:sectPr>
      </w:pPr>
    </w:p>
    <w:p>
      <w:pPr>
        <w:spacing w:after="0" w:line="1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Anand M. Kini</w:t>
      </w:r>
    </w:p>
    <w:p>
      <w:pPr>
        <w:spacing w:after="0" w:line="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Chief Financial Officer and Chief Operating Officer</w:t>
      </w:r>
    </w:p>
    <w:p>
      <w:pPr>
        <w:sectPr>
          <w:pgSz w:w="12240" w:h="15840" w:orient="portrait"/>
          <w:cols w:equalWidth="0" w:num="1">
            <w:col w:w="9360"/>
          </w:cols>
          <w:pgMar w:left="1440" w:top="143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6A6A6"/>
        </w:rPr>
        <w:t>STOCKHOLDER INFORMATION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ANNUAL MEETING</w:t>
            </w:r>
          </w:p>
        </w:tc>
        <w:tc>
          <w:tcPr>
            <w:tcW w:w="41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REGISTRAR AND TRANSFER AGENT</w:t>
            </w:r>
          </w:p>
        </w:tc>
      </w:tr>
      <w:tr>
        <w:trPr>
          <w:trHeight w:val="283"/>
        </w:trPr>
        <w:tc>
          <w:tcPr>
            <w:tcW w:w="4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Versant Media Group, Inc., 2026 Annual Meeting of</w:t>
            </w:r>
          </w:p>
        </w:tc>
        <w:tc>
          <w:tcPr>
            <w:tcW w:w="41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EQ Shareowner Services</w:t>
            </w:r>
          </w:p>
        </w:tc>
      </w:tr>
      <w:tr>
        <w:trPr>
          <w:trHeight w:val="276"/>
        </w:trPr>
        <w:tc>
          <w:tcPr>
            <w:tcW w:w="4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Shareholders will be held on June 25, 2026, at 10:00</w:t>
            </w:r>
          </w:p>
        </w:tc>
        <w:tc>
          <w:tcPr>
            <w:tcW w:w="41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P.O. Box 64874</w:t>
            </w:r>
          </w:p>
        </w:tc>
      </w:tr>
      <w:tr>
        <w:trPr>
          <w:trHeight w:val="280"/>
        </w:trPr>
        <w:tc>
          <w:tcPr>
            <w:tcW w:w="4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a.m. EST and will be a virtual meeting. The meeting</w:t>
            </w:r>
          </w:p>
        </w:tc>
        <w:tc>
          <w:tcPr>
            <w:tcW w:w="41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St. Paul, MN 55164-0874</w:t>
            </w:r>
          </w:p>
        </w:tc>
      </w:tr>
      <w:tr>
        <w:trPr>
          <w:trHeight w:val="256"/>
        </w:trPr>
        <w:tc>
          <w:tcPr>
            <w:tcW w:w="4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website is</w:t>
            </w:r>
          </w:p>
        </w:tc>
        <w:tc>
          <w:tcPr>
            <w:tcW w:w="1300" w:type="dxa"/>
            <w:vAlign w:val="bottom"/>
            <w:tcBorders>
              <w:bottom w:val="single" w:sz="8" w:color="auto"/>
            </w:tcBorders>
          </w:tcPr>
          <w:p>
            <w:pPr>
              <w:spacing w:after="0"/>
              <w:rPr>
                <w:sz w:val="20"/>
                <w:szCs w:val="20"/>
                <w:color w:val="auto"/>
              </w:rPr>
            </w:pPr>
            <w:r>
              <w:rPr>
                <w:rFonts w:ascii="Cambria" w:cs="Cambria" w:eastAsia="Cambria" w:hAnsi="Cambria"/>
                <w:sz w:val="21"/>
                <w:szCs w:val="21"/>
                <w:color w:val="auto"/>
                <w:w w:val="98"/>
              </w:rPr>
              <w:t>866-927-1164</w:t>
            </w:r>
          </w:p>
        </w:tc>
        <w:tc>
          <w:tcPr>
            <w:tcW w:w="2800" w:type="dxa"/>
            <w:vAlign w:val="bottom"/>
          </w:tcPr>
          <w:p>
            <w:pPr>
              <w:spacing w:after="0"/>
              <w:rPr>
                <w:sz w:val="22"/>
                <w:szCs w:val="22"/>
                <w:color w:val="auto"/>
              </w:rPr>
            </w:pPr>
          </w:p>
        </w:tc>
      </w:tr>
      <w:tr>
        <w:trPr>
          <w:trHeight w:val="260"/>
        </w:trPr>
        <w:tc>
          <w:tcPr>
            <w:tcW w:w="4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www.virtualshareholdermeeting.com/VSNT2026.</w:t>
            </w:r>
          </w:p>
        </w:tc>
        <w:tc>
          <w:tcPr>
            <w:tcW w:w="4100" w:type="dxa"/>
            <w:vAlign w:val="bottom"/>
            <w:gridSpan w:val="2"/>
          </w:tcPr>
          <w:p>
            <w:pPr>
              <w:spacing w:after="0"/>
              <w:rPr>
                <w:sz w:val="20"/>
                <w:szCs w:val="20"/>
                <w:color w:val="auto"/>
              </w:rPr>
            </w:pPr>
            <w:r>
              <w:rPr>
                <w:rFonts w:ascii="Cambria" w:cs="Cambria" w:eastAsia="Cambria" w:hAnsi="Cambria"/>
                <w:sz w:val="21"/>
                <w:szCs w:val="21"/>
                <w:color w:val="auto"/>
                <w:w w:val="99"/>
              </w:rPr>
              <w:t>https://www.shareowneronline.com/versant</w:t>
            </w:r>
          </w:p>
        </w:tc>
      </w:tr>
      <w:tr>
        <w:trPr>
          <w:trHeight w:val="57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rPr>
              <w:t>AUDITORS</w:t>
            </w:r>
          </w:p>
        </w:tc>
        <w:tc>
          <w:tcPr>
            <w:tcW w:w="54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r>
      <w:tr>
        <w:trPr>
          <w:trHeight w:val="283"/>
        </w:trPr>
        <w:tc>
          <w:tcPr>
            <w:tcW w:w="46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Deloitte &amp; Touche LLP</w:t>
            </w:r>
          </w:p>
        </w:tc>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4381500</wp:posOffset>
            </wp:positionH>
            <wp:positionV relativeFrom="paragraph">
              <wp:posOffset>398145</wp:posOffset>
            </wp:positionV>
            <wp:extent cx="1557655" cy="255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extLst>
                        <a:ext uri="{28A0092B-C50C-407E-A947-70E740481C1C}"/>
                      </a:extLst>
                    </a:blip>
                    <a:srcRect/>
                    <a:stretch>
                      <a:fillRect/>
                    </a:stretch>
                  </pic:blipFill>
                  <pic:spPr bwMode="auto">
                    <a:xfrm>
                      <a:off x="0" y="0"/>
                      <a:ext cx="1557655" cy="255905"/>
                    </a:xfrm>
                    <a:prstGeom prst="rect">
                      <a:avLst/>
                    </a:prstGeom>
                    <a:noFill/>
                  </pic:spPr>
                </pic:pic>
              </a:graphicData>
            </a:graphic>
          </wp:anchor>
        </w:drawing>
      </w:r>
    </w:p>
    <w:sectPr>
      <w:pgSz w:w="12240" w:h="15840" w:orient="portrait"/>
      <w:cols w:equalWidth="0" w:num="1">
        <w:col w:w="9360"/>
      </w:cols>
      <w:pgMar w:left="1440" w:top="143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lowerLetter"/>
      <w:start w:val="1"/>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decimal"/>
      <w:start w:val="10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2026-04-23T20:53:52Z</dcterms:created>
  <dcterms:modified xsi:type="dcterms:W3CDTF">2026-04-23T20:53:52Z</dcterms:modified>
</cp:coreProperties>
</file>