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9, 2026</w:t>
      </w:r>
    </w:p>
    <w:p>
      <w:pPr>
        <w:spacing w:after="0" w:line="31" w:lineRule="exact"/>
        <w:rPr>
          <w:sz w:val="24"/>
          <w:szCs w:val="24"/>
          <w:color w:val="auto"/>
        </w:rPr>
      </w:pPr>
    </w:p>
    <w:p>
      <w:pPr>
        <w:ind w:left="8680"/>
        <w:spacing w:after="0"/>
        <w:rPr>
          <w:sz w:val="20"/>
          <w:szCs w:val="20"/>
          <w:color w:val="auto"/>
        </w:rPr>
      </w:pPr>
      <w:r>
        <w:rPr>
          <w:rFonts w:ascii="Times New Roman" w:cs="Times New Roman" w:eastAsia="Times New Roman" w:hAnsi="Times New Roman"/>
          <w:sz w:val="18"/>
          <w:szCs w:val="18"/>
          <w:b w:val="1"/>
          <w:bCs w:val="1"/>
          <w:color w:val="auto"/>
        </w:rPr>
        <w:t>Registration No. 333-________</w:t>
      </w:r>
    </w:p>
    <w:p>
      <w:pPr>
        <w:spacing w:after="0" w:line="184" w:lineRule="exact"/>
        <w:rPr>
          <w:sz w:val="24"/>
          <w:szCs w:val="24"/>
          <w:color w:val="auto"/>
        </w:rPr>
      </w:pPr>
    </w:p>
    <w:tbl>
      <w:tblPr>
        <w:tblLayout w:type="fixed"/>
        <w:tblInd w:w="760" w:type="dxa"/>
        <w:tblCellMar>
          <w:top w:w="0" w:type="dxa"/>
          <w:left w:w="0" w:type="dxa"/>
          <w:bottom w:w="0" w:type="dxa"/>
          <w:right w:w="0" w:type="dxa"/>
        </w:tblCellMar>
      </w:tblPr>
      <w:tr>
        <w:trPr>
          <w:trHeight w:val="253"/>
        </w:trPr>
        <w:tc>
          <w:tcPr>
            <w:tcW w:w="2360" w:type="dxa"/>
            <w:vAlign w:val="bottom"/>
          </w:tcPr>
          <w:p>
            <w:pPr>
              <w:spacing w:after="0"/>
              <w:rPr>
                <w:sz w:val="22"/>
                <w:szCs w:val="22"/>
                <w:color w:val="auto"/>
              </w:rPr>
            </w:pPr>
          </w:p>
        </w:tc>
        <w:tc>
          <w:tcPr>
            <w:tcW w:w="7100" w:type="dxa"/>
            <w:vAlign w:val="bottom"/>
          </w:tcPr>
          <w:p>
            <w:pPr>
              <w:jc w:val="center"/>
              <w:ind w:right="2029"/>
              <w:spacing w:after="0"/>
              <w:rPr>
                <w:sz w:val="20"/>
                <w:szCs w:val="20"/>
                <w:color w:val="auto"/>
              </w:rPr>
            </w:pPr>
            <w:r>
              <w:rPr>
                <w:rFonts w:ascii="Times New Roman" w:cs="Times New Roman" w:eastAsia="Times New Roman" w:hAnsi="Times New Roman"/>
                <w:sz w:val="22"/>
                <w:szCs w:val="22"/>
                <w:b w:val="1"/>
                <w:bCs w:val="1"/>
                <w:color w:val="auto"/>
                <w:w w:val="95"/>
              </w:rPr>
              <w:t>UNITED STATES</w:t>
            </w:r>
          </w:p>
        </w:tc>
      </w:tr>
      <w:tr>
        <w:trPr>
          <w:trHeight w:val="243"/>
        </w:trPr>
        <w:tc>
          <w:tcPr>
            <w:tcW w:w="2360" w:type="dxa"/>
            <w:vAlign w:val="bottom"/>
          </w:tcPr>
          <w:p>
            <w:pPr>
              <w:spacing w:after="0"/>
              <w:rPr>
                <w:sz w:val="21"/>
                <w:szCs w:val="21"/>
                <w:color w:val="auto"/>
              </w:rPr>
            </w:pPr>
          </w:p>
        </w:tc>
        <w:tc>
          <w:tcPr>
            <w:tcW w:w="7100" w:type="dxa"/>
            <w:vAlign w:val="bottom"/>
          </w:tcPr>
          <w:p>
            <w:pPr>
              <w:jc w:val="center"/>
              <w:ind w:right="2029"/>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AND EXCHANGE COMMISSION</w:t>
            </w:r>
          </w:p>
        </w:tc>
      </w:tr>
      <w:tr>
        <w:trPr>
          <w:trHeight w:val="286"/>
        </w:trPr>
        <w:tc>
          <w:tcPr>
            <w:tcW w:w="2360" w:type="dxa"/>
            <w:vAlign w:val="bottom"/>
          </w:tcPr>
          <w:p>
            <w:pPr>
              <w:spacing w:after="0"/>
              <w:rPr>
                <w:sz w:val="24"/>
                <w:szCs w:val="24"/>
                <w:color w:val="auto"/>
              </w:rPr>
            </w:pPr>
          </w:p>
        </w:tc>
        <w:tc>
          <w:tcPr>
            <w:tcW w:w="7100" w:type="dxa"/>
            <w:vAlign w:val="bottom"/>
          </w:tcPr>
          <w:p>
            <w:pPr>
              <w:jc w:val="center"/>
              <w:ind w:right="1969"/>
              <w:spacing w:after="0"/>
              <w:rPr>
                <w:sz w:val="20"/>
                <w:szCs w:val="20"/>
                <w:color w:val="auto"/>
              </w:rPr>
            </w:pPr>
            <w:r>
              <w:rPr>
                <w:rFonts w:ascii="Times New Roman" w:cs="Times New Roman" w:eastAsia="Times New Roman" w:hAnsi="Times New Roman"/>
                <w:sz w:val="22"/>
                <w:szCs w:val="22"/>
                <w:b w:val="1"/>
                <w:bCs w:val="1"/>
                <w:color w:val="auto"/>
                <w:w w:val="97"/>
              </w:rPr>
              <w:t>Washington, D.C. 20549</w:t>
            </w:r>
          </w:p>
        </w:tc>
      </w:tr>
      <w:tr>
        <w:trPr>
          <w:trHeight w:val="537"/>
        </w:trPr>
        <w:tc>
          <w:tcPr>
            <w:tcW w:w="2360" w:type="dxa"/>
            <w:vAlign w:val="bottom"/>
          </w:tcPr>
          <w:p>
            <w:pPr>
              <w:spacing w:after="0"/>
              <w:rPr>
                <w:sz w:val="24"/>
                <w:szCs w:val="24"/>
                <w:color w:val="auto"/>
              </w:rPr>
            </w:pPr>
          </w:p>
        </w:tc>
        <w:tc>
          <w:tcPr>
            <w:tcW w:w="7100" w:type="dxa"/>
            <w:vAlign w:val="bottom"/>
          </w:tcPr>
          <w:p>
            <w:pPr>
              <w:jc w:val="center"/>
              <w:ind w:right="1969"/>
              <w:spacing w:after="0"/>
              <w:rPr>
                <w:sz w:val="20"/>
                <w:szCs w:val="20"/>
                <w:color w:val="auto"/>
              </w:rPr>
            </w:pPr>
            <w:r>
              <w:rPr>
                <w:rFonts w:ascii="Times New Roman" w:cs="Times New Roman" w:eastAsia="Times New Roman" w:hAnsi="Times New Roman"/>
                <w:sz w:val="25"/>
                <w:szCs w:val="25"/>
                <w:b w:val="1"/>
                <w:bCs w:val="1"/>
                <w:color w:val="auto"/>
              </w:rPr>
              <w:t>FORM S-8</w:t>
            </w:r>
          </w:p>
        </w:tc>
      </w:tr>
      <w:tr>
        <w:trPr>
          <w:trHeight w:val="557"/>
        </w:trPr>
        <w:tc>
          <w:tcPr>
            <w:tcW w:w="2360" w:type="dxa"/>
            <w:vAlign w:val="bottom"/>
          </w:tcPr>
          <w:p>
            <w:pPr>
              <w:spacing w:after="0"/>
              <w:rPr>
                <w:sz w:val="24"/>
                <w:szCs w:val="24"/>
                <w:color w:val="auto"/>
              </w:rPr>
            </w:pPr>
          </w:p>
        </w:tc>
        <w:tc>
          <w:tcPr>
            <w:tcW w:w="7100" w:type="dxa"/>
            <w:vAlign w:val="bottom"/>
          </w:tcPr>
          <w:p>
            <w:pPr>
              <w:jc w:val="center"/>
              <w:ind w:right="1969"/>
              <w:spacing w:after="0"/>
              <w:rPr>
                <w:sz w:val="20"/>
                <w:szCs w:val="20"/>
                <w:color w:val="auto"/>
              </w:rPr>
            </w:pPr>
            <w:r>
              <w:rPr>
                <w:rFonts w:ascii="Times New Roman" w:cs="Times New Roman" w:eastAsia="Times New Roman" w:hAnsi="Times New Roman"/>
                <w:sz w:val="25"/>
                <w:szCs w:val="25"/>
                <w:b w:val="1"/>
                <w:bCs w:val="1"/>
                <w:color w:val="auto"/>
                <w:w w:val="99"/>
              </w:rPr>
              <w:t>REGISTRATION STATEMENT UNDER</w:t>
            </w:r>
          </w:p>
        </w:tc>
      </w:tr>
      <w:tr>
        <w:trPr>
          <w:trHeight w:val="334"/>
        </w:trPr>
        <w:tc>
          <w:tcPr>
            <w:tcW w:w="2360" w:type="dxa"/>
            <w:vAlign w:val="bottom"/>
          </w:tcPr>
          <w:p>
            <w:pPr>
              <w:spacing w:after="0"/>
              <w:rPr>
                <w:sz w:val="24"/>
                <w:szCs w:val="24"/>
                <w:color w:val="auto"/>
              </w:rPr>
            </w:pPr>
          </w:p>
        </w:tc>
        <w:tc>
          <w:tcPr>
            <w:tcW w:w="7100" w:type="dxa"/>
            <w:vAlign w:val="bottom"/>
          </w:tcPr>
          <w:p>
            <w:pPr>
              <w:jc w:val="center"/>
              <w:ind w:right="1969"/>
              <w:spacing w:after="0"/>
              <w:rPr>
                <w:sz w:val="20"/>
                <w:szCs w:val="20"/>
                <w:color w:val="auto"/>
              </w:rPr>
            </w:pPr>
            <w:r>
              <w:rPr>
                <w:rFonts w:ascii="Times New Roman" w:cs="Times New Roman" w:eastAsia="Times New Roman" w:hAnsi="Times New Roman"/>
                <w:sz w:val="25"/>
                <w:szCs w:val="25"/>
                <w:b w:val="1"/>
                <w:bCs w:val="1"/>
                <w:color w:val="auto"/>
              </w:rPr>
              <w:t>THE SECURITIES ACT OF 1933</w:t>
            </w:r>
          </w:p>
        </w:tc>
      </w:tr>
      <w:tr>
        <w:trPr>
          <w:trHeight w:val="635"/>
        </w:trPr>
        <w:tc>
          <w:tcPr>
            <w:tcW w:w="2360" w:type="dxa"/>
            <w:vAlign w:val="bottom"/>
          </w:tcPr>
          <w:p>
            <w:pPr>
              <w:spacing w:after="0"/>
              <w:rPr>
                <w:sz w:val="24"/>
                <w:szCs w:val="24"/>
                <w:color w:val="auto"/>
              </w:rPr>
            </w:pPr>
          </w:p>
        </w:tc>
        <w:tc>
          <w:tcPr>
            <w:tcW w:w="7100" w:type="dxa"/>
            <w:vAlign w:val="bottom"/>
          </w:tcPr>
          <w:p>
            <w:pPr>
              <w:jc w:val="center"/>
              <w:ind w:right="1989"/>
              <w:spacing w:after="0"/>
              <w:rPr>
                <w:sz w:val="20"/>
                <w:szCs w:val="20"/>
                <w:color w:val="auto"/>
              </w:rPr>
            </w:pPr>
            <w:r>
              <w:rPr>
                <w:rFonts w:ascii="Times New Roman" w:cs="Times New Roman" w:eastAsia="Times New Roman" w:hAnsi="Times New Roman"/>
                <w:sz w:val="32"/>
                <w:szCs w:val="32"/>
                <w:b w:val="1"/>
                <w:bCs w:val="1"/>
                <w:color w:val="auto"/>
              </w:rPr>
              <w:t>Versant Media Group, Inc.</w:t>
            </w:r>
          </w:p>
        </w:tc>
      </w:tr>
      <w:tr>
        <w:trPr>
          <w:trHeight w:val="234"/>
        </w:trPr>
        <w:tc>
          <w:tcPr>
            <w:tcW w:w="2360" w:type="dxa"/>
            <w:vAlign w:val="bottom"/>
          </w:tcPr>
          <w:p>
            <w:pPr>
              <w:spacing w:after="0"/>
              <w:rPr>
                <w:sz w:val="20"/>
                <w:szCs w:val="20"/>
                <w:color w:val="auto"/>
              </w:rPr>
            </w:pPr>
          </w:p>
        </w:tc>
        <w:tc>
          <w:tcPr>
            <w:tcW w:w="7100" w:type="dxa"/>
            <w:vAlign w:val="bottom"/>
          </w:tcPr>
          <w:p>
            <w:pPr>
              <w:jc w:val="center"/>
              <w:ind w:right="1989"/>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r>
      <w:tr>
        <w:trPr>
          <w:trHeight w:val="414"/>
        </w:trPr>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7100" w:type="dxa"/>
            <w:vAlign w:val="bottom"/>
          </w:tcPr>
          <w:p>
            <w:pPr>
              <w:jc w:val="center"/>
              <w:ind w:left="5329"/>
              <w:spacing w:after="0"/>
              <w:rPr>
                <w:sz w:val="20"/>
                <w:szCs w:val="20"/>
                <w:color w:val="auto"/>
              </w:rPr>
            </w:pPr>
            <w:r>
              <w:rPr>
                <w:rFonts w:ascii="Times New Roman" w:cs="Times New Roman" w:eastAsia="Times New Roman" w:hAnsi="Times New Roman"/>
                <w:sz w:val="18"/>
                <w:szCs w:val="18"/>
                <w:b w:val="1"/>
                <w:bCs w:val="1"/>
                <w:color w:val="auto"/>
                <w:w w:val="98"/>
              </w:rPr>
              <w:t>39-2087186</w:t>
            </w:r>
          </w:p>
        </w:tc>
      </w:tr>
      <w:tr>
        <w:trPr>
          <w:trHeight w:val="216"/>
        </w:trPr>
        <w:tc>
          <w:tcPr>
            <w:tcW w:w="23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7100" w:type="dxa"/>
            <w:vAlign w:val="bottom"/>
          </w:tcPr>
          <w:p>
            <w:pPr>
              <w:jc w:val="center"/>
              <w:ind w:left="5289"/>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7100" w:type="dxa"/>
            <w:vAlign w:val="bottom"/>
          </w:tcPr>
          <w:p>
            <w:pPr>
              <w:jc w:val="center"/>
              <w:ind w:left="5329"/>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900 Sylvan Avenue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Englewood Cliffs, New Jersey 07632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(201) 735-2622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VERSANT MEDIA GROUP, INC. OMNIBUS EQUITY INCENTIVE PLAN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Jordan R. Fasbender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900 Sylvan Avenue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Englewood Cliffs, New Jersey 07632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(201) 735-2622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Address for Agent of Service)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1440" w:gutter="0" w:footer="0" w:header="0"/>
        </w:sectPr>
      </w:pPr>
    </w:p>
    <w:p>
      <w:pPr>
        <w:spacing w:after="0" w:line="135" w:lineRule="exact"/>
        <w:rPr>
          <w:sz w:val="24"/>
          <w:szCs w:val="24"/>
          <w:color w:val="auto"/>
        </w:rPr>
      </w:pPr>
    </w:p>
    <w:p>
      <w:pPr>
        <w:ind w:left="11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1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480" w:space="720"/>
            <w:col w:w="4040"/>
          </w:cols>
          <w:pgMar w:left="320" w:top="441" w:right="339" w:bottom="1440" w:gutter="0" w:footer="0" w:header="0"/>
          <w:type w:val="continuous"/>
        </w:sectPr>
      </w:pPr>
    </w:p>
    <w:p>
      <w:pPr>
        <w:spacing w:after="0" w:line="1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Registration Statement on Form S-8 is being filed by Versant Media Group, Inc. (the “Registrant”) with the U.S. Securities and Exchange Commission (the “Commission”) for the purpose of registering (i) 19,000,000 shares of the Class A common stock, par value $0.01 per share (the “Common Stock”), of the Registrant that are authorized for issuance under the Versant Media Group, Inc. Omnibus Equity Incentive Plan (the “Plan”), (ii) 1,561,148 shares of Common Stock that are issuable under the Plan in connection with the Converted Awards (as defined in the Plan) and (iii) pursuant to Rule 416(a) under the Securities Act of 1933, as amended (the “Securities Act”), any additional shares of Common Stock that may become issuable under the Plan by reason of any stock dividend, stock split or other similar transaction.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this Registration Statement is omitted from this filing with the Commission in accordance with the provisions of Rule 428 under the Securities Act and the introductory note to Part I of the Form S-8 instructions. The documents containing the information specified in Part I will be delivered to the participants in the Plan as required by Rule 428(b)(1).</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documents, which have been filed by the Registrant with the Commission pursuant to the Securities Exchange Act of 1934, as amended (the “Exchange Act”), are incorporated by reference herein:</w:t>
      </w:r>
    </w:p>
    <w:p>
      <w:pPr>
        <w:spacing w:after="0" w:line="162" w:lineRule="exact"/>
        <w:rPr>
          <w:sz w:val="20"/>
          <w:szCs w:val="20"/>
          <w:color w:val="auto"/>
        </w:rPr>
      </w:pPr>
    </w:p>
    <w:p>
      <w:pPr>
        <w:ind w:right="20" w:firstLine="332"/>
        <w:spacing w:after="0" w:line="282" w:lineRule="auto"/>
        <w:tabs>
          <w:tab w:leader="none" w:pos="56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Registration Statement on Form 10, filed by the Registrant with the Commission on </w:t>
      </w:r>
      <w:hyperlink r:id="rId9">
        <w:r>
          <w:rPr>
            <w:rFonts w:ascii="Times New Roman" w:cs="Times New Roman" w:eastAsia="Times New Roman" w:hAnsi="Times New Roman"/>
            <w:sz w:val="18"/>
            <w:szCs w:val="18"/>
            <w:u w:val="single" w:color="auto"/>
            <w:color w:val="0000EE"/>
          </w:rPr>
          <w:t>September 18,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001-42856), as subsequently amended (the “Form 10 Registration Statement”);</w:t>
      </w:r>
    </w:p>
    <w:p>
      <w:pPr>
        <w:spacing w:after="0" w:line="161" w:lineRule="exact"/>
        <w:rPr>
          <w:rFonts w:ascii="Times New Roman" w:cs="Times New Roman" w:eastAsia="Times New Roman" w:hAnsi="Times New Roman"/>
          <w:sz w:val="18"/>
          <w:szCs w:val="18"/>
          <w:color w:val="auto"/>
        </w:rPr>
      </w:pPr>
    </w:p>
    <w:p>
      <w:pPr>
        <w:ind w:right="820" w:firstLine="332"/>
        <w:spacing w:after="0" w:line="282" w:lineRule="auto"/>
        <w:tabs>
          <w:tab w:leader="none" w:pos="57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which is contained in the Information Statement filed as </w:t>
      </w:r>
      <w:hyperlink r:id="rId10">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Form 10 Registration Statement, including any amendments or supplements thereto; and</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on </w:t>
      </w:r>
      <w:hyperlink r:id="rId11">
        <w:r>
          <w:rPr>
            <w:rFonts w:ascii="Times New Roman" w:cs="Times New Roman" w:eastAsia="Times New Roman" w:hAnsi="Times New Roman"/>
            <w:sz w:val="18"/>
            <w:szCs w:val="18"/>
            <w:u w:val="single" w:color="auto"/>
            <w:color w:val="0000EE"/>
          </w:rPr>
          <w:t>January 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2">
        <w:r>
          <w:rPr>
            <w:rFonts w:ascii="Times New Roman" w:cs="Times New Roman" w:eastAsia="Times New Roman" w:hAnsi="Times New Roman"/>
            <w:sz w:val="18"/>
            <w:szCs w:val="18"/>
            <w:u w:val="single" w:color="auto"/>
            <w:color w:val="0000EE"/>
          </w:rPr>
          <w:t>January 7,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Exchange Act, after the date of this Registration Statement and prior to the filing of a post-effective amendment that indicates that all securities offered hereby have been sold or which deregisters all securities then remaining unsold, are incorporated by reference in this Registration Statement and are a part hereof from the date of filing of such documents; except as to any portion of any future annual or quarterly report to stockholders or document or current report furnished under current Items 2.02 or 7.01 of Form 8-K that is not deemed filed under such provisions.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8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Sections 1741 through 1750 of Subchapter D, Chapter 17, of the Pennsylvania Business Corporation Law of 1988, as amended (“PBCL”), contain provisions for mandatory and discretionary indemnification of a corporation’s directors, officers and other personnel and related matters.</w:t>
      </w:r>
    </w:p>
    <w:p>
      <w:pPr>
        <w:spacing w:after="0" w:line="162"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or she is not entitled to be indemnified by the corporation. Except as otherwise provided in the corporation’s bylaws, advancement of expenses must be authorized by the board of directors.</w:t>
      </w:r>
    </w:p>
    <w:p>
      <w:pPr>
        <w:spacing w:after="0" w:line="1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ind w:right="140"/>
        <w:spacing w:after="0" w:line="282" w:lineRule="auto"/>
        <w:rPr>
          <w:sz w:val="20"/>
          <w:szCs w:val="20"/>
          <w:color w:val="auto"/>
        </w:rPr>
      </w:pPr>
      <w:r>
        <w:rPr>
          <w:rFonts w:ascii="Times New Roman" w:cs="Times New Roman" w:eastAsia="Times New Roman" w:hAnsi="Times New Roman"/>
          <w:sz w:val="18"/>
          <w:szCs w:val="18"/>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Article Eleventh of the Registrant’s articles of incorporation provides that no person who is or was a director of the Registrant will be personally liable, as such, for monetary damages (other than under criminal statutes and under laws imposing such liability on directors for the payment of taxes) unless such person’s conduct constitutes self-dealing, willful misconduct or recklessness. Article Twelfth of the Registrant’s articles of incorporation extends such protection to any person who is or was an officer of the Registrant.</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Article 7 of the Registrant’s bylaws provides that each current and, if applicable, former, officer and director of the Registrant will be indemnified and held harmless by the Registrant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the Registrant), whether civil, criminal, administrative or investigative, including any appeal therefrom (a “Proceeding”) arising out of or related to such director’s or officer’s (x) service at any time in his or her capacity as a director or officer of the Registrant or (y) service at any time in his or her capacity at the request or for the benefit of the Registrant as a director, officer, employee, agent, partner, or fiduciary of, or in any other capacity for, another entity (such services described in clauses (x) and (y), the “Covered Services”). No indemnification will be made pursuant to the Registrant’s bylaws,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under Article 7 of the Registrant’s bylaws), unless the Proceeding (or part of the Proceeding) was authorized by the Board of Directors. The right to indemnification under the Registrant’s bylaws includes the right to have the expenses incurred by such director or officer in participating in any Proceeding paid by the Registrant in advance of the final disposition of the Proceeding arising out of or related to such director’s or officer’s Covered Services automatically and without any action or approval required by the Board of Directors, provided that, if Pennsylvania law requires, the payment of such expenses incurred by such director or officer in advance of the final disposition of a Proceeding shall be made only upon delivery to the Registrant of an undertaking, by or on behalf of such director or officer, to repay all advanced amounts without interest if it is ultimately determined that such director or officer is not entitled to be so indemnified.</w:t>
      </w:r>
    </w:p>
    <w:p>
      <w:pPr>
        <w:spacing w:after="0" w:line="1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Article 7 of the Registrant’s bylaws also provides that the Registrant may purchase and maintain insurance, at its expense, for the benefit of any person on behalf of whom insurance is permitted to be purchased by Pennsylvania law against any expense, liability or loss, whether or not the Registrant would have the power to indemnify such person under Pennsylvania or any other law. the Registrant may also purchase and maintain insurance to insure its indemnification obligations.</w:t>
      </w:r>
    </w:p>
    <w:p>
      <w:pPr>
        <w:spacing w:after="0" w:line="18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In addition, the Registrant will enter into indemnification agreements with all of its directors and certain officers, to indemnify such directors and officers to the fullest extent permitted by applicable law. The Registrant will maintain directors and officers insurance to insure such persons against certain liabilities.</w:t>
      </w:r>
    </w:p>
    <w:p>
      <w:pPr>
        <w:spacing w:after="0" w:line="1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foregoing statements are subject to the detailed provisions of the PBCL and to the applicable provisions of the Registrant’s articles of incorporation, bylaws and indemnification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934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5"/>
              </w:rPr>
            </w:pPr>
            <w:hyperlink r:id="rId17">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w:t>
              </w:r>
            </w:hyperlink>
          </w:p>
        </w:tc>
        <w:tc>
          <w:tcPr>
            <w:tcW w:w="1160" w:type="dxa"/>
            <w:vAlign w:val="bottom"/>
          </w:tcPr>
          <w:p>
            <w:pPr>
              <w:spacing w:after="0"/>
              <w:rPr>
                <w:sz w:val="17"/>
                <w:szCs w:val="17"/>
                <w:color w:val="auto"/>
              </w:rPr>
            </w:pPr>
          </w:p>
        </w:tc>
        <w:tc>
          <w:tcPr>
            <w:tcW w:w="95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Amended and Restated Articles of Incorporation of Versant Media Group, Inc. (incorporated herein by reference to Exhibit 3.1 to the</w:t>
              </w:r>
            </w:hyperlink>
          </w:p>
        </w:tc>
      </w:tr>
      <w:tr>
        <w:trPr>
          <w:trHeight w:val="196"/>
        </w:trPr>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5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Registrant’s Current Report on 8-K (File No. 001-42856) filed with the Commission on January 5, 2026)</w:t>
              </w:r>
            </w:hyperlink>
          </w:p>
        </w:tc>
        <w:tc>
          <w:tcPr>
            <w:tcW w:w="2020" w:type="dxa"/>
            <w:vAlign w:val="bottom"/>
            <w:gridSpan w:val="2"/>
          </w:tcPr>
          <w:p>
            <w:pPr>
              <w:spacing w:after="0"/>
              <w:rPr>
                <w:sz w:val="17"/>
                <w:szCs w:val="17"/>
                <w:color w:val="auto"/>
              </w:rPr>
            </w:pPr>
          </w:p>
        </w:tc>
      </w:tr>
      <w:tr>
        <w:trPr>
          <w:trHeight w:val="412"/>
        </w:trPr>
        <w:tc>
          <w:tcPr>
            <w:tcW w:w="3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5"/>
              </w:rPr>
            </w:pPr>
            <w:hyperlink r:id="rId18">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2*</w:t>
              </w:r>
            </w:hyperlink>
          </w:p>
        </w:tc>
        <w:tc>
          <w:tcPr>
            <w:tcW w:w="1160" w:type="dxa"/>
            <w:vAlign w:val="bottom"/>
          </w:tcPr>
          <w:p>
            <w:pPr>
              <w:spacing w:after="0"/>
              <w:rPr>
                <w:sz w:val="24"/>
                <w:szCs w:val="24"/>
                <w:color w:val="auto"/>
              </w:rPr>
            </w:pPr>
          </w:p>
        </w:tc>
        <w:tc>
          <w:tcPr>
            <w:tcW w:w="92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Amended and Restated Bylaws of Versant Media Group, Inc. (incorporated herein by reference to Exhibit 3.1 to the Registrant’s</w:t>
              </w:r>
            </w:hyperlink>
          </w:p>
        </w:tc>
        <w:tc>
          <w:tcPr>
            <w:tcW w:w="3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580" w:type="dxa"/>
            <w:vAlign w:val="bottom"/>
            <w:gridSpan w:val="10"/>
          </w:tcPr>
          <w:p>
            <w:pPr>
              <w:spacing w:after="0" w:line="196"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Current Report on 8-K (File No. 001-42856) filed with the Commission on January 7, 2026)</w:t>
              </w:r>
            </w:hyperlink>
          </w:p>
        </w:tc>
      </w:tr>
      <w:tr>
        <w:trPr>
          <w:trHeight w:val="412"/>
        </w:trPr>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5.</w:t>
            </w:r>
            <w:r>
              <w:rPr>
                <w:rFonts w:ascii="Times New Roman" w:cs="Times New Roman" w:eastAsia="Times New Roman" w:hAnsi="Times New Roman"/>
                <w:sz w:val="18"/>
                <w:szCs w:val="18"/>
                <w:u w:val="single" w:color="auto"/>
                <w:color w:val="0000FF"/>
                <w:w w:val="97"/>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Opinion of Faegre Drinker Biddle &amp; Reath LLP (filed herewith)</w:t>
            </w:r>
          </w:p>
        </w:tc>
        <w:tc>
          <w:tcPr>
            <w:tcW w:w="2000" w:type="dxa"/>
            <w:vAlign w:val="bottom"/>
            <w:tcBorders>
              <w:top w:val="single" w:sz="8" w:color="0000FF"/>
            </w:tcBorders>
            <w:gridSpan w:val="4"/>
          </w:tcPr>
          <w:p>
            <w:pPr>
              <w:spacing w:after="0"/>
              <w:rPr>
                <w:sz w:val="24"/>
                <w:szCs w:val="24"/>
                <w:color w:val="auto"/>
              </w:rPr>
            </w:pPr>
          </w:p>
        </w:tc>
        <w:tc>
          <w:tcPr>
            <w:tcW w:w="2940" w:type="dxa"/>
            <w:vAlign w:val="bottom"/>
            <w:gridSpan w:val="3"/>
          </w:tcPr>
          <w:p>
            <w:pPr>
              <w:spacing w:after="0"/>
              <w:rPr>
                <w:sz w:val="24"/>
                <w:szCs w:val="24"/>
                <w:color w:val="auto"/>
              </w:rPr>
            </w:pPr>
          </w:p>
        </w:tc>
      </w:tr>
      <w:tr>
        <w:trPr>
          <w:trHeight w:val="412"/>
        </w:trPr>
        <w:tc>
          <w:tcPr>
            <w:tcW w:w="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1160" w:type="dxa"/>
            <w:vAlign w:val="bottom"/>
          </w:tcPr>
          <w:p>
            <w:pPr>
              <w:spacing w:after="0"/>
              <w:rPr>
                <w:sz w:val="24"/>
                <w:szCs w:val="24"/>
                <w:color w:val="auto"/>
              </w:rPr>
            </w:pPr>
          </w:p>
        </w:tc>
        <w:tc>
          <w:tcPr>
            <w:tcW w:w="3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 (filed herewith)</w:t>
            </w:r>
          </w:p>
        </w:tc>
        <w:tc>
          <w:tcPr>
            <w:tcW w:w="5880" w:type="dxa"/>
            <w:vAlign w:val="bottom"/>
            <w:gridSpan w:val="8"/>
          </w:tcPr>
          <w:p>
            <w:pPr>
              <w:spacing w:after="0"/>
              <w:rPr>
                <w:sz w:val="24"/>
                <w:szCs w:val="24"/>
                <w:color w:val="auto"/>
              </w:rPr>
            </w:pPr>
          </w:p>
        </w:tc>
      </w:tr>
      <w:tr>
        <w:trPr>
          <w:trHeight w:val="412"/>
        </w:trPr>
        <w:tc>
          <w:tcPr>
            <w:tcW w:w="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2</w:t>
            </w:r>
          </w:p>
        </w:tc>
        <w:tc>
          <w:tcPr>
            <w:tcW w:w="1160" w:type="dxa"/>
            <w:vAlign w:val="bottom"/>
          </w:tcPr>
          <w:p>
            <w:pPr>
              <w:spacing w:after="0"/>
              <w:rPr>
                <w:sz w:val="24"/>
                <w:szCs w:val="24"/>
                <w:color w:val="auto"/>
              </w:rPr>
            </w:pPr>
          </w:p>
        </w:tc>
        <w:tc>
          <w:tcPr>
            <w:tcW w:w="5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Consent of Faegre Drinker Biddle &amp; Reath LLP (included in Exhibit 5.1)</w:t>
            </w:r>
          </w:p>
        </w:tc>
        <w:tc>
          <w:tcPr>
            <w:tcW w:w="4300" w:type="dxa"/>
            <w:vAlign w:val="bottom"/>
            <w:gridSpan w:val="6"/>
          </w:tcPr>
          <w:p>
            <w:pPr>
              <w:spacing w:after="0"/>
              <w:rPr>
                <w:sz w:val="24"/>
                <w:szCs w:val="24"/>
                <w:color w:val="auto"/>
              </w:rPr>
            </w:pPr>
          </w:p>
        </w:tc>
      </w:tr>
      <w:tr>
        <w:trPr>
          <w:trHeight w:val="412"/>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24.</w:t>
            </w:r>
            <w:r>
              <w:rPr>
                <w:rFonts w:ascii="Times New Roman" w:cs="Times New Roman" w:eastAsia="Times New Roman" w:hAnsi="Times New Roman"/>
                <w:sz w:val="18"/>
                <w:szCs w:val="18"/>
                <w:u w:val="single" w:color="auto"/>
                <w:color w:val="0000FF"/>
                <w:w w:val="95"/>
              </w:rPr>
              <w:t>1</w:t>
            </w:r>
          </w:p>
        </w:tc>
        <w:tc>
          <w:tcPr>
            <w:tcW w:w="116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pages of this Registration Statement)</w:t>
            </w:r>
          </w:p>
        </w:tc>
      </w:tr>
      <w:tr>
        <w:trPr>
          <w:trHeight w:val="412"/>
        </w:trPr>
        <w:tc>
          <w:tcPr>
            <w:tcW w:w="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160" w:type="dxa"/>
            <w:vAlign w:val="bottom"/>
          </w:tcPr>
          <w:p>
            <w:pPr>
              <w:spacing w:after="0"/>
              <w:rPr>
                <w:sz w:val="24"/>
                <w:szCs w:val="24"/>
                <w:color w:val="auto"/>
              </w:rPr>
            </w:pPr>
          </w:p>
        </w:tc>
        <w:tc>
          <w:tcPr>
            <w:tcW w:w="54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Versant Media Group, Inc. Omnibus Equity Incentive Plan (filed herewith)</w:t>
            </w:r>
          </w:p>
        </w:tc>
        <w:tc>
          <w:tcPr>
            <w:tcW w:w="560" w:type="dxa"/>
            <w:vAlign w:val="bottom"/>
            <w:tcBorders>
              <w:top w:val="single" w:sz="8" w:color="0000FF"/>
            </w:tcBorders>
          </w:tcPr>
          <w:p>
            <w:pPr>
              <w:spacing w:after="0"/>
              <w:rPr>
                <w:sz w:val="24"/>
                <w:szCs w:val="24"/>
                <w:color w:val="auto"/>
              </w:rPr>
            </w:pPr>
          </w:p>
        </w:tc>
        <w:tc>
          <w:tcPr>
            <w:tcW w:w="3620" w:type="dxa"/>
            <w:vAlign w:val="bottom"/>
            <w:gridSpan w:val="4"/>
          </w:tcPr>
          <w:p>
            <w:pPr>
              <w:spacing w:after="0"/>
              <w:rPr>
                <w:sz w:val="24"/>
                <w:szCs w:val="24"/>
                <w:color w:val="auto"/>
              </w:rPr>
            </w:pPr>
          </w:p>
        </w:tc>
      </w:tr>
      <w:tr>
        <w:trPr>
          <w:trHeight w:val="412"/>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107</w:t>
            </w: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Calculation of Filing Fee Table (filed herewith)</w:t>
            </w:r>
          </w:p>
        </w:tc>
      </w:tr>
      <w:tr>
        <w:trPr>
          <w:trHeight w:val="265"/>
        </w:trPr>
        <w:tc>
          <w:tcPr>
            <w:tcW w:w="280" w:type="dxa"/>
            <w:vAlign w:val="bottom"/>
            <w:tcBorders>
              <w:top w:val="single" w:sz="8" w:color="0000FF"/>
            </w:tcBorders>
            <w:gridSpan w:val="2"/>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w w:val="75"/>
              </w:rPr>
              <w:t>____________</w:t>
            </w:r>
          </w:p>
        </w:tc>
        <w:tc>
          <w:tcPr>
            <w:tcW w:w="3420" w:type="dxa"/>
            <w:vAlign w:val="bottom"/>
            <w:tcBorders>
              <w:top w:val="single" w:sz="8" w:color="0000FF"/>
            </w:tcBorders>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40" w:type="dxa"/>
            <w:vAlign w:val="bottom"/>
          </w:tcPr>
          <w:p>
            <w:pPr>
              <w:spacing w:after="0"/>
              <w:rPr>
                <w:sz w:val="23"/>
                <w:szCs w:val="23"/>
                <w:color w:val="auto"/>
              </w:rPr>
            </w:pPr>
          </w:p>
        </w:tc>
      </w:tr>
    </w:tbl>
    <w:p>
      <w:pPr>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580" w:hanging="248"/>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660" w:right="180" w:firstLine="320"/>
        <w:spacing w:after="0" w:line="255" w:lineRule="auto"/>
        <w:tabs>
          <w:tab w:leader="none" w:pos="1249"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this Registration Statement; and</w:t>
      </w:r>
    </w:p>
    <w:p>
      <w:pPr>
        <w:spacing w:after="0" w:line="188" w:lineRule="exact"/>
        <w:rPr>
          <w:rFonts w:ascii="Times New Roman" w:cs="Times New Roman" w:eastAsia="Times New Roman" w:hAnsi="Times New Roman"/>
          <w:sz w:val="18"/>
          <w:szCs w:val="18"/>
          <w:color w:val="auto"/>
        </w:rPr>
      </w:pPr>
    </w:p>
    <w:p>
      <w:pPr>
        <w:ind w:left="660" w:right="480" w:firstLine="320"/>
        <w:spacing w:after="0" w:line="282" w:lineRule="auto"/>
        <w:tabs>
          <w:tab w:leader="none" w:pos="1299"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not previously disclosed in this Registration Statement or any material change to such information in this Registration Statement;</w:t>
      </w:r>
    </w:p>
    <w:p>
      <w:pPr>
        <w:spacing w:after="0" w:line="160" w:lineRule="exact"/>
        <w:rPr>
          <w:sz w:val="20"/>
          <w:szCs w:val="20"/>
          <w:color w:val="auto"/>
        </w:rPr>
      </w:pPr>
    </w:p>
    <w:p>
      <w:pPr>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periodic reports filed with or furnished to the Commission by the Registrant pursuant to Section 13 or Section 15(d) of the Exchange Act that are incorporated by reference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 w:name="page6"/>
    <w:bookmarkEnd w:id="5"/>
    <w:p>
      <w:pPr>
        <w:ind w:left="8" w:firstLine="316"/>
        <w:spacing w:after="0" w:line="266" w:lineRule="auto"/>
        <w:tabs>
          <w:tab w:leader="none" w:pos="58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8" w:right="620" w:firstLine="316"/>
        <w:spacing w:after="0" w:line="282" w:lineRule="auto"/>
        <w:tabs>
          <w:tab w:leader="none" w:pos="58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332" w:right="40" w:firstLine="332"/>
        <w:spacing w:after="0" w:line="258" w:lineRule="auto"/>
        <w:tabs>
          <w:tab w:leader="none" w:pos="2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ind w:left="-332" w:right="120" w:firstLine="332"/>
        <w:spacing w:after="0" w:line="254" w:lineRule="auto"/>
        <w:tabs>
          <w:tab w:leader="none" w:pos="2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356235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8"/>
          </w:cols>
          <w:pgMar w:left="652" w:top="580"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the 9th day of January, 2026.</w:t>
      </w:r>
    </w:p>
    <w:p>
      <w:pPr>
        <w:spacing w:after="0" w:line="17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200" w:lineRule="exact"/>
        <w:rPr>
          <w:sz w:val="20"/>
          <w:szCs w:val="20"/>
          <w:color w:val="auto"/>
        </w:rPr>
      </w:pPr>
    </w:p>
    <w:p>
      <w:pPr>
        <w:spacing w:after="0" w:line="245" w:lineRule="exact"/>
        <w:rPr>
          <w:sz w:val="20"/>
          <w:szCs w:val="20"/>
          <w:color w:val="auto"/>
        </w:rPr>
      </w:pPr>
    </w:p>
    <w:p>
      <w:pPr>
        <w:ind w:left="576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Anand Kini</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20" w:type="dxa"/>
            <w:vAlign w:val="bottom"/>
          </w:tcPr>
          <w:p>
            <w:pPr>
              <w:spacing w:after="0"/>
              <w:rPr>
                <w:sz w:val="16"/>
                <w:szCs w:val="16"/>
                <w:color w:val="auto"/>
              </w:rPr>
            </w:pPr>
          </w:p>
        </w:tc>
        <w:tc>
          <w:tcPr>
            <w:tcW w:w="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Anand Kini</w:t>
            </w:r>
          </w:p>
        </w:tc>
      </w:tr>
      <w:tr>
        <w:trPr>
          <w:trHeight w:val="234"/>
        </w:trPr>
        <w:tc>
          <w:tcPr>
            <w:tcW w:w="63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594"/>
        </w:trPr>
        <w:tc>
          <w:tcPr>
            <w:tcW w:w="6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Mark Lazarus, Anand Kini, Jordan Fasbender and Greg Wright and each of them, our true and lawful attorneys-in-fact and agents, with full power of substitution and resubstitution, to do any and all acts and things and execute, in the name of the undersigned, any and all instruments which said attorneys-in-fact and agents may deem necessary or advisable in order to enable Versant Media Group, Inc. to comply with the Securities Act of 1933, as amended, and any requirements of the Securities and Exchange Commission in respect thereof, in connection with the filing with the Securities and Exchange Commission of one or more registration statements on Form S-8 under the Securities Act of 1933, as amended, including, specifically, but without limitation, power and authority to sign the name of the undersigned to any such registration statement, and any amendments to any such registration statement (including post-effective amendments), and to file the same with all exhibits thereto and other documents in connection therewith, with the Securities and Exchange Commission, to sign any and all applications, registration statements, notices or other documents necessary or advisable to comply with applicable state securities laws, and to file the same, together with other documents in connection therewith with the appropriate state securities authorities, granting unto said attorneys-in-fact and agents, and each of them, full power and authority to do and to perform each and every act and thing requisite or necessary to be done in and about the premises, as fully and to all intents and purposes as the undersigned might or could do in person, hereby ratifying and confirming all that said attorneys-in-fact and agents, and any of them, or their substitutes, may lawfully do or cause to be done by virtue hereof.</w:t>
      </w:r>
    </w:p>
    <w:p>
      <w:pPr>
        <w:spacing w:after="0" w:line="18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72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302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79"/>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Lazarus</w:t>
            </w:r>
          </w:p>
        </w:tc>
        <w:tc>
          <w:tcPr>
            <w:tcW w:w="472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30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9"/>
              </w:rPr>
              <w:t>January 9, 2026</w:t>
            </w:r>
          </w:p>
        </w:tc>
        <w:tc>
          <w:tcPr>
            <w:tcW w:w="0" w:type="dxa"/>
            <w:vAlign w:val="bottom"/>
          </w:tcPr>
          <w:p>
            <w:pPr>
              <w:spacing w:after="0"/>
              <w:rPr>
                <w:sz w:val="1"/>
                <w:szCs w:val="1"/>
                <w:color w:val="auto"/>
              </w:rPr>
            </w:pPr>
          </w:p>
        </w:tc>
      </w:tr>
      <w:tr>
        <w:trPr>
          <w:trHeight w:val="178"/>
        </w:trPr>
        <w:tc>
          <w:tcPr>
            <w:tcW w:w="35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Mark Lazarus</w:t>
            </w:r>
          </w:p>
        </w:tc>
        <w:tc>
          <w:tcPr>
            <w:tcW w:w="4720" w:type="dxa"/>
            <w:vAlign w:val="bottom"/>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Anand M. Kini</w:t>
            </w:r>
          </w:p>
        </w:tc>
        <w:tc>
          <w:tcPr>
            <w:tcW w:w="47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47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472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9"/>
              </w:rPr>
              <w:t>Chief Financial Officer and Chief Operating Officer</w:t>
            </w:r>
          </w:p>
        </w:tc>
        <w:tc>
          <w:tcPr>
            <w:tcW w:w="30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9"/>
              </w:rPr>
              <w:t>January 9, 2026</w:t>
            </w:r>
          </w:p>
        </w:tc>
        <w:tc>
          <w:tcPr>
            <w:tcW w:w="0" w:type="dxa"/>
            <w:vAlign w:val="bottom"/>
          </w:tcPr>
          <w:p>
            <w:pPr>
              <w:spacing w:after="0"/>
              <w:rPr>
                <w:sz w:val="1"/>
                <w:szCs w:val="1"/>
                <w:color w:val="auto"/>
              </w:rPr>
            </w:pPr>
          </w:p>
        </w:tc>
      </w:tr>
      <w:tr>
        <w:trPr>
          <w:trHeight w:val="178"/>
        </w:trPr>
        <w:tc>
          <w:tcPr>
            <w:tcW w:w="35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Anand M. Kini</w:t>
            </w:r>
          </w:p>
        </w:tc>
        <w:tc>
          <w:tcPr>
            <w:tcW w:w="4720" w:type="dxa"/>
            <w:vAlign w:val="bottom"/>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Greg Wright</w:t>
            </w:r>
          </w:p>
        </w:tc>
        <w:tc>
          <w:tcPr>
            <w:tcW w:w="47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47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47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9"/>
              </w:rPr>
              <w:t>Chief Accounting Officer and Controller (principal</w:t>
            </w:r>
          </w:p>
        </w:tc>
        <w:tc>
          <w:tcPr>
            <w:tcW w:w="30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9"/>
              </w:rPr>
              <w:t>January 9, 2026</w:t>
            </w:r>
          </w:p>
        </w:tc>
        <w:tc>
          <w:tcPr>
            <w:tcW w:w="0" w:type="dxa"/>
            <w:vAlign w:val="bottom"/>
          </w:tcPr>
          <w:p>
            <w:pPr>
              <w:spacing w:after="0"/>
              <w:rPr>
                <w:sz w:val="1"/>
                <w:szCs w:val="1"/>
                <w:color w:val="auto"/>
              </w:rPr>
            </w:pPr>
          </w:p>
        </w:tc>
      </w:tr>
      <w:tr>
        <w:trPr>
          <w:trHeight w:val="178"/>
        </w:trPr>
        <w:tc>
          <w:tcPr>
            <w:tcW w:w="35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Greg Wright</w:t>
            </w:r>
          </w:p>
        </w:tc>
        <w:tc>
          <w:tcPr>
            <w:tcW w:w="4720" w:type="dxa"/>
            <w:vAlign w:val="bottom"/>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47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accounting officer)</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Novak</w:t>
            </w:r>
          </w:p>
        </w:tc>
        <w:tc>
          <w:tcPr>
            <w:tcW w:w="472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rPr>
              <w:t>Chairman of the Board</w:t>
            </w:r>
          </w:p>
        </w:tc>
        <w:tc>
          <w:tcPr>
            <w:tcW w:w="30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9"/>
              </w:rPr>
              <w:t>January 9, 2026</w:t>
            </w:r>
          </w:p>
        </w:tc>
        <w:tc>
          <w:tcPr>
            <w:tcW w:w="0" w:type="dxa"/>
            <w:vAlign w:val="bottom"/>
          </w:tcPr>
          <w:p>
            <w:pPr>
              <w:spacing w:after="0"/>
              <w:rPr>
                <w:sz w:val="1"/>
                <w:szCs w:val="1"/>
                <w:color w:val="auto"/>
              </w:rPr>
            </w:pP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Novak</w:t>
            </w:r>
          </w:p>
        </w:tc>
        <w:tc>
          <w:tcPr>
            <w:tcW w:w="4720" w:type="dxa"/>
            <w:vAlign w:val="bottom"/>
            <w:vMerge w:val="continue"/>
          </w:tcPr>
          <w:p>
            <w:pPr>
              <w:spacing w:after="0"/>
              <w:rPr>
                <w:sz w:val="19"/>
                <w:szCs w:val="19"/>
                <w:color w:val="auto"/>
              </w:rPr>
            </w:pPr>
          </w:p>
        </w:tc>
        <w:tc>
          <w:tcPr>
            <w:tcW w:w="3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Rebecca S. Campbell</w:t>
            </w:r>
          </w:p>
        </w:tc>
        <w:tc>
          <w:tcPr>
            <w:tcW w:w="47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30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9"/>
              </w:rPr>
              <w:t>January 9, 2026</w:t>
            </w:r>
          </w:p>
        </w:tc>
        <w:tc>
          <w:tcPr>
            <w:tcW w:w="0" w:type="dxa"/>
            <w:vAlign w:val="bottom"/>
          </w:tcPr>
          <w:p>
            <w:pPr>
              <w:spacing w:after="0"/>
              <w:rPr>
                <w:sz w:val="1"/>
                <w:szCs w:val="1"/>
                <w:color w:val="auto"/>
              </w:rPr>
            </w:pP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Rebecca S. Campbell</w:t>
            </w:r>
          </w:p>
        </w:tc>
        <w:tc>
          <w:tcPr>
            <w:tcW w:w="4720" w:type="dxa"/>
            <w:vAlign w:val="bottom"/>
            <w:vMerge w:val="continue"/>
          </w:tcPr>
          <w:p>
            <w:pPr>
              <w:spacing w:after="0"/>
              <w:rPr>
                <w:sz w:val="19"/>
                <w:szCs w:val="19"/>
                <w:color w:val="auto"/>
              </w:rPr>
            </w:pPr>
          </w:p>
        </w:tc>
        <w:tc>
          <w:tcPr>
            <w:tcW w:w="3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Creighton Condon</w:t>
            </w:r>
          </w:p>
        </w:tc>
        <w:tc>
          <w:tcPr>
            <w:tcW w:w="47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30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9"/>
              </w:rPr>
              <w:t>January 9, 2026</w:t>
            </w:r>
          </w:p>
        </w:tc>
        <w:tc>
          <w:tcPr>
            <w:tcW w:w="0" w:type="dxa"/>
            <w:vAlign w:val="bottom"/>
          </w:tcPr>
          <w:p>
            <w:pPr>
              <w:spacing w:after="0"/>
              <w:rPr>
                <w:sz w:val="1"/>
                <w:szCs w:val="1"/>
                <w:color w:val="auto"/>
              </w:rPr>
            </w:pP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Creighton Condon</w:t>
            </w:r>
          </w:p>
        </w:tc>
        <w:tc>
          <w:tcPr>
            <w:tcW w:w="4720" w:type="dxa"/>
            <w:vAlign w:val="bottom"/>
            <w:vMerge w:val="continue"/>
          </w:tcPr>
          <w:p>
            <w:pPr>
              <w:spacing w:after="0"/>
              <w:rPr>
                <w:sz w:val="19"/>
                <w:szCs w:val="19"/>
                <w:color w:val="auto"/>
              </w:rPr>
            </w:pPr>
          </w:p>
        </w:tc>
        <w:tc>
          <w:tcPr>
            <w:tcW w:w="3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A. Conway</w:t>
            </w:r>
          </w:p>
        </w:tc>
        <w:tc>
          <w:tcPr>
            <w:tcW w:w="47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30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9"/>
              </w:rPr>
              <w:t>January 9, 2026</w:t>
            </w:r>
          </w:p>
        </w:tc>
        <w:tc>
          <w:tcPr>
            <w:tcW w:w="0" w:type="dxa"/>
            <w:vAlign w:val="bottom"/>
          </w:tcPr>
          <w:p>
            <w:pPr>
              <w:spacing w:after="0"/>
              <w:rPr>
                <w:sz w:val="1"/>
                <w:szCs w:val="1"/>
                <w:color w:val="auto"/>
              </w:rPr>
            </w:pP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A. Conway</w:t>
            </w:r>
          </w:p>
        </w:tc>
        <w:tc>
          <w:tcPr>
            <w:tcW w:w="4720" w:type="dxa"/>
            <w:vAlign w:val="bottom"/>
            <w:vMerge w:val="continue"/>
          </w:tcPr>
          <w:p>
            <w:pPr>
              <w:spacing w:after="0"/>
              <w:rPr>
                <w:sz w:val="19"/>
                <w:szCs w:val="19"/>
                <w:color w:val="auto"/>
              </w:rPr>
            </w:pPr>
          </w:p>
        </w:tc>
        <w:tc>
          <w:tcPr>
            <w:tcW w:w="3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76"/>
        </w:trPr>
        <w:tc>
          <w:tcPr>
            <w:tcW w:w="35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ind w:right="2100"/>
        <w:spacing w:after="0"/>
        <w:rPr>
          <w:sz w:val="20"/>
          <w:szCs w:val="20"/>
          <w:color w:val="auto"/>
        </w:rPr>
      </w:pPr>
      <w:r>
        <w:rPr>
          <w:rFonts w:ascii="Times New Roman" w:cs="Times New Roman" w:eastAsia="Times New Roman" w:hAnsi="Times New Roman"/>
          <w:sz w:val="18"/>
          <w:szCs w:val="18"/>
          <w:color w:val="auto"/>
        </w:rPr>
        <w:t>/s/ David Eun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22117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7"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David Eun</w:t>
      </w:r>
    </w:p>
    <w:p>
      <w:pPr>
        <w:spacing w:after="0" w:line="274"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/s/ Gerald L. Hassell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2211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7"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Gerald L. Hassell</w:t>
      </w:r>
    </w:p>
    <w:p>
      <w:pPr>
        <w:spacing w:after="0" w:line="274"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7"/>
          <w:szCs w:val="17"/>
          <w:color w:val="auto"/>
        </w:rPr>
        <w:t>/s/ W. Scott Mahoney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24765</wp:posOffset>
            </wp:positionV>
            <wp:extent cx="2211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9"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W. Scott Mahoney</w:t>
      </w:r>
    </w:p>
    <w:p>
      <w:pPr>
        <w:spacing w:after="0" w:line="274"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/s/ Maritza Montiel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22117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7"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Maritza Montiel</w:t>
      </w:r>
    </w:p>
    <w:p>
      <w:pPr>
        <w:spacing w:after="0" w:line="274"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/s/ Leonard A.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2211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7"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Leonard A. Potter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tabs>
          <w:tab w:leader="none" w:pos="35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January 9, 2026</w:t>
      </w:r>
    </w:p>
    <w:p>
      <w:pPr>
        <w:spacing w:after="0" w:line="200" w:lineRule="exact"/>
        <w:rPr>
          <w:sz w:val="20"/>
          <w:szCs w:val="20"/>
          <w:color w:val="auto"/>
        </w:rPr>
      </w:pPr>
    </w:p>
    <w:p>
      <w:pPr>
        <w:spacing w:after="0" w:line="320" w:lineRule="exact"/>
        <w:rPr>
          <w:sz w:val="20"/>
          <w:szCs w:val="20"/>
          <w:color w:val="auto"/>
        </w:rPr>
      </w:pPr>
    </w:p>
    <w:p>
      <w:pPr>
        <w:spacing w:after="0"/>
        <w:tabs>
          <w:tab w:leader="none" w:pos="35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January 9, 2026</w:t>
      </w:r>
    </w:p>
    <w:p>
      <w:pPr>
        <w:spacing w:after="0" w:line="200" w:lineRule="exact"/>
        <w:rPr>
          <w:sz w:val="20"/>
          <w:szCs w:val="20"/>
          <w:color w:val="auto"/>
        </w:rPr>
      </w:pPr>
    </w:p>
    <w:p>
      <w:pPr>
        <w:spacing w:after="0" w:line="320" w:lineRule="exact"/>
        <w:rPr>
          <w:sz w:val="20"/>
          <w:szCs w:val="20"/>
          <w:color w:val="auto"/>
        </w:rPr>
      </w:pPr>
    </w:p>
    <w:p>
      <w:pPr>
        <w:spacing w:after="0"/>
        <w:tabs>
          <w:tab w:leader="none" w:pos="35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January 9, 2026</w:t>
      </w:r>
    </w:p>
    <w:p>
      <w:pPr>
        <w:spacing w:after="0" w:line="200" w:lineRule="exact"/>
        <w:rPr>
          <w:sz w:val="20"/>
          <w:szCs w:val="20"/>
          <w:color w:val="auto"/>
        </w:rPr>
      </w:pPr>
    </w:p>
    <w:p>
      <w:pPr>
        <w:spacing w:after="0" w:line="320" w:lineRule="exact"/>
        <w:rPr>
          <w:sz w:val="20"/>
          <w:szCs w:val="20"/>
          <w:color w:val="auto"/>
        </w:rPr>
      </w:pPr>
    </w:p>
    <w:p>
      <w:pPr>
        <w:spacing w:after="0"/>
        <w:tabs>
          <w:tab w:leader="none" w:pos="35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January 9, 2026</w:t>
      </w:r>
    </w:p>
    <w:p>
      <w:pPr>
        <w:spacing w:after="0" w:line="200" w:lineRule="exact"/>
        <w:rPr>
          <w:sz w:val="20"/>
          <w:szCs w:val="20"/>
          <w:color w:val="auto"/>
        </w:rPr>
      </w:pPr>
    </w:p>
    <w:p>
      <w:pPr>
        <w:spacing w:after="0" w:line="320" w:lineRule="exact"/>
        <w:rPr>
          <w:sz w:val="20"/>
          <w:szCs w:val="20"/>
          <w:color w:val="auto"/>
        </w:rPr>
      </w:pPr>
    </w:p>
    <w:p>
      <w:pPr>
        <w:spacing w:after="0"/>
        <w:tabs>
          <w:tab w:leader="none" w:pos="35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January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410210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640" w:space="720"/>
            <w:col w:w="4799"/>
          </w:cols>
          <w:pgMar w:left="1300" w:top="850"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968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232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Faegre Drinker Biddle &amp; Reath LLP</w:t>
      </w:r>
    </w:p>
    <w:p>
      <w:pPr>
        <w:spacing w:after="0" w:line="9"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One Logan Square, Suite 2000</w:t>
      </w:r>
    </w:p>
    <w:p>
      <w:pPr>
        <w:ind w:left="8200"/>
        <w:spacing w:after="0" w:line="234" w:lineRule="auto"/>
        <w:rPr>
          <w:sz w:val="20"/>
          <w:szCs w:val="20"/>
          <w:color w:val="auto"/>
        </w:rPr>
      </w:pPr>
      <w:r>
        <w:rPr>
          <w:rFonts w:ascii="Arial" w:cs="Arial" w:eastAsia="Arial" w:hAnsi="Arial"/>
          <w:sz w:val="18"/>
          <w:szCs w:val="18"/>
          <w:color w:val="auto"/>
        </w:rPr>
        <w:t>Philadelphia, Pennsylvania 19103</w:t>
      </w:r>
    </w:p>
    <w:p>
      <w:pPr>
        <w:ind w:left="8200"/>
        <w:spacing w:after="0" w:line="235" w:lineRule="auto"/>
        <w:rPr>
          <w:sz w:val="20"/>
          <w:szCs w:val="20"/>
          <w:color w:val="auto"/>
        </w:rPr>
      </w:pPr>
      <w:r>
        <w:rPr>
          <w:rFonts w:ascii="Arial" w:cs="Arial" w:eastAsia="Arial" w:hAnsi="Arial"/>
          <w:sz w:val="18"/>
          <w:szCs w:val="18"/>
          <w:color w:val="auto"/>
        </w:rPr>
        <w:t>+1 215 988 2700 main</w:t>
      </w:r>
    </w:p>
    <w:p>
      <w:pPr>
        <w:spacing w:after="0" w:line="1"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+1 215 988 2757 fax</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January 9,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Versant Media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904 Sylvan Avenue</w:t>
      </w:r>
    </w:p>
    <w:p>
      <w:pPr>
        <w:spacing w:after="0"/>
        <w:rPr>
          <w:sz w:val="20"/>
          <w:szCs w:val="20"/>
          <w:color w:val="auto"/>
        </w:rPr>
      </w:pPr>
      <w:r>
        <w:rPr>
          <w:rFonts w:ascii="Arial" w:cs="Arial" w:eastAsia="Arial" w:hAnsi="Arial"/>
          <w:sz w:val="18"/>
          <w:szCs w:val="18"/>
          <w:color w:val="auto"/>
        </w:rPr>
        <w:t>Englewood Cliffs, New Jersey 07632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acted as counsel to Versant Media Group, Inc., a Pennsylvania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preparation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filing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of the Company’s Registration Statement on Form S-8 (the</w:t>
      </w:r>
    </w:p>
    <w:p>
      <w:pPr>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registering the offer and sale of up to (i) 19,000,000</w:t>
      </w:r>
    </w:p>
    <w:p>
      <w:pPr>
        <w:spacing w:after="0" w:line="235" w:lineRule="auto"/>
        <w:rPr>
          <w:sz w:val="20"/>
          <w:szCs w:val="20"/>
          <w:color w:val="auto"/>
        </w:rPr>
      </w:pPr>
      <w:r>
        <w:rPr>
          <w:rFonts w:ascii="Arial" w:cs="Arial" w:eastAsia="Arial" w:hAnsi="Arial"/>
          <w:sz w:val="18"/>
          <w:szCs w:val="18"/>
          <w:color w:val="auto"/>
        </w:rPr>
        <w:t>shares of the Company’s Class A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issuable pursuant to the Versant Media</w:t>
      </w:r>
    </w:p>
    <w:p>
      <w:pPr>
        <w:spacing w:after="0" w:line="235" w:lineRule="auto"/>
        <w:rPr>
          <w:sz w:val="20"/>
          <w:szCs w:val="20"/>
          <w:color w:val="auto"/>
        </w:rPr>
      </w:pPr>
      <w:r>
        <w:rPr>
          <w:rFonts w:ascii="Arial" w:cs="Arial" w:eastAsia="Arial" w:hAnsi="Arial"/>
          <w:sz w:val="18"/>
          <w:szCs w:val="18"/>
          <w:color w:val="auto"/>
        </w:rPr>
        <w:t>Group, Inc. Omnibus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and (ii) 1,561,148 shares of Common Stock that are issuable under the Plan in</w:t>
      </w:r>
    </w:p>
    <w:p>
      <w:pPr>
        <w:spacing w:after="0" w:line="235" w:lineRule="auto"/>
        <w:rPr>
          <w:sz w:val="20"/>
          <w:szCs w:val="20"/>
          <w:color w:val="auto"/>
        </w:rPr>
      </w:pPr>
      <w:r>
        <w:rPr>
          <w:rFonts w:ascii="Arial" w:cs="Arial" w:eastAsia="Arial" w:hAnsi="Arial"/>
          <w:sz w:val="18"/>
          <w:szCs w:val="18"/>
          <w:color w:val="auto"/>
        </w:rPr>
        <w:t>connection with the Converted Awards (as defined in the Plan and, the shares of Common Stock noted in (i) and (ii), collectively, the</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8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For purposes of this opinion letter, we have examined the Plan, the Registration Statement, the Amended and Restated Articles of Incorporation of the Company, as amended and currently in effect, the Amended and Restated Bylaws of the Company, as amended and currently in effect, and the resolutions of the Company’s Board of Directors and the sole shareholder of the Company authorizing the Plan and the issuance of the Shares. We have also examined a certificate of the Secretary of the Company dated the date hereof (the “</w:t>
      </w:r>
      <w:r>
        <w:rPr>
          <w:rFonts w:ascii="Arial" w:cs="Arial" w:eastAsia="Arial" w:hAnsi="Arial"/>
          <w:sz w:val="18"/>
          <w:szCs w:val="18"/>
          <w:u w:val="single" w:color="auto"/>
          <w:color w:val="auto"/>
        </w:rPr>
        <w:t>Certificate</w:t>
      </w:r>
      <w:r>
        <w:rPr>
          <w:rFonts w:ascii="Arial" w:cs="Arial" w:eastAsia="Arial" w:hAnsi="Arial"/>
          <w:sz w:val="18"/>
          <w:szCs w:val="18"/>
          <w:color w:val="auto"/>
        </w:rPr>
        <w:t>”) and originals, or copies certified or otherwise authenticated to our satisfaction, of such corporate and other records, agreements, instruments, certificates of public officials and documents as we have deemed necessary as a basis for the opinions hereinafter expressed and have made such examination of statutes as we have deemed relevant and necessary in connection with the opinions hereinafter expressed. As to facts material to this opinion letter, we have relied upon certificates, statements or representations of public officials, of officers and representatives of the Company (including the Certificate) and of others, without any independent verification thereof.</w:t>
      </w:r>
    </w:p>
    <w:p>
      <w:pPr>
        <w:spacing w:after="0" w:line="170"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In our examination, we have assumed, without independent verification or investigation: (i) the legal capacity of all natural persons; (ii) the genuineness of all signatures, including electronic signatures; (iii) the authenticity of all documents submitted to us as originals; (iv) the conformity to original documents of all documents submitted to us as certified, conformed, photostatic or facsimile copies; (v) the authenticity of the originals of such latter documents; (vi) the truth, accuracy and completeness of the information, representations and warranties contained in the agreements, documents, instruments, certificates and records we have reviewed; and (vii) the absence of any undisclosed modifications to the agreements and instruments reviewed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line="242" w:lineRule="auto"/>
        <w:rPr>
          <w:sz w:val="20"/>
          <w:szCs w:val="20"/>
          <w:color w:val="auto"/>
        </w:rPr>
      </w:pPr>
      <w:r>
        <w:rPr>
          <w:rFonts w:ascii="Arial" w:cs="Arial" w:eastAsia="Arial" w:hAnsi="Arial"/>
          <w:sz w:val="18"/>
          <w:szCs w:val="18"/>
          <w:color w:val="auto"/>
        </w:rPr>
        <w:t>Based upon such examination and review, and subject to the foregoing and the other qualifications, assumptions and limitations set forth herein, we are of the opinion that all necessary corporate action on the part of the Company has been taken to authorize the issuance and sale of the Shares to be issued in accordance with the Plan and that, when (a) the Shares have been issued and sold as contemplated in the Registration Statement and related prospectus and in accordance with the Plan and any applicable award agreement, and (b) where applicable, the consideration for the Shares specified in the Plan and any applicable award agreement has been received by the Company, the Shares will be validly issued, fully paid and nonassessable.</w:t>
      </w:r>
    </w:p>
    <w:p>
      <w:pPr>
        <w:spacing w:after="0" w:line="165"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We do not express any opinion herein with respect to the laws of any jurisdiction other than, subject to the limitations and assumptions contained herein, the Pennsylvania Business Corporation Law of 1988, as amended.</w:t>
      </w:r>
    </w:p>
    <w:p>
      <w:pPr>
        <w:spacing w:after="0" w:line="14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This opinion speaks only as of the date the Registration Statement becomes effective under the Act, and we assume no obligation to revise or supplement this opinion thereafter. This opinion is limited to the specific issues addressed herein, and no opinion may be inferred or implied beyond that expressly stated herein.</w:t>
      </w:r>
    </w:p>
    <w:p>
      <w:pPr>
        <w:spacing w:after="0" w:line="15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thereby admit that we are within the category of persons whose consent is required under Section 7 of the Act or the rules and regulations of the Commission thereunder.</w:t>
      </w:r>
    </w:p>
    <w:p>
      <w:pPr>
        <w:spacing w:after="0" w:line="1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Faegre Drinker Biddle &amp; Reath LLP</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FAEGRE DRINKER BIDDLE &amp; REATH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May 30, 2025 relating to the combined financial statements of the Versant businesses of Comcast Corporation, appearing in Versant Media Group, Inc.’s Registration Statement on Form 10 (File No. 001-42856).</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rPr>
          <w:sz w:val="20"/>
          <w:szCs w:val="20"/>
          <w:color w:val="auto"/>
        </w:rPr>
      </w:pPr>
      <w:r>
        <w:rPr>
          <w:rFonts w:ascii="Arial" w:cs="Arial" w:eastAsia="Arial" w:hAnsi="Arial"/>
          <w:sz w:val="18"/>
          <w:szCs w:val="18"/>
          <w:color w:val="auto"/>
        </w:rPr>
        <w:t>January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OMNIBUS EQUITY INCENTIVE PLAN</w:t>
      </w:r>
    </w:p>
    <w:p>
      <w:pPr>
        <w:spacing w:after="0" w:line="203" w:lineRule="exact"/>
        <w:rPr>
          <w:sz w:val="20"/>
          <w:szCs w:val="20"/>
          <w:color w:val="auto"/>
        </w:rPr>
      </w:pPr>
    </w:p>
    <w:p>
      <w:pPr>
        <w:ind w:left="1600" w:hanging="944"/>
        <w:spacing w:after="0"/>
        <w:tabs>
          <w:tab w:leader="none" w:pos="16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BACKGROUND AND PURPOSE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56"/>
        <w:spacing w:after="0" w:line="282" w:lineRule="auto"/>
        <w:tabs>
          <w:tab w:leader="none" w:pos="17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Background</w:t>
      </w:r>
      <w:r>
        <w:rPr>
          <w:rFonts w:ascii="Times New Roman" w:cs="Times New Roman" w:eastAsia="Times New Roman" w:hAnsi="Times New Roman"/>
          <w:sz w:val="18"/>
          <w:szCs w:val="18"/>
          <w:color w:val="auto"/>
        </w:rPr>
        <w:t>. Versant Media Group, Inc, a Pennsylvania corporation, hereby establishes this Versant Media Group, Inc. Omnibus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6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Plan is to promote the ability of the Company to recruit and retain employees and other eligible service providers and enhance the growth and profitability of the Company by providing the incentive of long-term awards for continued employment or other service and the attainment of performance objectives.</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6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Documentation</w:t>
      </w:r>
      <w:r>
        <w:rPr>
          <w:rFonts w:ascii="Times New Roman" w:cs="Times New Roman" w:eastAsia="Times New Roman" w:hAnsi="Times New Roman"/>
          <w:sz w:val="18"/>
          <w:szCs w:val="18"/>
          <w:color w:val="auto"/>
        </w:rPr>
        <w:t>. Each Award shall be evidenced by a written instrument containing such terms and conditions not inconsistent with the Plan as the Committee may determine (an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The issuance of Shares under the Plan shall be subject to all of the applicable requirements of the Plan, the applicable Award Agreement, the corporation law of the Company’s state of incorporation and other applicable laws, including applicable securities laws, and all Shares issued under the Plan shall be subject to the terms and restrictions contained in the Articles of Incorporation and Bylaws of the Company, as amended from time to time.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 to Written Forms, Elections and Notices</w:t>
      </w:r>
      <w:r>
        <w:rPr>
          <w:rFonts w:ascii="Times New Roman" w:cs="Times New Roman" w:eastAsia="Times New Roman" w:hAnsi="Times New Roman"/>
          <w:sz w:val="18"/>
          <w:szCs w:val="18"/>
          <w:color w:val="auto"/>
        </w:rPr>
        <w:t>. Any action under the Plan that requires a written form, election, notice or other action shall be treated as completed if taken via electronic or other means.</w:t>
      </w:r>
    </w:p>
    <w:p>
      <w:pPr>
        <w:spacing w:after="0" w:line="158" w:lineRule="exact"/>
        <w:rPr>
          <w:sz w:val="20"/>
          <w:szCs w:val="20"/>
          <w:color w:val="auto"/>
        </w:rPr>
      </w:pPr>
    </w:p>
    <w:p>
      <w:pPr>
        <w:ind w:left="1600" w:hanging="944"/>
        <w:spacing w:after="0"/>
        <w:tabs>
          <w:tab w:leader="none" w:pos="16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56"/>
        <w:spacing w:after="0" w:line="261" w:lineRule="auto"/>
        <w:tabs>
          <w:tab w:leader="none" w:pos="15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6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 award of Restricted Stock Units, Restricted Stock, Options, SAR, a Converted Award or an Other Share-Based Award granted under the Plan.</w:t>
      </w:r>
    </w:p>
    <w:p>
      <w:pPr>
        <w:spacing w:after="0" w:line="161"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has the meaning set forth in the Participant’s applicable employment, severance, consulting or similar agreement with any applicable Participating Company, if any, or if no such definition exists, means (i) fraud; (ii) misappropriation; (iii) embezzlement; (iv) gross negligence in the performance of duties; (v) self-dealing; (vi) dishonesty; (vii) misrepresentation; (viii) conviction of a crime of a felony; (ix) material violation of any Company policy; (x) material violation of the Company’s Code of Conduct or, (xi) in the case of an employee of a Company who is a party to an employment agreement with a Company, material breach of such agreement.</w:t>
      </w:r>
    </w:p>
    <w:p>
      <w:pPr>
        <w:spacing w:after="0" w:line="183"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left="1804" w:hanging="1156"/>
        <w:spacing w:after="0"/>
        <w:tabs>
          <w:tab w:leader="none" w:pos="18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2(e)(ii),‎ “Change in Control” means the occurrence of any one or more of the following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events:</w:t>
      </w:r>
    </w:p>
    <w:p>
      <w:pPr>
        <w:spacing w:after="0" w:line="207" w:lineRule="exact"/>
        <w:rPr>
          <w:sz w:val="20"/>
          <w:szCs w:val="20"/>
          <w:color w:val="auto"/>
        </w:rPr>
      </w:pPr>
    </w:p>
    <w:p>
      <w:pPr>
        <w:jc w:val="both"/>
        <w:ind w:left="644" w:firstLine="652"/>
        <w:spacing w:after="0" w:line="256" w:lineRule="auto"/>
        <w:tabs>
          <w:tab w:leader="none" w:pos="2261"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defined in Section 13(d) of the Exchange Act), other than an employee benefit plan or trust maintained by the Company, becomes the “beneficial owner” (as defined in Rule 13d-3 under the Exchange Act), directly or indirectly, of securities of the Company representing 30% or more of the combined voting power of the Company’s outstanding securities entitled to vote generally in the election of directors, unless a majority of the directors of the Company in office immediately preceding the date on which such Person acquires such beneficial ownership, by resolution negates the effectiveness of this provision in a particular circumstance;</w:t>
      </w:r>
    </w:p>
    <w:p>
      <w:pPr>
        <w:spacing w:after="0" w:line="187"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2256"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179" w:lineRule="exact"/>
        <w:rPr>
          <w:rFonts w:ascii="Times New Roman" w:cs="Times New Roman" w:eastAsia="Times New Roman" w:hAnsi="Times New Roman"/>
          <w:sz w:val="18"/>
          <w:szCs w:val="18"/>
          <w:color w:val="auto"/>
        </w:rPr>
      </w:pPr>
    </w:p>
    <w:p>
      <w:pPr>
        <w:jc w:val="both"/>
        <w:ind w:left="644" w:firstLine="652"/>
        <w:spacing w:after="0" w:line="256" w:lineRule="auto"/>
        <w:tabs>
          <w:tab w:leader="none" w:pos="218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consolidation, amalgamation, reorganization or similar business transaction or series of related transactions involving the Company or any of its subsidiaries with any other corporation or entity, which would result in the combined voting power of the Company’s securities entitled to vote generally in the election of directors outstanding immediately prior to such transaction or series of related transactions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transaction or series of related transactions;</w:t>
      </w:r>
    </w:p>
    <w:p>
      <w:pPr>
        <w:spacing w:after="0" w:line="187" w:lineRule="exact"/>
        <w:rPr>
          <w:rFonts w:ascii="Times New Roman" w:cs="Times New Roman" w:eastAsia="Times New Roman" w:hAnsi="Times New Roman"/>
          <w:sz w:val="18"/>
          <w:szCs w:val="18"/>
          <w:color w:val="auto"/>
        </w:rPr>
      </w:pPr>
    </w:p>
    <w:p>
      <w:pPr>
        <w:ind w:left="644" w:firstLine="652"/>
        <w:spacing w:after="0" w:line="282" w:lineRule="auto"/>
        <w:tabs>
          <w:tab w:leader="none" w:pos="21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sale, lease, exchange or other transfer to any Person of all or substantially all of the assets of the Company, in one transaction or a series of related transactions; or</w:t>
      </w:r>
    </w:p>
    <w:p>
      <w:pPr>
        <w:spacing w:after="0" w:line="161" w:lineRule="exact"/>
        <w:rPr>
          <w:rFonts w:ascii="Times New Roman" w:cs="Times New Roman" w:eastAsia="Times New Roman" w:hAnsi="Times New Roman"/>
          <w:sz w:val="18"/>
          <w:szCs w:val="18"/>
          <w:color w:val="auto"/>
        </w:rPr>
      </w:pPr>
    </w:p>
    <w:p>
      <w:pPr>
        <w:ind w:left="2164" w:hanging="868"/>
        <w:spacing w:after="0"/>
        <w:tabs>
          <w:tab w:leader="none" w:pos="216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shareholders of the Company of a liquidation or dissolution of the Company.</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55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distribution of amounts subject to an Award that constitute “deferred compensation” (within the meaning of Section 409A of the Code), the term “Change in Control” shall mean any transaction or series of transactions that constitutes a change in the ownership or effective control or a change in the ownership of a substantial portion of the assets of the Company, within the meaning of Section 409A of the Code.</w:t>
      </w:r>
    </w:p>
    <w:p>
      <w:pPr>
        <w:spacing w:after="0" w:line="179" w:lineRule="exact"/>
        <w:rPr>
          <w:rFonts w:ascii="Times New Roman" w:cs="Times New Roman" w:eastAsia="Times New Roman" w:hAnsi="Times New Roman"/>
          <w:sz w:val="18"/>
          <w:szCs w:val="18"/>
          <w:color w:val="auto"/>
        </w:rPr>
      </w:pPr>
    </w:p>
    <w:p>
      <w:pPr>
        <w:ind w:left="904" w:hanging="904"/>
        <w:spacing w:after="0"/>
        <w:tabs>
          <w:tab w:leader="none" w:pos="9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333"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4" w:name="page15"/>
    <w:bookmarkEnd w:id="14"/>
    <w:p>
      <w:pPr>
        <w:jc w:val="both"/>
        <w:ind w:firstLine="656"/>
        <w:spacing w:after="0" w:line="266" w:lineRule="auto"/>
        <w:tabs>
          <w:tab w:leader="none" w:pos="15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Comcast Equity Plan</w:t>
      </w:r>
      <w:r>
        <w:rPr>
          <w:rFonts w:ascii="Times New Roman" w:cs="Times New Roman" w:eastAsia="Times New Roman" w:hAnsi="Times New Roman"/>
          <w:sz w:val="18"/>
          <w:szCs w:val="18"/>
          <w:color w:val="auto"/>
        </w:rPr>
        <w:t>” means any of (i) the Comcast Corporation 2023 Omnibus Equity Incentive Plan, (ii) the Comcast Corporation 2003 Stock Option Plan and (iii) the Comcast Corporation 2002 Restricted Stock Plan, in each case as may be amended or amended and restated from time to time.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6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means the Compensation Committee of the Board or any other committee or subcommittee designated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references to the Committee shall be treated as references to the Committee’s delegates with respect to any Award granted within the scope of the delegate’s authority pursuant to Section 5(c)‎.</w:t>
      </w:r>
    </w:p>
    <w:p>
      <w:pPr>
        <w:spacing w:after="0" w:line="175" w:lineRule="exact"/>
        <w:rPr>
          <w:rFonts w:ascii="Times New Roman" w:cs="Times New Roman" w:eastAsia="Times New Roman" w:hAnsi="Times New Roman"/>
          <w:sz w:val="18"/>
          <w:szCs w:val="18"/>
          <w:color w:val="auto"/>
        </w:rPr>
      </w:pPr>
    </w:p>
    <w:p>
      <w:pPr>
        <w:ind w:left="1600" w:hanging="944"/>
        <w:spacing w:after="0"/>
        <w:tabs>
          <w:tab w:leader="none" w:pos="1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Company’s Class A Common Stock, par value, $0.01.</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6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Versant Media Group, Inc, a Pennsylvania corporation, including any successor thereto by merger, consolidation, amalgamation, acquisition of all or substantially all the assets thereof, or otherwise.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Awards</w:t>
      </w:r>
      <w:r>
        <w:rPr>
          <w:rFonts w:ascii="Times New Roman" w:cs="Times New Roman" w:eastAsia="Times New Roman" w:hAnsi="Times New Roman"/>
          <w:sz w:val="18"/>
          <w:szCs w:val="18"/>
          <w:color w:val="auto"/>
        </w:rPr>
        <w:t>” means awards originally granted under any Comcast Equity Plan that are converted into Awards with respect to Common Stock pursuant to Article 8 of the Employee Matters Agreement.</w:t>
      </w:r>
    </w:p>
    <w:p>
      <w:pPr>
        <w:spacing w:after="0" w:line="161" w:lineRule="exact"/>
        <w:rPr>
          <w:rFonts w:ascii="Times New Roman" w:cs="Times New Roman" w:eastAsia="Times New Roman" w:hAnsi="Times New Roman"/>
          <w:sz w:val="18"/>
          <w:szCs w:val="18"/>
          <w:color w:val="auto"/>
        </w:rPr>
      </w:pPr>
    </w:p>
    <w:p>
      <w:pPr>
        <w:ind w:left="1600" w:hanging="944"/>
        <w:spacing w:after="0"/>
        <w:tabs>
          <w:tab w:leader="none" w:pos="1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means the date on which an Award is granted.</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5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has the meaning set forth in the Participant’s applicable employment, severance, consulting or similar agreement with any applicable Participating Company, if any, or if no such definition exists, means: (i) a Participant’s substantial inability to perform Participant’s employment duties due to partial or total disability or incapacity resulting from a mental or physical illness, injury or other health-related cause for a period of 12 consecutive months or for a cumulative period of 52 weeks in any two-calendar year period; or (ii) for any Incentive Stock Option, a disability within the meaning of section 22(e)(3) of the Code.</w:t>
      </w:r>
    </w:p>
    <w:p>
      <w:pPr>
        <w:spacing w:after="0" w:line="183"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Distribution Date (as referenced in the Employee Matters Agreement).</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means an employee of a Participating Company or any prospective employee who has accepted an offer of employment from any Participating Company, in each case as determined by the Committee.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5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Matters Agreement</w:t>
      </w:r>
      <w:r>
        <w:rPr>
          <w:rFonts w:ascii="Times New Roman" w:cs="Times New Roman" w:eastAsia="Times New Roman" w:hAnsi="Times New Roman"/>
          <w:sz w:val="18"/>
          <w:szCs w:val="18"/>
          <w:color w:val="auto"/>
        </w:rPr>
        <w:t>” means the Employee Matters Agreement, by and between Comcast Corporation and the Company, as such agreement may be amended from time to time.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7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(i) if Shares are listed on a stock exchange, Fair Market Value shall be determined based on the last reported sale price of a Share on the principal exchange on which Shares are listed on the date of determination, or if such date is not a trading day, the next trading date and (ii) if Shares are not so listed nor trades of Shares so reported, Fair Market Value shall be determined by the Committee in good faith and in a manner consistent with the requirements of Section 409A of the Code. For purposes of Section 9(b)‎ and Section 12‎ (except to the extent that the Participant pays the full option price and all applicable withholding taxes in</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spacing w:after="0" w:line="266" w:lineRule="auto"/>
        <w:rPr>
          <w:sz w:val="20"/>
          <w:szCs w:val="20"/>
          <w:color w:val="auto"/>
        </w:rPr>
      </w:pPr>
      <w:r>
        <w:rPr>
          <w:rFonts w:ascii="Times New Roman" w:cs="Times New Roman" w:eastAsia="Times New Roman" w:hAnsi="Times New Roman"/>
          <w:sz w:val="18"/>
          <w:szCs w:val="18"/>
          <w:color w:val="auto"/>
        </w:rPr>
        <w:t>cash, by certified check, surrender or attestation to ownership of Shares or via cashless exercise, as described in Section 9(b)(i),‎ (ii),‎ (iii),‎ and (iv)‎ respectively), the Fair Market Value of Shares applied to pay the option price and the Fair Market Value of Shares withheld to pay applicable tax liabilities shall be determined based on the available price of Shares at the time the Option exercise transaction is executed.</w:t>
      </w:r>
    </w:p>
    <w:p>
      <w:pPr>
        <w:spacing w:after="0" w:line="176" w:lineRule="exact"/>
        <w:rPr>
          <w:sz w:val="20"/>
          <w:szCs w:val="20"/>
          <w:color w:val="auto"/>
        </w:rPr>
      </w:pPr>
    </w:p>
    <w:p>
      <w:pPr>
        <w:ind w:firstLine="656"/>
        <w:spacing w:after="0" w:line="282" w:lineRule="auto"/>
        <w:tabs>
          <w:tab w:leader="none" w:pos="16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has the meaning given to such term in General Instructions A.1(a)(5) to Form S-8 under the 1933 Act, and any successor registration statement thereunder.</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7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5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Intrinsic Value</w:t>
      </w:r>
      <w:r>
        <w:rPr>
          <w:rFonts w:ascii="Times New Roman" w:cs="Times New Roman" w:eastAsia="Times New Roman" w:hAnsi="Times New Roman"/>
          <w:sz w:val="18"/>
          <w:szCs w:val="18"/>
          <w:color w:val="auto"/>
        </w:rPr>
        <w:t>” with respect to an Option or SAR means (i) the excess, if any, of the price or implied price per Share in a Change in Control or other event over (ii) the exercise or hurdle price of such Award multiplied by (iii) the number of Shares covered by such Award.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8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an individual who is a member of the Board, and who is not an employee of a Participating Company, including an individual who is a member of the Board and who previously was, but at the time of reference is not, an employee of a Participating Company.</w:t>
      </w:r>
    </w:p>
    <w:p>
      <w:pPr>
        <w:spacing w:after="0" w:line="17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Option</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4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granted under the Plan, designated by the Committee at the time of such grant as a Non-Qualified Option and containing the terms specified herein for Non-Qualified Options;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23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61"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any stock option granted under the Plan and described in Section 3(c)‎ or Section 3(d)‎.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7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Eligible Service Provider</w:t>
      </w:r>
      <w:r>
        <w:rPr>
          <w:rFonts w:ascii="Times New Roman" w:cs="Times New Roman" w:eastAsia="Times New Roman" w:hAnsi="Times New Roman"/>
          <w:sz w:val="18"/>
          <w:szCs w:val="18"/>
          <w:color w:val="auto"/>
        </w:rPr>
        <w:t>” means (x) any individual, including an advisor, who is providing services to any Participating Company or who has accepted an offer of service or consultancy from any Participating Company and (y) any other service provider eligible to receive grants under a plan that is eligible for registration with the Securities and Exchange Commission on Form S-8.</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5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Share-Based Award</w:t>
      </w:r>
      <w:r>
        <w:rPr>
          <w:rFonts w:ascii="Times New Roman" w:cs="Times New Roman" w:eastAsia="Times New Roman" w:hAnsi="Times New Roman"/>
          <w:sz w:val="18"/>
          <w:szCs w:val="18"/>
          <w:color w:val="auto"/>
        </w:rPr>
        <w:t>” means an Award granted pursuant to Section‎ 10‎ that may be denominated or payable in, valued in whole or in part by reference to, or otherwise based on, or related to, Shares or factors that may influence the value of Shares, including convertible or</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exchangeable debt securities, other rights convertible or exchangeable into Shares, purchase rights for Shares, dividend rights or dividend equivalent rights or Awards with value and payment contingent upon performance of the Company or business units thereof or any other factors designated by the Committee.</w:t>
      </w:r>
    </w:p>
    <w:p>
      <w:pPr>
        <w:spacing w:after="0" w:line="176" w:lineRule="exact"/>
        <w:rPr>
          <w:sz w:val="20"/>
          <w:szCs w:val="20"/>
          <w:color w:val="auto"/>
        </w:rPr>
      </w:pPr>
    </w:p>
    <w:p>
      <w:pPr>
        <w:ind w:left="1540" w:hanging="884"/>
        <w:spacing w:after="0"/>
        <w:tabs>
          <w:tab w:leader="none" w:pos="15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means an Eligible Employee, Non-Employee Director or Other Eligible Service Provider who is granted an Award under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w:t>
      </w:r>
    </w:p>
    <w:p>
      <w:pPr>
        <w:spacing w:after="0" w:line="207" w:lineRule="exact"/>
        <w:rPr>
          <w:sz w:val="20"/>
          <w:szCs w:val="20"/>
          <w:color w:val="auto"/>
        </w:rPr>
      </w:pPr>
    </w:p>
    <w:p>
      <w:pPr>
        <w:ind w:left="1480" w:hanging="824"/>
        <w:spacing w:after="0"/>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Company</w:t>
      </w:r>
      <w:r>
        <w:rPr>
          <w:rFonts w:ascii="Times New Roman" w:cs="Times New Roman" w:eastAsia="Times New Roman" w:hAnsi="Times New Roman"/>
          <w:sz w:val="18"/>
          <w:szCs w:val="18"/>
          <w:color w:val="auto"/>
        </w:rPr>
        <w:t>” means the Company and each of the Subsidiary Companies.</w:t>
      </w:r>
    </w:p>
    <w:p>
      <w:pPr>
        <w:spacing w:after="0" w:line="225"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an association, a trust or any other entity or organization.</w:t>
      </w:r>
    </w:p>
    <w:p>
      <w:pPr>
        <w:spacing w:after="0" w:line="225"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subject to restrictions as set forth in an Award.</w:t>
      </w:r>
    </w:p>
    <w:p>
      <w:pPr>
        <w:spacing w:after="0" w:line="225"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unit that entitles the Participant, upon the Vesting Date set forth in an Award, to receive one Share.</w:t>
      </w:r>
    </w:p>
    <w:p>
      <w:pPr>
        <w:spacing w:after="0" w:line="225"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under the 1934 Act.</w:t>
      </w:r>
    </w:p>
    <w:p>
      <w:pPr>
        <w:spacing w:after="0" w:line="225" w:lineRule="exact"/>
        <w:rPr>
          <w:rFonts w:ascii="Times New Roman" w:cs="Times New Roman" w:eastAsia="Times New Roman" w:hAnsi="Times New Roman"/>
          <w:sz w:val="18"/>
          <w:szCs w:val="18"/>
          <w:color w:val="auto"/>
        </w:rPr>
      </w:pPr>
    </w:p>
    <w:p>
      <w:pPr>
        <w:ind w:right="100" w:firstLine="656"/>
        <w:spacing w:after="0" w:line="266" w:lineRule="auto"/>
        <w:tabs>
          <w:tab w:leader="none" w:pos="15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any right granted pursuant to Section 3(e)‎ to receive upon exercise by the Participant or settlement, in cash, Shares or a combination thereof, the excess of (i) the Fair Market Value of one Share on the date of exercise or settlement over (ii) the exercise or hurdle price of the right on the Date of Grant.</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4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a share or shares of Common Stock, except as otherwise provided in this Section 2(gg)‎. The term “Share” or “Shares” also means such other securities issued by the Company as may be the subject of an adjustment under Section 13‎.</w:t>
      </w:r>
    </w:p>
    <w:p>
      <w:pPr>
        <w:spacing w:after="0" w:line="161" w:lineRule="exact"/>
        <w:rPr>
          <w:rFonts w:ascii="Times New Roman" w:cs="Times New Roman" w:eastAsia="Times New Roman" w:hAnsi="Times New Roman"/>
          <w:sz w:val="18"/>
          <w:szCs w:val="18"/>
          <w:color w:val="auto"/>
        </w:rPr>
      </w:pPr>
    </w:p>
    <w:p>
      <w:pPr>
        <w:ind w:right="280" w:firstLine="656"/>
        <w:spacing w:after="0" w:line="261" w:lineRule="auto"/>
        <w:tabs>
          <w:tab w:leader="none" w:pos="14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Companies</w:t>
      </w:r>
      <w:r>
        <w:rPr>
          <w:rFonts w:ascii="Times New Roman" w:cs="Times New Roman" w:eastAsia="Times New Roman" w:hAnsi="Times New Roman"/>
          <w:sz w:val="18"/>
          <w:szCs w:val="18"/>
          <w:color w:val="auto"/>
        </w:rPr>
        <w:t>” means all trades or businesses, whether or not incorporated, that, at the time in question, either (i) are in an unbroken chain of trades or businesses beginning with the Company if, each of the trades or businesses other than the Company in the unbroken chain owns equity interests possessing 50 percent or more of the total combined voting power of all classes of equity interests in one of the other trades or businesses in such chain, or (ii) the accounts of which are otherwise consolidated on the financial statements of the Company.</w:t>
      </w:r>
    </w:p>
    <w:p>
      <w:pPr>
        <w:spacing w:after="0" w:line="179" w:lineRule="exact"/>
        <w:rPr>
          <w:rFonts w:ascii="Times New Roman" w:cs="Times New Roman" w:eastAsia="Times New Roman" w:hAnsi="Times New Roman"/>
          <w:sz w:val="18"/>
          <w:szCs w:val="18"/>
          <w:color w:val="auto"/>
        </w:rPr>
      </w:pPr>
    </w:p>
    <w:p>
      <w:pPr>
        <w:ind w:right="340" w:firstLine="656"/>
        <w:spacing w:after="0" w:line="282" w:lineRule="auto"/>
        <w:tabs>
          <w:tab w:leader="none" w:pos="14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Award</w:t>
      </w:r>
      <w:r>
        <w:rPr>
          <w:rFonts w:ascii="Times New Roman" w:cs="Times New Roman" w:eastAsia="Times New Roman" w:hAnsi="Times New Roman"/>
          <w:sz w:val="18"/>
          <w:szCs w:val="18"/>
          <w:color w:val="auto"/>
        </w:rPr>
        <w:t>” means an Award granted in assumption of, or in substitution for, an outstanding award previously granted by a company or other business acquired by a Participating Company or with which a Participating Company combines.</w:t>
      </w:r>
    </w:p>
    <w:p>
      <w:pPr>
        <w:spacing w:after="0" w:line="161" w:lineRule="exact"/>
        <w:rPr>
          <w:rFonts w:ascii="Times New Roman" w:cs="Times New Roman" w:eastAsia="Times New Roman" w:hAnsi="Times New Roman"/>
          <w:sz w:val="18"/>
          <w:szCs w:val="18"/>
          <w:color w:val="auto"/>
        </w:rPr>
      </w:pPr>
    </w:p>
    <w:p>
      <w:pPr>
        <w:ind w:right="220" w:firstLine="656"/>
        <w:spacing w:after="0" w:line="282" w:lineRule="auto"/>
        <w:tabs>
          <w:tab w:leader="none" w:pos="14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Successor-in-Interest</w:t>
      </w:r>
      <w:r>
        <w:rPr>
          <w:rFonts w:ascii="Times New Roman" w:cs="Times New Roman" w:eastAsia="Times New Roman" w:hAnsi="Times New Roman"/>
          <w:sz w:val="18"/>
          <w:szCs w:val="18"/>
          <w:color w:val="auto"/>
        </w:rPr>
        <w:t>” means the estate or beneficiary to whom the right to payment under the Plan shall have passed by will or the laws of descent and distribution.</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4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 Percent Shareholder</w:t>
      </w:r>
      <w:r>
        <w:rPr>
          <w:rFonts w:ascii="Times New Roman" w:cs="Times New Roman" w:eastAsia="Times New Roman" w:hAnsi="Times New Roman"/>
          <w:sz w:val="18"/>
          <w:szCs w:val="18"/>
          <w:color w:val="auto"/>
        </w:rPr>
        <w:t>” means a Person who on the Date of Grant owns, either directly or within the meaning of the attribution rules contained in section 424(d) of the Code, stock possessing more than 10% of the total combined voting power of all classes of stock of his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employer corporation or of its parent or subsidiary corporations, as defined respectively in sections 424(e) and (f) of the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employer corporation is the Company or a Subsidiary Company.</w:t>
      </w:r>
    </w:p>
    <w:p>
      <w:pPr>
        <w:spacing w:after="0" w:line="162" w:lineRule="exact"/>
        <w:rPr>
          <w:sz w:val="20"/>
          <w:szCs w:val="20"/>
          <w:color w:val="auto"/>
        </w:rPr>
      </w:pPr>
    </w:p>
    <w:p>
      <w:pPr>
        <w:ind w:left="1500" w:hanging="844"/>
        <w:spacing w:after="0"/>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660" w:right="400" w:firstLine="644"/>
        <w:spacing w:after="0" w:line="261" w:lineRule="auto"/>
        <w:tabs>
          <w:tab w:leader="none" w:pos="224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Participant who is an Eligible Employee, the cessation of the employment relationship such that the Participant is no longer an employee of any Participating Company (without regard to whether such Participant continues on the Company’s payroll for regular, severance or other pay or continues to participate in one or more health and welfare plans maintained by any Participating Company on the same basis as active employees), as determined in the discretion of the Committee; or</w:t>
      </w:r>
    </w:p>
    <w:p>
      <w:pPr>
        <w:spacing w:after="0" w:line="179"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21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Participant who is a Non-Employee Director or Other Eligible Service Provider, the date the performance of services for any Participating Company has ended, in each case as determined in the discretion of the Committee;</w:t>
      </w:r>
    </w:p>
    <w:p>
      <w:pPr>
        <w:spacing w:after="0" w:line="162"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Notwithstanding the foregoing, (A) in the case of a Participant who is an Eligible Employee, (1) the transfer of employment between two employers, each of which is a Participating Company, or, unless the Committee determines otherwise, the cessation of employee status but the continuation of the performance of services for a Participating Company as a Non-Employee Director or Other Eligible Service Provider shall not be deemed a cessation of service that would constitute a Termination of Service and (2) a Termination of Service shall be deemed to occur for such Participant if such Participant is employed by, or performing services for, a Subsidiary Company when such Subsidiary Company ceases to be a Subsidiary Company unless otherwise determined in the discretion of the Committee and (B) with respect to any Award subject to Section 409A of the Code (and not exempt therefrom), a Termination of Service occurs when a Participant experiences a “separation of service” (as such term is defined under Section 409A of the Code).</w:t>
      </w:r>
    </w:p>
    <w:p>
      <w:pPr>
        <w:spacing w:after="0" w:line="192" w:lineRule="exact"/>
        <w:rPr>
          <w:sz w:val="20"/>
          <w:szCs w:val="20"/>
          <w:color w:val="auto"/>
        </w:rPr>
      </w:pPr>
    </w:p>
    <w:p>
      <w:pPr>
        <w:ind w:firstLine="656"/>
        <w:spacing w:after="0" w:line="282" w:lineRule="auto"/>
        <w:tabs>
          <w:tab w:leader="none" w:pos="14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xml:space="preserve">” means any Person, together with such Person’s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“Third Party” shall not include the Company or an Affiliate of the Company.</w:t>
      </w:r>
    </w:p>
    <w:p>
      <w:pPr>
        <w:spacing w:after="0" w:line="161" w:lineRule="exact"/>
        <w:rPr>
          <w:rFonts w:ascii="Times New Roman" w:cs="Times New Roman" w:eastAsia="Times New Roman" w:hAnsi="Times New Roman"/>
          <w:sz w:val="18"/>
          <w:szCs w:val="18"/>
          <w:color w:val="auto"/>
        </w:rPr>
      </w:pPr>
    </w:p>
    <w:p>
      <w:pPr>
        <w:ind w:right="300" w:firstLine="656"/>
        <w:spacing w:after="0" w:line="282" w:lineRule="auto"/>
        <w:tabs>
          <w:tab w:leader="none" w:pos="144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 means, as applicable: (i) the date on which the Participant vests in a Restricted Stock Unit, (ii) the date on which the restrictions imposed on a Share of Restricted Stock lapse or (iii) the date on which the Participant vests in an Option or SAR.</w:t>
      </w:r>
    </w:p>
    <w:p>
      <w:pPr>
        <w:spacing w:after="0" w:line="161"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221" w:lineRule="exact"/>
        <w:rPr>
          <w:sz w:val="20"/>
          <w:szCs w:val="20"/>
          <w:color w:val="auto"/>
        </w:rPr>
      </w:pPr>
    </w:p>
    <w:p>
      <w:pPr>
        <w:ind w:left="1600" w:hanging="944"/>
        <w:spacing w:after="0"/>
        <w:tabs>
          <w:tab w:leader="none" w:pos="16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TO BE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that may be granted under the Plan are:</w:t>
      </w:r>
    </w:p>
    <w:p>
      <w:pPr>
        <w:spacing w:after="0" w:line="229" w:lineRule="exact"/>
        <w:rPr>
          <w:sz w:val="20"/>
          <w:szCs w:val="20"/>
          <w:color w:val="auto"/>
        </w:rPr>
      </w:pPr>
    </w:p>
    <w:p>
      <w:pPr>
        <w:ind w:left="5560" w:right="160" w:hanging="4904"/>
        <w:spacing w:after="0" w:line="657" w:lineRule="auto"/>
        <w:tabs>
          <w:tab w:leader="none" w:pos="15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Restricted Stock Units, which give the Participant the right to receive Shares upon a Vesting Date, as set forth in Section 8;‎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ind w:right="20" w:firstLine="656"/>
        <w:spacing w:after="0" w:line="282" w:lineRule="auto"/>
        <w:tabs>
          <w:tab w:leader="none" w:pos="15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Restricted Stock, which give the Participant ownership rights in the Shares subject to the Award, subject to a substantial risk of forfeiture, as set forth in Section 8;‎</w:t>
      </w:r>
    </w:p>
    <w:p>
      <w:pPr>
        <w:spacing w:after="0" w:line="161" w:lineRule="exact"/>
        <w:rPr>
          <w:rFonts w:ascii="Times New Roman" w:cs="Times New Roman" w:eastAsia="Times New Roman" w:hAnsi="Times New Roman"/>
          <w:sz w:val="18"/>
          <w:szCs w:val="18"/>
          <w:color w:val="auto"/>
        </w:rPr>
      </w:pPr>
    </w:p>
    <w:p>
      <w:pPr>
        <w:ind w:firstLine="656"/>
        <w:spacing w:after="0" w:line="266" w:lineRule="auto"/>
        <w:tabs>
          <w:tab w:leader="none" w:pos="152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which give the Participant who is an employee of a Participating Company the right for a specified time period to purchase a specified number of Shares (to the extent of clause (i) of the definition thereof) for a price, except in the case of Substitute Awards that constitute incentive stock options, not less than the Fair Market Value on the Date of Grant;</w:t>
      </w:r>
    </w:p>
    <w:p>
      <w:pPr>
        <w:spacing w:after="0" w:line="175" w:lineRule="exact"/>
        <w:rPr>
          <w:rFonts w:ascii="Times New Roman" w:cs="Times New Roman" w:eastAsia="Times New Roman" w:hAnsi="Times New Roman"/>
          <w:sz w:val="18"/>
          <w:szCs w:val="18"/>
          <w:color w:val="auto"/>
        </w:rPr>
      </w:pPr>
    </w:p>
    <w:p>
      <w:pPr>
        <w:ind w:right="40" w:firstLine="656"/>
        <w:spacing w:after="0" w:line="282" w:lineRule="auto"/>
        <w:tabs>
          <w:tab w:leader="none" w:pos="15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Options, which give the Participant the right for a specified time period to purchase a specified number of Shares for a price, except in the case of Substitute Awards, not less than the Fair Market Value on the Date of Grant;</w:t>
      </w:r>
    </w:p>
    <w:p>
      <w:pPr>
        <w:spacing w:after="0" w:line="161" w:lineRule="exact"/>
        <w:rPr>
          <w:rFonts w:ascii="Times New Roman" w:cs="Times New Roman" w:eastAsia="Times New Roman" w:hAnsi="Times New Roman"/>
          <w:sz w:val="18"/>
          <w:szCs w:val="18"/>
          <w:color w:val="auto"/>
        </w:rPr>
      </w:pPr>
    </w:p>
    <w:p>
      <w:pPr>
        <w:ind w:right="60" w:firstLine="656"/>
        <w:spacing w:after="0" w:line="312" w:lineRule="auto"/>
        <w:tabs>
          <w:tab w:leader="none" w:pos="152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SARs, which give the Participant the right upon exercise or settlement, to receive in cash, Shares or a combination thereof, the excess of (x) the Fair Market Value of one Share on the date of exercise or settlement over (y) the exercise or hurdle price of the right on the Date of Grant; and</w:t>
      </w:r>
    </w:p>
    <w:p>
      <w:pPr>
        <w:spacing w:after="0" w:line="139" w:lineRule="exact"/>
        <w:rPr>
          <w:rFonts w:ascii="Times New Roman" w:cs="Times New Roman" w:eastAsia="Times New Roman" w:hAnsi="Times New Roman"/>
          <w:sz w:val="17"/>
          <w:szCs w:val="17"/>
          <w:color w:val="auto"/>
        </w:rPr>
      </w:pPr>
    </w:p>
    <w:p>
      <w:pPr>
        <w:ind w:left="1560" w:hanging="904"/>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Awards in accordance with and subject to the terms and conditions of the Employee Matters Agreement; and</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Share-Based Awards as set forth in Section 10‎.</w:t>
      </w:r>
    </w:p>
    <w:p>
      <w:pPr>
        <w:spacing w:after="0" w:line="221" w:lineRule="exact"/>
        <w:rPr>
          <w:sz w:val="20"/>
          <w:szCs w:val="20"/>
          <w:color w:val="auto"/>
        </w:rPr>
      </w:pPr>
    </w:p>
    <w:p>
      <w:pPr>
        <w:ind w:left="1600" w:hanging="944"/>
        <w:spacing w:after="0"/>
        <w:tabs>
          <w:tab w:leader="none" w:pos="16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SUBJECT TO THE PLAN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540" w:hanging="884"/>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Available for Grant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20" w:firstLine="644"/>
        <w:spacing w:after="0" w:line="276" w:lineRule="auto"/>
        <w:tabs>
          <w:tab w:leader="none" w:pos="2242"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Available for Issuance</w:t>
      </w:r>
      <w:r>
        <w:rPr>
          <w:rFonts w:ascii="Times New Roman" w:cs="Times New Roman" w:eastAsia="Times New Roman" w:hAnsi="Times New Roman"/>
          <w:sz w:val="17"/>
          <w:szCs w:val="17"/>
          <w:color w:val="auto"/>
        </w:rPr>
        <w:t>. Subject to adjustment as provided in Section 13‎ and except for Substitute Awards and Converted Awards, not more than 19,000,000 Shares in the aggregate may be issued under the Plan pursuant to Awards, which shall also be the</w:t>
      </w:r>
    </w:p>
    <w:p>
      <w:pPr>
        <w:ind w:left="660" w:right="2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maximum number of Shares available for issuance pursuant to Incentive Stock Options. Subject to Section 4(a)(ii),‎ Shares subject to an Award shall be counted as used only to the extent that they are actually issued.</w:t>
      </w:r>
    </w:p>
    <w:p>
      <w:pPr>
        <w:spacing w:after="0" w:line="181" w:lineRule="exact"/>
        <w:rPr>
          <w:rFonts w:ascii="Times New Roman" w:cs="Times New Roman" w:eastAsia="Times New Roman" w:hAnsi="Times New Roman"/>
          <w:sz w:val="17"/>
          <w:szCs w:val="17"/>
          <w:color w:val="auto"/>
        </w:rPr>
      </w:pPr>
    </w:p>
    <w:p>
      <w:pPr>
        <w:jc w:val="both"/>
        <w:ind w:left="660" w:right="440" w:firstLine="644"/>
        <w:spacing w:after="0" w:line="276" w:lineRule="auto"/>
        <w:tabs>
          <w:tab w:leader="none" w:pos="215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Returned to the Reserve</w:t>
      </w:r>
      <w:r>
        <w:rPr>
          <w:rFonts w:ascii="Times New Roman" w:cs="Times New Roman" w:eastAsia="Times New Roman" w:hAnsi="Times New Roman"/>
          <w:sz w:val="17"/>
          <w:szCs w:val="17"/>
          <w:color w:val="auto"/>
        </w:rPr>
        <w:t>. If an Award (other than a Converted Award or Substitute Award) is forfeited, canceled, terminates or expires (including an Option that has not been exercised in full), the Shares underlying such forfeited, canceled, terminated or</w:t>
      </w:r>
    </w:p>
    <w:p>
      <w:pPr>
        <w:ind w:left="660"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expired Award shall return to the pool of Shares available for issuance under Section 4(a)(i)‎. The following shall again become available for issuance under the Plan: (i) any Shares withheld to satisfy applicable tax withholding obligations relating to any Award (including pursuant to a “cashless exercise”) and (ii) any Shares tendered or withheld to pay the exercise price of Options. Any Common Shares subject to any Converted Award or Substitute Award that is forfeited, cancelled, terminates or expires will not again become available for issuance in connection with Awards under the Plan.</w:t>
      </w:r>
    </w:p>
    <w:p>
      <w:pPr>
        <w:spacing w:after="0" w:line="186" w:lineRule="exact"/>
        <w:rPr>
          <w:rFonts w:ascii="Times New Roman" w:cs="Times New Roman" w:eastAsia="Times New Roman" w:hAnsi="Times New Roman"/>
          <w:sz w:val="17"/>
          <w:szCs w:val="17"/>
          <w:color w:val="auto"/>
        </w:rPr>
      </w:pPr>
    </w:p>
    <w:p>
      <w:pPr>
        <w:ind w:right="640" w:firstLine="656"/>
        <w:spacing w:after="0" w:line="282" w:lineRule="auto"/>
        <w:tabs>
          <w:tab w:leader="none" w:pos="15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Source of Shares</w:t>
      </w:r>
      <w:r>
        <w:rPr>
          <w:rFonts w:ascii="Times New Roman" w:cs="Times New Roman" w:eastAsia="Times New Roman" w:hAnsi="Times New Roman"/>
          <w:sz w:val="18"/>
          <w:szCs w:val="18"/>
          <w:color w:val="auto"/>
        </w:rPr>
        <w:t>. The Shares issued under the Plan may, at the Company’s option, be either Shares held in treasury or Shares originally issued for such purpose. Shares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9" w:name="page20"/>
    <w:bookmarkEnd w:id="19"/>
    <w:p>
      <w:pPr>
        <w:ind w:right="260"/>
        <w:spacing w:after="0" w:line="266" w:lineRule="auto"/>
        <w:rPr>
          <w:sz w:val="20"/>
          <w:szCs w:val="20"/>
          <w:color w:val="auto"/>
        </w:rPr>
      </w:pPr>
      <w:r>
        <w:rPr>
          <w:rFonts w:ascii="Times New Roman" w:cs="Times New Roman" w:eastAsia="Times New Roman" w:hAnsi="Times New Roman"/>
          <w:sz w:val="18"/>
          <w:szCs w:val="18"/>
          <w:color w:val="auto"/>
        </w:rPr>
        <w:t>underlying Substitute Awards and Shares remaining available for grant under a plan of an acquired company or of a company with which a Participating Company combines (whether by way of amalgamation, merger, sale and purchase of shares or other securities or otherwise), appropriately adjusted to reflect the acquisition or combination transaction, shall not reduce the number of Shares remaining available for grant under this Section 4‎.</w:t>
      </w:r>
    </w:p>
    <w:p>
      <w:pPr>
        <w:spacing w:after="0" w:line="172" w:lineRule="exact"/>
        <w:rPr>
          <w:sz w:val="20"/>
          <w:szCs w:val="20"/>
          <w:color w:val="auto"/>
        </w:rPr>
      </w:pPr>
    </w:p>
    <w:p>
      <w:pPr>
        <w:ind w:left="1600" w:hanging="944"/>
        <w:spacing w:after="0"/>
        <w:tabs>
          <w:tab w:leader="none" w:pos="16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 AND INTERPRETATION OF THE PLAN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656"/>
        <w:spacing w:after="0" w:line="282" w:lineRule="auto"/>
        <w:tabs>
          <w:tab w:leader="none" w:pos="152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xml:space="preserve">. The Plan shall be administered by the Committee;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the rules of the Plan shall apply so that all references in the Plan to the Committee shall be treated as references to either the Board or the Committee acting alone.</w:t>
      </w:r>
    </w:p>
    <w:p>
      <w:pPr>
        <w:spacing w:after="0" w:line="161" w:lineRule="exact"/>
        <w:rPr>
          <w:rFonts w:ascii="Times New Roman" w:cs="Times New Roman" w:eastAsia="Times New Roman" w:hAnsi="Times New Roman"/>
          <w:sz w:val="18"/>
          <w:szCs w:val="18"/>
          <w:color w:val="auto"/>
        </w:rPr>
      </w:pPr>
    </w:p>
    <w:p>
      <w:pPr>
        <w:ind w:right="220" w:firstLine="656"/>
        <w:spacing w:after="0" w:line="282" w:lineRule="auto"/>
        <w:tabs>
          <w:tab w:leader="none" w:pos="15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Subject to the express terms and conditions set forth in the Plan and applicable law, the Committee (or its delegate) shall have full power, authority and discretion to, from time to time:</w:t>
      </w:r>
    </w:p>
    <w:p>
      <w:pPr>
        <w:spacing w:after="0" w:line="161"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those employees, Non-Employee Directors and Other Eligible Service Providers to whom Awards shall be granted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Plan;</w:t>
      </w:r>
    </w:p>
    <w:p>
      <w:pPr>
        <w:spacing w:after="0" w:line="206" w:lineRule="exact"/>
        <w:rPr>
          <w:rFonts w:ascii="Times New Roman" w:cs="Times New Roman" w:eastAsia="Times New Roman" w:hAnsi="Times New Roman"/>
          <w:sz w:val="18"/>
          <w:szCs w:val="18"/>
          <w:color w:val="auto"/>
        </w:rPr>
      </w:pPr>
    </w:p>
    <w:p>
      <w:pPr>
        <w:ind w:left="2160" w:hanging="856"/>
        <w:spacing w:after="0"/>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(including Substitute Awards) to be granted to each Participant under the Plan;</w:t>
      </w:r>
    </w:p>
    <w:p>
      <w:pPr>
        <w:spacing w:after="0" w:line="225"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to be covered by Awards;</w:t>
      </w:r>
    </w:p>
    <w:p>
      <w:pPr>
        <w:spacing w:after="0" w:line="225" w:lineRule="exact"/>
        <w:rPr>
          <w:rFonts w:ascii="Times New Roman" w:cs="Times New Roman" w:eastAsia="Times New Roman" w:hAnsi="Times New Roman"/>
          <w:sz w:val="18"/>
          <w:szCs w:val="18"/>
          <w:color w:val="auto"/>
        </w:rPr>
      </w:pPr>
    </w:p>
    <w:p>
      <w:pPr>
        <w:ind w:left="660" w:firstLine="644"/>
        <w:spacing w:after="0" w:line="266" w:lineRule="auto"/>
        <w:tabs>
          <w:tab w:leader="none" w:pos="215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Award (including the restrictions applicable to such Award and the conditions upon which a Vesting Date shall occur or upon which any Options shall become exercisable) and prescribe the form of each Award Agreement, which need not be identical for each Participant;</w:t>
      </w:r>
    </w:p>
    <w:p>
      <w:pPr>
        <w:spacing w:after="0" w:line="175"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219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under what circumstances and by which methods Awards may be settled or exercised in cash, Shares, other Awards, other property, net settlement, or any combination thereof, or canceled, forfeited or suspended;</w:t>
      </w:r>
    </w:p>
    <w:p>
      <w:pPr>
        <w:spacing w:after="0" w:line="161"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terms or conditions of any outstanding Awards;</w:t>
      </w:r>
    </w:p>
    <w:p>
      <w:pPr>
        <w:spacing w:after="0" w:line="225" w:lineRule="exact"/>
        <w:rPr>
          <w:rFonts w:ascii="Times New Roman" w:cs="Times New Roman" w:eastAsia="Times New Roman" w:hAnsi="Times New Roman"/>
          <w:sz w:val="18"/>
          <w:szCs w:val="18"/>
          <w:color w:val="auto"/>
        </w:rPr>
      </w:pPr>
    </w:p>
    <w:p>
      <w:pPr>
        <w:ind w:left="660" w:right="300" w:firstLine="644"/>
        <w:spacing w:after="0" w:line="282" w:lineRule="auto"/>
        <w:tabs>
          <w:tab w:leader="none" w:pos="206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and reconcile any inconsistency in the Plan or any Award, in the manner and to the extent it shall deem desirable to carry the Plan into effect;</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and administer the Plan and any instrument or agreement relating to, or Award made under, the Plan;</w:t>
      </w:r>
    </w:p>
    <w:p>
      <w:pPr>
        <w:spacing w:after="0" w:line="225" w:lineRule="exact"/>
        <w:rPr>
          <w:rFonts w:ascii="Times New Roman" w:cs="Times New Roman" w:eastAsia="Times New Roman" w:hAnsi="Times New Roman"/>
          <w:sz w:val="18"/>
          <w:szCs w:val="18"/>
          <w:color w:val="auto"/>
        </w:rPr>
      </w:pPr>
    </w:p>
    <w:p>
      <w:pPr>
        <w:ind w:left="660" w:right="100" w:firstLine="644"/>
        <w:spacing w:after="0" w:line="266" w:lineRule="auto"/>
        <w:tabs>
          <w:tab w:leader="none" w:pos="215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prescribe,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and</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0" w:name="page21"/>
    <w:bookmarkEnd w:id="20"/>
    <w:p>
      <w:pPr>
        <w:ind w:left="660" w:right="120" w:firstLine="644"/>
        <w:spacing w:after="0" w:line="266" w:lineRule="auto"/>
        <w:tabs>
          <w:tab w:leader="none" w:pos="21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determination and take any other action that the Committee deems necessary or desirable for the administration of the Plan and due compliance with applicable law, stock market or exchange rules and regulations or accounting or tax rules and regulations.</w:t>
      </w:r>
    </w:p>
    <w:p>
      <w:pPr>
        <w:spacing w:after="0" w:line="176"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All determinations by the Committee shall be final, conclusive and binding on all Persons, including the Participants and their beneficiaries. For the avoidance of doubt, the Board may, in its sole discretion, at any time and from time to time, grant Awards and administer the Plan. In any such case, the Board shall have all of the authority and responsibility granted to the Committee herein.</w:t>
      </w:r>
    </w:p>
    <w:p>
      <w:pPr>
        <w:spacing w:after="0" w:line="176" w:lineRule="exact"/>
        <w:rPr>
          <w:sz w:val="20"/>
          <w:szCs w:val="20"/>
          <w:color w:val="auto"/>
        </w:rPr>
      </w:pPr>
    </w:p>
    <w:p>
      <w:pPr>
        <w:ind w:right="20" w:firstLine="656"/>
        <w:spacing w:after="0" w:line="261" w:lineRule="auto"/>
        <w:tabs>
          <w:tab w:leader="none" w:pos="152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To the extent permitted by applicable law, the Committee may delegate its authority with respect to the grant, amendment, interpretation and administration of Awards to a Person, Persons or committee, in its sole and absolute discretion. Actions taken by the Committee’s duly-authorized delegate shall have the same force and effect as actions taken by the Committee. Any delegation of authority pursuant to this Section 5(c)‎ shall continue in effect until the earliest of:</w:t>
      </w:r>
    </w:p>
    <w:p>
      <w:pPr>
        <w:spacing w:after="0" w:line="179"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as the Committee shall, in its sole and absolute discretion, revoke such delegation of authority;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1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61"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delegate shall notify the Committee that he or she declines to continue to exercise such authority.</w:t>
      </w:r>
    </w:p>
    <w:p>
      <w:pPr>
        <w:spacing w:after="0" w:line="225"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herein, the Committee may not delegate to any Person or committee (other than the Board) the authority to grant Awards or amend the terms of any Awards to any Participant then covered by Section 16 of the 1934 Act.</w:t>
      </w:r>
    </w:p>
    <w:p>
      <w:pPr>
        <w:spacing w:after="0" w:line="158" w:lineRule="exact"/>
        <w:rPr>
          <w:sz w:val="20"/>
          <w:szCs w:val="20"/>
          <w:color w:val="auto"/>
        </w:rPr>
      </w:pPr>
    </w:p>
    <w:p>
      <w:pPr>
        <w:ind w:left="1600" w:hanging="944"/>
        <w:spacing w:after="0"/>
        <w:tabs>
          <w:tab w:leader="none" w:pos="16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 FOR AWARDS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56"/>
        <w:spacing w:after="0" w:line="261" w:lineRule="auto"/>
        <w:tabs>
          <w:tab w:leader="none" w:pos="15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Except as set forth under Section 6(b),‎ Awards may be granted to Eligible Employees, Other Eligible Service Providers and Non-Employee Directors who are selected by the Committee for the grant of Awards in its sole discretion. The terms and conditions of (i) Restricted Stock and Restricted Stock Units, (ii) Options and SARs, and (iii) Other Share-Based Awards shall be determined by the Committee, subject to Sections 8,‎ 9‎ and 10,‎ respectively. Eligibility to receive a Converted Award will be determined in accordance with the terms of the Employee Matters Agreement.</w:t>
      </w:r>
    </w:p>
    <w:p>
      <w:pPr>
        <w:spacing w:after="0" w:line="179" w:lineRule="exact"/>
        <w:rPr>
          <w:rFonts w:ascii="Times New Roman" w:cs="Times New Roman" w:eastAsia="Times New Roman" w:hAnsi="Times New Roman"/>
          <w:sz w:val="18"/>
          <w:szCs w:val="18"/>
          <w:color w:val="auto"/>
        </w:rPr>
      </w:pPr>
    </w:p>
    <w:p>
      <w:pPr>
        <w:ind w:right="40" w:firstLine="656"/>
        <w:spacing w:after="0" w:line="261" w:lineRule="auto"/>
        <w:tabs>
          <w:tab w:leader="none" w:pos="15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An Incentive Stock Option may be granted only to an Eligible Employee of the Company or of a parent or subsidiary corporation (as defined in Section 424 of the Code). An Incentive Stock Option shall not be granted to a Ten Percent Shareholder except on such terms concerning the option price and term as are provided in Section 9(a)‎ and Section 9(e)‎ with respect to such a Person. An Option designated as Incentive Stock Option granted to a Ten Percent Shareholder but which does not comply with the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ind w:right="80"/>
        <w:spacing w:after="0" w:line="282" w:lineRule="auto"/>
        <w:rPr>
          <w:sz w:val="20"/>
          <w:szCs w:val="20"/>
          <w:color w:val="auto"/>
        </w:rPr>
      </w:pPr>
      <w:r>
        <w:rPr>
          <w:rFonts w:ascii="Times New Roman" w:cs="Times New Roman" w:eastAsia="Times New Roman" w:hAnsi="Times New Roman"/>
          <w:sz w:val="18"/>
          <w:szCs w:val="18"/>
          <w:color w:val="auto"/>
        </w:rPr>
        <w:t>requirements of the preceding sentence shall be treated as a Non-Qualified Option. An Option designated as an Incentive Stock Option shall be treated as a Non-Qualified Option if the Participant is not an employee of a Company on the Date of Grant.</w:t>
      </w:r>
    </w:p>
    <w:p>
      <w:pPr>
        <w:spacing w:after="0" w:line="162" w:lineRule="exact"/>
        <w:rPr>
          <w:sz w:val="20"/>
          <w:szCs w:val="20"/>
          <w:color w:val="auto"/>
        </w:rPr>
      </w:pPr>
    </w:p>
    <w:p>
      <w:pPr>
        <w:jc w:val="both"/>
        <w:ind w:right="360" w:firstLine="656"/>
        <w:spacing w:after="0" w:line="266" w:lineRule="auto"/>
        <w:tabs>
          <w:tab w:leader="none" w:pos="15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Holders of equity compensation awards granted by a company that is acquired by a Participating Company (or whose business is acquired by a Participating Company) or with which a Participating Company combines are eligible for grants of Substitute Awards under the Plan to the extent permitted under applicable regulations of any stock exchange on which the Company is listed.</w:t>
      </w:r>
    </w:p>
    <w:p>
      <w:pPr>
        <w:spacing w:after="0" w:line="175" w:lineRule="exact"/>
        <w:rPr>
          <w:rFonts w:ascii="Times New Roman" w:cs="Times New Roman" w:eastAsia="Times New Roman" w:hAnsi="Times New Roman"/>
          <w:sz w:val="18"/>
          <w:szCs w:val="18"/>
          <w:color w:val="auto"/>
        </w:rPr>
      </w:pPr>
    </w:p>
    <w:p>
      <w:pPr>
        <w:ind w:right="240" w:firstLine="656"/>
        <w:spacing w:after="0" w:line="282" w:lineRule="auto"/>
        <w:tabs>
          <w:tab w:leader="none" w:pos="15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Converted Awards</w:t>
      </w:r>
      <w:r>
        <w:rPr>
          <w:rFonts w:ascii="Times New Roman" w:cs="Times New Roman" w:eastAsia="Times New Roman" w:hAnsi="Times New Roman"/>
          <w:sz w:val="18"/>
          <w:szCs w:val="18"/>
          <w:color w:val="auto"/>
        </w:rPr>
        <w:t>. Converted Awards shall be granted under the Plan to eligible individuals as determined in accordance with, and subject to, the terms of Article 8 of the Employee Matters Agreement.</w:t>
      </w:r>
    </w:p>
    <w:p>
      <w:pPr>
        <w:spacing w:after="0" w:line="158" w:lineRule="exact"/>
        <w:rPr>
          <w:sz w:val="20"/>
          <w:szCs w:val="20"/>
          <w:color w:val="auto"/>
        </w:rPr>
      </w:pPr>
    </w:p>
    <w:p>
      <w:pPr>
        <w:ind w:left="1600" w:hanging="944"/>
        <w:spacing w:after="0"/>
        <w:tabs>
          <w:tab w:leader="none" w:pos="16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AWARDS—IN GENERAL</w:t>
      </w:r>
      <w:r>
        <w:rPr>
          <w:rFonts w:ascii="Times New Roman" w:cs="Times New Roman" w:eastAsia="Times New Roman" w:hAnsi="Times New Roman"/>
          <w:sz w:val="18"/>
          <w:szCs w:val="18"/>
          <w:b w:val="1"/>
          <w:bCs w:val="1"/>
          <w:color w:val="auto"/>
        </w:rPr>
        <w:t>.</w:t>
      </w:r>
    </w:p>
    <w:p>
      <w:pPr>
        <w:spacing w:after="0" w:line="233" w:lineRule="exact"/>
        <w:rPr>
          <w:sz w:val="20"/>
          <w:szCs w:val="20"/>
          <w:color w:val="auto"/>
        </w:rPr>
      </w:pPr>
    </w:p>
    <w:p>
      <w:pPr>
        <w:jc w:val="both"/>
        <w:ind w:right="80" w:firstLine="656"/>
        <w:spacing w:after="0" w:line="231" w:lineRule="auto"/>
        <w:tabs>
          <w:tab w:leader="none" w:pos="152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Grant</w:t>
      </w:r>
      <w:r>
        <w:rPr>
          <w:rFonts w:ascii="Times New Roman" w:cs="Times New Roman" w:eastAsia="Times New Roman" w:hAnsi="Times New Roman"/>
          <w:sz w:val="18"/>
          <w:szCs w:val="18"/>
          <w:color w:val="auto"/>
        </w:rPr>
        <w:t>. All Awards shall be granted on or before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Date.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Committee to amend the Plan, shall extend beyond such date.</w:t>
      </w:r>
    </w:p>
    <w:p>
      <w:pPr>
        <w:spacing w:after="0" w:line="198" w:lineRule="exact"/>
        <w:rPr>
          <w:rFonts w:ascii="Times New Roman" w:cs="Times New Roman" w:eastAsia="Times New Roman" w:hAnsi="Times New Roman"/>
          <w:sz w:val="18"/>
          <w:szCs w:val="18"/>
          <w:color w:val="auto"/>
        </w:rPr>
      </w:pPr>
    </w:p>
    <w:p>
      <w:pPr>
        <w:ind w:right="20" w:firstLine="656"/>
        <w:spacing w:after="0" w:line="253" w:lineRule="auto"/>
        <w:tabs>
          <w:tab w:leader="none" w:pos="15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Awards</w:t>
      </w:r>
      <w:r>
        <w:rPr>
          <w:rFonts w:ascii="Times New Roman" w:cs="Times New Roman" w:eastAsia="Times New Roman" w:hAnsi="Times New Roman"/>
          <w:sz w:val="18"/>
          <w:szCs w:val="18"/>
          <w:color w:val="auto"/>
        </w:rPr>
        <w:t xml:space="preserve">. Each Participant shall be provided with an Award Agreement specifying the terms of such Award, which such terms shall be determined in the discretion of the Committee and in no case inconsistent with the provisions of the Plan and, in the case of Converted Awards, the Employee Matters Agreement. The provisions of Awards need not be the same with respect to each Participant. The Committee shall determine in its discretion and specify in an applicable Award Agreement the vesting schedule (including any service and/or performance-vesting conditions applicable to any Award). Awards shall be granted for such cash or other consideration, if any, as the Committee determines;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Awards be issued for less than such minimal consideration as may be required by applicable law. The Committee may impose restrictions on any Award with respect to non-competition, non-solicitation, confidentiality and other restrictive covenants, or requirements to comply with minimum share ownership requirements, as it deems necessary or appropriate in its sole discretion, which such restrictions may be set forth in any applicable Award Agreement or otherwise. Notwithstanding anything to the contrary herein, the terms and conditions of Converted Awards shall be determined in accordance with the Employee Matters Agreement.</w:t>
      </w:r>
    </w:p>
    <w:p>
      <w:pPr>
        <w:spacing w:after="0" w:line="194" w:lineRule="exact"/>
        <w:rPr>
          <w:rFonts w:ascii="Times New Roman" w:cs="Times New Roman" w:eastAsia="Times New Roman" w:hAnsi="Times New Roman"/>
          <w:sz w:val="18"/>
          <w:szCs w:val="18"/>
          <w:color w:val="auto"/>
        </w:rPr>
      </w:pPr>
    </w:p>
    <w:p>
      <w:pPr>
        <w:ind w:firstLine="656"/>
        <w:spacing w:after="0" w:line="258" w:lineRule="auto"/>
        <w:tabs>
          <w:tab w:leader="none" w:pos="152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Transferability</w:t>
      </w:r>
      <w:r>
        <w:rPr>
          <w:rFonts w:ascii="Times New Roman" w:cs="Times New Roman" w:eastAsia="Times New Roman" w:hAnsi="Times New Roman"/>
          <w:sz w:val="18"/>
          <w:szCs w:val="18"/>
          <w:color w:val="auto"/>
        </w:rPr>
        <w:t xml:space="preserve">. No Award shall be transferable other than by will or the laws of descent and distribution and, during the lifetime of the Participant, shall be exercisable only by him or for his benefit by his attorney-in-fact or guardian;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Committee may, in its discretion, at the time of grant of an Award or by amendment of an Award Agreement, provide that the Award granted to or held by a Participant may be transferred, in whole or in part, to one or more transferees and exercised by any such transferee;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 any such transfer is without consideration and (ii) each transferee is a Family Member with respect to the Participant;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any Incentive Stock Option</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ind w:right="220"/>
        <w:spacing w:after="0" w:line="256" w:lineRule="auto"/>
        <w:rPr>
          <w:sz w:val="20"/>
          <w:szCs w:val="20"/>
          <w:color w:val="auto"/>
        </w:rPr>
      </w:pPr>
      <w:r>
        <w:rPr>
          <w:rFonts w:ascii="Times New Roman" w:cs="Times New Roman" w:eastAsia="Times New Roman" w:hAnsi="Times New Roman"/>
          <w:sz w:val="18"/>
          <w:szCs w:val="18"/>
          <w:color w:val="auto"/>
        </w:rPr>
        <w:t>granted pursuant to an Award Agreement which is amended to permit transfers during the lifetime of the Participant shall, upon the effectiveness of such amendment, be treated thereafter as a Non-Qualified Option. No transfer of an Award shall be effective unless the Committee is notified of the terms and conditions of the transfer and the Committee determines that the transfer complies with the requirements for transfers of Awards under the Plan and the Award Agreement. Any Person to whom an Award is transferred shall be subject to the terms and conditions of the Plan and the applicable Award Agreement and, in the case of Options, such Person may exercise any such Options only in accordance with the provisions of Section 9(f)‎ and this Section 7‎(c)‎.</w:t>
      </w:r>
    </w:p>
    <w:p>
      <w:pPr>
        <w:spacing w:after="0" w:line="187" w:lineRule="exact"/>
        <w:rPr>
          <w:sz w:val="20"/>
          <w:szCs w:val="20"/>
          <w:color w:val="auto"/>
        </w:rPr>
      </w:pPr>
    </w:p>
    <w:p>
      <w:pPr>
        <w:ind w:right="260" w:firstLine="656"/>
        <w:spacing w:after="0" w:line="266" w:lineRule="auto"/>
        <w:tabs>
          <w:tab w:leader="none" w:pos="15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canceled, terminated or otherwise eliminated.</w:t>
      </w:r>
    </w:p>
    <w:p>
      <w:pPr>
        <w:spacing w:after="0" w:line="175" w:lineRule="exact"/>
        <w:rPr>
          <w:rFonts w:ascii="Times New Roman" w:cs="Times New Roman" w:eastAsia="Times New Roman" w:hAnsi="Times New Roman"/>
          <w:sz w:val="18"/>
          <w:szCs w:val="18"/>
          <w:color w:val="auto"/>
        </w:rPr>
      </w:pPr>
    </w:p>
    <w:p>
      <w:pPr>
        <w:ind w:firstLine="656"/>
        <w:spacing w:after="0" w:line="253" w:lineRule="auto"/>
        <w:tabs>
          <w:tab w:leader="none" w:pos="152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Shareholders</w:t>
      </w:r>
      <w:r>
        <w:rPr>
          <w:rFonts w:ascii="Times New Roman" w:cs="Times New Roman" w:eastAsia="Times New Roman" w:hAnsi="Times New Roman"/>
          <w:sz w:val="18"/>
          <w:szCs w:val="18"/>
          <w:color w:val="auto"/>
        </w:rPr>
        <w:t>. A Participant shall not have any rights as a shareholder with respect to any Shares subject to such Participant’s Awards until (i) the applicable Award shall have been vested or exercised, as applicable, in accordance with the terms of the Plan and the applicable Award Agreement, (ii) as determined by the Committee, all other legal matters regarding the issuance and delivery of such Shares have been satisfied, including any applicable securities laws, stock market or exchange rules and regulations or accounting or tax rules and regulations, (iii) the Participant has executed and delivered to the Company such representations or agreements as the Committee deems necessary or appropriate to satisfy any applicable laws, (iv) in the case of Options, the Participant shall have paid the full purchase price for the number of Shares in respect of which the Option was exercised and (v) the Participant shall have made arrangements acceptable to the Company for the payment of applicable taxes consistent with Section 12‎. The inability of either the Company or a Participant, as applicable, to obtain authority from any regulatory body having jurisdiction, which the Committee determines is necessary to the lawful issuance and sale of any Shares, will relieve the Company of any liability for failing to issue or sell such Shares as to which such requisite authority has not been obtained.</w:t>
      </w:r>
    </w:p>
    <w:p>
      <w:pPr>
        <w:spacing w:after="0" w:line="194" w:lineRule="exact"/>
        <w:rPr>
          <w:rFonts w:ascii="Times New Roman" w:cs="Times New Roman" w:eastAsia="Times New Roman" w:hAnsi="Times New Roman"/>
          <w:sz w:val="18"/>
          <w:szCs w:val="18"/>
          <w:color w:val="auto"/>
        </w:rPr>
      </w:pPr>
    </w:p>
    <w:p>
      <w:pPr>
        <w:ind w:right="40" w:firstLine="656"/>
        <w:spacing w:after="0" w:line="258" w:lineRule="auto"/>
        <w:tabs>
          <w:tab w:leader="none" w:pos="154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Restrictions</w:t>
      </w:r>
      <w:r>
        <w:rPr>
          <w:rFonts w:ascii="Times New Roman" w:cs="Times New Roman" w:eastAsia="Times New Roman" w:hAnsi="Times New Roman"/>
          <w:sz w:val="18"/>
          <w:szCs w:val="18"/>
          <w:color w:val="auto"/>
        </w:rPr>
        <w:t>. All certificates, if any, for Shares and/or other securities delivered under the Plan pursuant to any Award or the exercise or settlement thereof shall be subject to such stop transfer orders and other restrictions as the Committee may deem advisable under the Plan or the rules, regulations and other requirements of the Securities and Exchange Commission, any stock market or exchange upon which such Shares or other securities are then quoted, traded or listed, and any applicable securities laws (including as set forth in Section 16),‎ and the Committee may cause a legend or legends to be put on any such certificates to make appropriate reference to such restrictions.</w:t>
      </w:r>
    </w:p>
    <w:p>
      <w:pPr>
        <w:spacing w:after="0" w:line="179" w:lineRule="exact"/>
        <w:rPr>
          <w:sz w:val="20"/>
          <w:szCs w:val="20"/>
          <w:color w:val="auto"/>
        </w:rPr>
      </w:pPr>
    </w:p>
    <w:p>
      <w:pPr>
        <w:ind w:right="40" w:firstLine="656"/>
        <w:spacing w:after="0" w:line="262" w:lineRule="auto"/>
        <w:tabs>
          <w:tab w:leader="none" w:pos="159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AND RESTRICTED STOCK UNIT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grant Awards of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Restricted Stock Units in accordance with the Plan; provided that the Committee may also grant Awards of Restricted Stock and Restricted Stock Units to Non-Employee Directors authorized by the Versant Media Group, Inc. Non-Employee Director Compensation Policy, or otherwise. The terms and conditions of Awards of Restricted Stock and Restricted Stock Units shall be set forth in an Award Agreement as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determined from time to time by the Committee, consistent, however, with the following and Section 8:‎</w:t>
      </w:r>
    </w:p>
    <w:p>
      <w:pPr>
        <w:spacing w:after="0" w:line="225" w:lineRule="exact"/>
        <w:rPr>
          <w:sz w:val="20"/>
          <w:szCs w:val="20"/>
          <w:color w:val="auto"/>
        </w:rPr>
      </w:pPr>
    </w:p>
    <w:p>
      <w:pPr>
        <w:ind w:firstLine="656"/>
        <w:spacing w:after="0" w:line="253" w:lineRule="auto"/>
        <w:tabs>
          <w:tab w:leader="none" w:pos="152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Vesting/Lapse of Restrictions</w:t>
      </w:r>
      <w:r>
        <w:rPr>
          <w:rFonts w:ascii="Times New Roman" w:cs="Times New Roman" w:eastAsia="Times New Roman" w:hAnsi="Times New Roman"/>
          <w:sz w:val="18"/>
          <w:szCs w:val="18"/>
          <w:color w:val="auto"/>
        </w:rPr>
        <w:t xml:space="preserve">. Subject to the provisions of the Plan and the applicable Award Agreement, (i) an Award of Restricted Stock or Restricted Stock Units shall be subject to such vesting terms and conditions (including service and/or performance-related vesting conditions) as determined in the discretion of the Committee and (ii) a Vesting Date for Restricted Stock or Restricted Stock Units subject to an Award shall occur at such time or times and on such terms and conditions as the Committee may determine and as are set forth in an applicable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except as otherwise provided by the Committee, a Vesting Date shall occur only if the Participant is an employee of the Participating Company as of such Vesting Date and has been an employee of a Participating Company continuously from the Date of Grant. The Award may provide for Restricted Stock or Restricted Stock Units to vest in installments, as determined by the Committee. Unless otherwise determined in the discretion of the Committee or provided in an applicable Award Agreement, in the event of a Participant’s Termination of Service, all Restricted Shares and/or Restricted Stock Units as to which a Vesting Date has not occurred shall be forfeited by the Participant and deemed canceled by the Company. The Committee may, in its sole discretion, waive, in whole or in part, any remaining conditions to vesting with respect to such Participant’s Restricted Stock or Restricted Stock Units.</w:t>
      </w:r>
    </w:p>
    <w:p>
      <w:pPr>
        <w:spacing w:after="0" w:line="191" w:lineRule="exact"/>
        <w:rPr>
          <w:rFonts w:ascii="Times New Roman" w:cs="Times New Roman" w:eastAsia="Times New Roman" w:hAnsi="Times New Roman"/>
          <w:sz w:val="18"/>
          <w:szCs w:val="18"/>
          <w:color w:val="auto"/>
        </w:rPr>
      </w:pPr>
    </w:p>
    <w:p>
      <w:pPr>
        <w:ind w:right="120" w:firstLine="656"/>
        <w:spacing w:after="0" w:line="277" w:lineRule="auto"/>
        <w:tabs>
          <w:tab w:leader="none" w:pos="153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of the Participant</w:t>
      </w:r>
      <w:r>
        <w:rPr>
          <w:rFonts w:ascii="Times New Roman" w:cs="Times New Roman" w:eastAsia="Times New Roman" w:hAnsi="Times New Roman"/>
          <w:sz w:val="17"/>
          <w:szCs w:val="17"/>
          <w:color w:val="auto"/>
        </w:rPr>
        <w:t>. Participants may have such rights with respect to Shares of Restricted Stock subject to an Award as may be determined by the Committee and set forth in the applicable Award Agreement, including the right to vote such Shares, and the right to receive dividends paid with respect to such Shares. A Participant whose Award consists of Restricted Stock Units shall not have the right to vote with respect to such Restricted Stock Units. An Award of Restricted Stock Units may provide that the Participant shall have the right to defer the receipt of Restricted Stock Units granted under such Award pursuant to any nonqualified deferred compensation plan or arrangement established by the Company from time to time.</w:t>
      </w:r>
    </w:p>
    <w:p>
      <w:pPr>
        <w:spacing w:after="0" w:line="167" w:lineRule="exact"/>
        <w:rPr>
          <w:rFonts w:ascii="Times New Roman" w:cs="Times New Roman" w:eastAsia="Times New Roman" w:hAnsi="Times New Roman"/>
          <w:sz w:val="17"/>
          <w:szCs w:val="17"/>
          <w:color w:val="auto"/>
        </w:rPr>
      </w:pPr>
    </w:p>
    <w:p>
      <w:pPr>
        <w:ind w:right="40" w:firstLine="656"/>
        <w:spacing w:after="0" w:line="256" w:lineRule="auto"/>
        <w:tabs>
          <w:tab w:leader="none" w:pos="152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Dividend Equivalents</w:t>
      </w:r>
      <w:r>
        <w:rPr>
          <w:rFonts w:ascii="Times New Roman" w:cs="Times New Roman" w:eastAsia="Times New Roman" w:hAnsi="Times New Roman"/>
          <w:sz w:val="18"/>
          <w:szCs w:val="18"/>
          <w:color w:val="auto"/>
        </w:rPr>
        <w:t xml:space="preserve">. The Committee may, in its discretion, provide for the payment of dividends or dividend equivalents with respect to Shares of Restricted Stock or Restricted Stock Units, which may be paid directly to the Participant, accrued and paid by the Company at such time or times specified in the applicable agreement specifying the terms of an Award, or treated as reinvested in additional Shares of Restricted Stock or additional Restricted Stock Units, or a combination thereof, as determined by the Committee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dividends or dividend equivalents shall be subject to any performance or other vesting conditions that apply to the underlying Award, and Participants shall not be paid dividends or dividend equivalents with respect to any Shares of Restricted Stock or any Restricted Stock Units that have not vested.</w:t>
      </w:r>
    </w:p>
    <w:p>
      <w:pPr>
        <w:spacing w:after="0" w:line="187" w:lineRule="exact"/>
        <w:rPr>
          <w:rFonts w:ascii="Times New Roman" w:cs="Times New Roman" w:eastAsia="Times New Roman" w:hAnsi="Times New Roman"/>
          <w:sz w:val="18"/>
          <w:szCs w:val="18"/>
          <w:color w:val="auto"/>
        </w:rPr>
      </w:pPr>
    </w:p>
    <w:p>
      <w:pPr>
        <w:ind w:firstLine="656"/>
        <w:spacing w:after="0" w:line="261" w:lineRule="auto"/>
        <w:tabs>
          <w:tab w:leader="none" w:pos="15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Shares</w:t>
      </w:r>
      <w:r>
        <w:rPr>
          <w:rFonts w:ascii="Times New Roman" w:cs="Times New Roman" w:eastAsia="Times New Roman" w:hAnsi="Times New Roman"/>
          <w:sz w:val="18"/>
          <w:szCs w:val="18"/>
          <w:color w:val="auto"/>
        </w:rPr>
        <w:t>. For purposes of an Award of Restricted Stock or Restricted Stock Units, the Company may satisfy its obligation to deliver Shares issuable under such Award by arranging for the recording of the Participant’s ownership of Shares issuable under such Award on a book entry recordkeeping system maintained on behalf of the Company. When a Vesting Date occurs with respect to all or a portion of an Award of Restricted Stock or Restricted Stock Units, the Company shall notify the Participant that a Vesting Date has occurred, and shall</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4" w:name="page25"/>
    <w:bookmarkEnd w:id="24"/>
    <w:p>
      <w:pPr>
        <w:ind w:right="80"/>
        <w:spacing w:after="0" w:line="261" w:lineRule="auto"/>
        <w:rPr>
          <w:sz w:val="20"/>
          <w:szCs w:val="20"/>
          <w:color w:val="auto"/>
        </w:rPr>
      </w:pPr>
      <w:r>
        <w:rPr>
          <w:rFonts w:ascii="Times New Roman" w:cs="Times New Roman" w:eastAsia="Times New Roman" w:hAnsi="Times New Roman"/>
          <w:sz w:val="18"/>
          <w:szCs w:val="18"/>
          <w:color w:val="auto"/>
        </w:rPr>
        <w:t>deliver to the Participant (or the Participant’s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Sections 7(f)‎ or 16)‎. The right to payment of any fractional Shares that may have accrued shall be satisfied in cash, measured by the product of the fractional amount times the Fair Market Value of a Share at the Vesting Date, as determined by the Committee.</w:t>
      </w:r>
    </w:p>
    <w:p>
      <w:pPr>
        <w:spacing w:after="0" w:line="176" w:lineRule="exact"/>
        <w:rPr>
          <w:sz w:val="20"/>
          <w:szCs w:val="20"/>
          <w:color w:val="auto"/>
        </w:rPr>
      </w:pPr>
    </w:p>
    <w:p>
      <w:pPr>
        <w:ind w:right="80" w:firstLine="656"/>
        <w:spacing w:after="0" w:line="268" w:lineRule="auto"/>
        <w:tabs>
          <w:tab w:leader="none" w:pos="159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OPTIONS AND SARS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Options and SARs granted to Participants shall be evidenced by an applicable Award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each such Award Agreement for any Participant shall be determined from time to time by the Committee, consistent, however, with the following and Section 7:‎</w:t>
      </w:r>
    </w:p>
    <w:p>
      <w:pPr>
        <w:spacing w:after="0" w:line="175" w:lineRule="exact"/>
        <w:rPr>
          <w:sz w:val="20"/>
          <w:szCs w:val="20"/>
          <w:color w:val="auto"/>
        </w:rPr>
      </w:pPr>
    </w:p>
    <w:p>
      <w:pPr>
        <w:ind w:firstLine="656"/>
        <w:spacing w:after="0" w:line="258" w:lineRule="auto"/>
        <w:tabs>
          <w:tab w:leader="none" w:pos="15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xml:space="preserve">. Except as otherwise provided in Section 17(c),‎ the option price per Share with respect to any Option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with respect to any Options, except in the case of Substitute Awards and Converted Awards, the option price per Share shall not be less than 100% of the Fair Market Value of such Share on the Date of Grant,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183" w:lineRule="exact"/>
        <w:rPr>
          <w:rFonts w:ascii="Times New Roman" w:cs="Times New Roman" w:eastAsia="Times New Roman" w:hAnsi="Times New Roman"/>
          <w:sz w:val="18"/>
          <w:szCs w:val="18"/>
          <w:color w:val="auto"/>
        </w:rPr>
      </w:pPr>
    </w:p>
    <w:p>
      <w:pPr>
        <w:ind w:right="60" w:firstLine="656"/>
        <w:spacing w:after="0" w:line="282" w:lineRule="auto"/>
        <w:tabs>
          <w:tab w:leader="none" w:pos="15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Exercise of Options</w:t>
      </w:r>
      <w:r>
        <w:rPr>
          <w:rFonts w:ascii="Times New Roman" w:cs="Times New Roman" w:eastAsia="Times New Roman" w:hAnsi="Times New Roman"/>
          <w:sz w:val="18"/>
          <w:szCs w:val="18"/>
          <w:color w:val="auto"/>
        </w:rPr>
        <w:t>. Full payment for Shares purchased upon the exercise of an Option shall be made pursuant to one or more of the following methods as determined by the Committee and set forth in the applicable Award Agreement:</w:t>
      </w:r>
    </w:p>
    <w:p>
      <w:pPr>
        <w:spacing w:after="0" w:line="161"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w:t>
      </w:r>
    </w:p>
    <w:p>
      <w:pPr>
        <w:spacing w:after="0" w:line="225" w:lineRule="exact"/>
        <w:rPr>
          <w:rFonts w:ascii="Times New Roman" w:cs="Times New Roman" w:eastAsia="Times New Roman" w:hAnsi="Times New Roman"/>
          <w:sz w:val="18"/>
          <w:szCs w:val="18"/>
          <w:color w:val="auto"/>
        </w:rPr>
      </w:pPr>
    </w:p>
    <w:p>
      <w:pPr>
        <w:ind w:left="2160" w:hanging="856"/>
        <w:spacing w:after="0"/>
        <w:tabs>
          <w:tab w:leader="none" w:pos="21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certified check payable to the order of the Company;</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53" w:lineRule="auto"/>
        <w:tabs>
          <w:tab w:leader="none" w:pos="211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surrendering or attesting to ownership of Shares with an aggregate Fair Market Value equal to the aggregate option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option price may not be paid in Shares if the Committee determines that such method of payment would result in liability under Section 16(b) of the 1934 Act to a Participant. Except as otherwise provided by the Committee, if payment is made in whole or in part by surrendering Shares, the Participant shall deliver to the Company certificates registered in the name of such Participant (or record the equivalent thereof on a book entry recordkeeping system maintained by the Company) representing Shares legally and beneficially owned by such Participant, free of all liens, claims and encumbrances of every kind and having a Fair Market Value on the date of delivery that is equal to or greater than the aggregate option price for the applicable Shares underlying the Option subject to payment by the surrender of Shares, accompanied by any necessary stock powers duly endorsed in blank by the record holder of such Shares; and if payment is made in whole or in part by attestation of ownership, the Participant shall attest to ownership of Shares representing Shares legally and beneficially owned by such Participant, free of all liens, claims and encumbrances of every kind and having a Fair Market Value on the date of attestation that is equal to or greater than the aggregate option price for the Shares underlying the Option subject to payment by attestation of Share ownership. The Committee may impose such limitations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and prohibitions on attestation of ownership of Shares and the use of Shares to exercise an Option as it deems appropriate; or</w:t>
      </w:r>
    </w:p>
    <w:p>
      <w:pPr>
        <w:spacing w:after="0" w:line="225" w:lineRule="exact"/>
        <w:rPr>
          <w:sz w:val="20"/>
          <w:szCs w:val="20"/>
          <w:color w:val="auto"/>
        </w:rPr>
      </w:pPr>
    </w:p>
    <w:p>
      <w:pPr>
        <w:ind w:left="660" w:firstLine="644"/>
        <w:spacing w:after="0" w:line="254" w:lineRule="auto"/>
        <w:tabs>
          <w:tab w:leader="none" w:pos="215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 cashless exercise, such that, subject to the other terms and conditions of the Plan, following the date of exercise, the Company shall deliver to the Participant Shares having a Fair Market Value at the time of exercise, equal to the excess, if any, of (A) the Fair Market Value of such Shares at the time of exercise of the Option over (B) the sum of (1) the aggregate option price for such Shares, plus (2) the applicable tax withholding amounts (as determined pursuant to Section 12)‎ for such exercise;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such cashless exercise that would not result in the issuance of a whole number of Shares, the Company shall withhold cash that would otherwise be payable to the Participant from its regular payroll or the Participant shall deliver cash or a certified check payable to the order of the Company for the balance of the option price for a whole Share to the extent necessary to avoid the issuance of a fractional Share or the payment of cash by the Company (as provided in Section 9(c))‎.</w:t>
      </w:r>
    </w:p>
    <w:p>
      <w:pPr>
        <w:spacing w:after="0" w:line="191" w:lineRule="exact"/>
        <w:rPr>
          <w:rFonts w:ascii="Times New Roman" w:cs="Times New Roman" w:eastAsia="Times New Roman" w:hAnsi="Times New Roman"/>
          <w:sz w:val="18"/>
          <w:szCs w:val="18"/>
          <w:color w:val="auto"/>
        </w:rPr>
      </w:pPr>
    </w:p>
    <w:p>
      <w:pPr>
        <w:ind w:right="20" w:firstLine="656"/>
        <w:spacing w:after="0" w:line="258" w:lineRule="auto"/>
        <w:tabs>
          <w:tab w:leader="none" w:pos="15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Recording of Shares Upon Exercise of Options; Payment of Cash</w:t>
      </w:r>
      <w:r>
        <w:rPr>
          <w:rFonts w:ascii="Times New Roman" w:cs="Times New Roman" w:eastAsia="Times New Roman" w:hAnsi="Times New Roman"/>
          <w:sz w:val="18"/>
          <w:szCs w:val="18"/>
          <w:color w:val="auto"/>
        </w:rPr>
        <w:t>. For purposes of the Plan, the Company may satisfy its obligation to deliver Shares following the exercise of Options by arranging for the recording of Participant’s ownership of Shares issuable on the exercise of Options on a book entry recordkeeping system maintained by the Company. Following the exercise of an Option and the satisfaction of the conditions thereof, the Company shall deliver to the Participant the number of whole Shares issuable on the exercise of an Option and a check for the Fair Market Value on the date of exercise of any fractional Share to which the Participant is entitled.</w:t>
      </w:r>
    </w:p>
    <w:p>
      <w:pPr>
        <w:spacing w:after="0" w:line="183" w:lineRule="exact"/>
        <w:rPr>
          <w:rFonts w:ascii="Times New Roman" w:cs="Times New Roman" w:eastAsia="Times New Roman" w:hAnsi="Times New Roman"/>
          <w:sz w:val="18"/>
          <w:szCs w:val="18"/>
          <w:color w:val="auto"/>
        </w:rPr>
      </w:pPr>
    </w:p>
    <w:p>
      <w:pPr>
        <w:ind w:right="140" w:firstLine="656"/>
        <w:spacing w:after="0" w:line="266" w:lineRule="auto"/>
        <w:tabs>
          <w:tab w:leader="none" w:pos="153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Periods of Exercise of Options</w:t>
      </w:r>
      <w:r>
        <w:rPr>
          <w:rFonts w:ascii="Times New Roman" w:cs="Times New Roman" w:eastAsia="Times New Roman" w:hAnsi="Times New Roman"/>
          <w:sz w:val="18"/>
          <w:szCs w:val="18"/>
          <w:color w:val="auto"/>
        </w:rPr>
        <w:t xml:space="preserve">. An Option shall be exercisable in whole or in part at such time or times as may be determined by the Committee and stated in the Award Agreement or as described in Section 9(e)(ii). Except as otherwise provided by the Committee in its discretion, no Option shall first become exercisable following a Participant’s Termination of Service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5" w:lineRule="exact"/>
        <w:rPr>
          <w:rFonts w:ascii="Times New Roman" w:cs="Times New Roman" w:eastAsia="Times New Roman" w:hAnsi="Times New Roman"/>
          <w:sz w:val="18"/>
          <w:szCs w:val="18"/>
          <w:color w:val="auto"/>
        </w:rPr>
      </w:pPr>
    </w:p>
    <w:p>
      <w:pPr>
        <w:ind w:left="660" w:right="240" w:firstLine="644"/>
        <w:spacing w:after="0" w:line="266" w:lineRule="auto"/>
        <w:tabs>
          <w:tab w:leader="none" w:pos="224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Participant’s Termination of Service for any reason other than (x) due to death or Disability or (y) for Cause, any Option held by such Participant and which is then exercisable shall be exercisable for a period of 90 days following the date of such Participant’s Termination of Service (unless a longer period is established by the Committee or set forth in an Award Agreement);</w:t>
      </w:r>
    </w:p>
    <w:p>
      <w:pPr>
        <w:spacing w:after="0" w:line="175" w:lineRule="exact"/>
        <w:rPr>
          <w:rFonts w:ascii="Times New Roman" w:cs="Times New Roman" w:eastAsia="Times New Roman" w:hAnsi="Times New Roman"/>
          <w:sz w:val="18"/>
          <w:szCs w:val="18"/>
          <w:color w:val="auto"/>
        </w:rPr>
      </w:pPr>
    </w:p>
    <w:p>
      <w:pPr>
        <w:ind w:left="660" w:right="40" w:firstLine="644"/>
        <w:spacing w:after="0" w:line="266" w:lineRule="auto"/>
        <w:tabs>
          <w:tab w:leader="none" w:pos="215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Participant’s Termination of Service due to Disability, any Option held by such Participant and which is then exercisable shall be exercisable for a period of one year following the date of such Participant’s Termination of Service (unless a longer period is established by the Committee or set forth in an Award Agreement);</w:t>
      </w:r>
    </w:p>
    <w:p>
      <w:pPr>
        <w:spacing w:after="0" w:line="175" w:lineRule="exact"/>
        <w:rPr>
          <w:rFonts w:ascii="Times New Roman" w:cs="Times New Roman" w:eastAsia="Times New Roman" w:hAnsi="Times New Roman"/>
          <w:sz w:val="18"/>
          <w:szCs w:val="18"/>
          <w:color w:val="auto"/>
        </w:rPr>
      </w:pPr>
    </w:p>
    <w:p>
      <w:pPr>
        <w:jc w:val="both"/>
        <w:ind w:left="660" w:right="140" w:firstLine="644"/>
        <w:spacing w:after="0" w:line="266" w:lineRule="auto"/>
        <w:tabs>
          <w:tab w:leader="none" w:pos="211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Participant’s Termination of Service by reason of such Participant’s death, any Option held at death by such Participant which is then exercisable shall be exercisable for a period of one year from the date of death (unless a longer period is established by the Committee or set forth in an Award Agreement) by the</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Person to whom the rights of the Participant shall have passed by will or by the laws of descent and distribution.</w:t>
      </w:r>
    </w:p>
    <w:p>
      <w:pPr>
        <w:spacing w:after="0" w:line="225" w:lineRule="exact"/>
        <w:rPr>
          <w:sz w:val="20"/>
          <w:szCs w:val="20"/>
          <w:color w:val="auto"/>
        </w:rPr>
      </w:pPr>
    </w:p>
    <w:p>
      <w:pPr>
        <w:ind w:left="660" w:firstLine="644"/>
        <w:spacing w:after="0" w:line="258" w:lineRule="auto"/>
        <w:tabs>
          <w:tab w:leader="none" w:pos="21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Participant’s Termination of Service for Cause, each unexercised Option held by such Participant shall automatically terminate and cease to be exercisable as of immediately prior to such Termination of Service;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such event, in addition to immediate termination of the Option, the Participant, upon a determination by the Committee, shall automatically forfeit all Shares otherwise subject to delivery upon exercise of an Option but for which the Company has not yet delivered such Shares, upon refund by the Company of the applicable option price.</w:t>
      </w:r>
    </w:p>
    <w:p>
      <w:pPr>
        <w:spacing w:after="0" w:line="183" w:lineRule="exact"/>
        <w:rPr>
          <w:sz w:val="20"/>
          <w:szCs w:val="20"/>
          <w:color w:val="auto"/>
        </w:rPr>
      </w:pPr>
    </w:p>
    <w:p>
      <w:pPr>
        <w:jc w:val="both"/>
        <w:ind w:left="660" w:right="60"/>
        <w:spacing w:after="0" w:line="312" w:lineRule="auto"/>
        <w:rPr>
          <w:sz w:val="20"/>
          <w:szCs w:val="20"/>
          <w:color w:val="auto"/>
        </w:rPr>
      </w:pPr>
      <w:r>
        <w:rPr>
          <w:rFonts w:ascii="Times New Roman" w:cs="Times New Roman" w:eastAsia="Times New Roman" w:hAnsi="Times New Roman"/>
          <w:sz w:val="17"/>
          <w:szCs w:val="17"/>
          <w:color w:val="auto"/>
        </w:rPr>
        <w:t xml:space="preserve">Notwithstanding anything to the contrary in this Section </w:t>
      </w:r>
      <w:r>
        <w:rPr>
          <w:rFonts w:ascii="Arial" w:cs="Arial" w:eastAsia="Arial" w:hAnsi="Arial"/>
          <w:sz w:val="17"/>
          <w:szCs w:val="17"/>
          <w:color w:val="auto"/>
        </w:rPr>
        <w:t>‎</w:t>
      </w:r>
      <w:r>
        <w:rPr>
          <w:rFonts w:ascii="Times New Roman" w:cs="Times New Roman" w:eastAsia="Times New Roman" w:hAnsi="Times New Roman"/>
          <w:sz w:val="17"/>
          <w:szCs w:val="17"/>
          <w:color w:val="auto"/>
        </w:rPr>
        <w:t>9(d), in no event shall an Incentive Stock Option be exercisable after five years from the Date of Grant in the case of a grant to a Ten Percent Shareholder, nor shall any other Option be exercisable after ten years from the Date of Grant.</w:t>
      </w:r>
    </w:p>
    <w:p>
      <w:pPr>
        <w:spacing w:after="0" w:line="139" w:lineRule="exact"/>
        <w:rPr>
          <w:sz w:val="20"/>
          <w:szCs w:val="20"/>
          <w:color w:val="auto"/>
        </w:rPr>
      </w:pPr>
    </w:p>
    <w:p>
      <w:pPr>
        <w:ind w:left="1540" w:hanging="884"/>
        <w:spacing w:after="0"/>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140" w:firstLine="644"/>
        <w:spacing w:after="0" w:line="261" w:lineRule="auto"/>
        <w:tabs>
          <w:tab w:leader="none" w:pos="224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w:t>
      </w:r>
      <w:r>
        <w:rPr>
          <w:rFonts w:ascii="Times New Roman" w:cs="Times New Roman" w:eastAsia="Times New Roman" w:hAnsi="Times New Roman"/>
          <w:sz w:val="18"/>
          <w:szCs w:val="18"/>
          <w:color w:val="auto"/>
        </w:rPr>
        <w:t xml:space="preserve">. The date of exercise of an Option shall be the date on which notice of exercise is delivered to the Company, in the form and in such manner as provided by the Committee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Company shall not be obligated to deliver any Shares pursuant to the exercise of an Option until the Participant shall have made payment in full of the option price for such Shares. Each such exercise shall be irrevocable when given. Each notice of exercise shall also comply with the requirements of Section 12‎.</w:t>
      </w:r>
    </w:p>
    <w:p>
      <w:pPr>
        <w:spacing w:after="0" w:line="179" w:lineRule="exact"/>
        <w:rPr>
          <w:rFonts w:ascii="Times New Roman" w:cs="Times New Roman" w:eastAsia="Times New Roman" w:hAnsi="Times New Roman"/>
          <w:sz w:val="18"/>
          <w:szCs w:val="18"/>
          <w:color w:val="auto"/>
        </w:rPr>
      </w:pPr>
    </w:p>
    <w:p>
      <w:pPr>
        <w:ind w:left="660" w:right="320" w:firstLine="644"/>
        <w:spacing w:after="0" w:line="266" w:lineRule="auto"/>
        <w:tabs>
          <w:tab w:leader="none" w:pos="215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Exercise</w:t>
      </w:r>
      <w:r>
        <w:rPr>
          <w:rFonts w:ascii="Times New Roman" w:cs="Times New Roman" w:eastAsia="Times New Roman" w:hAnsi="Times New Roman"/>
          <w:sz w:val="18"/>
          <w:szCs w:val="18"/>
          <w:color w:val="auto"/>
        </w:rPr>
        <w:t>. Immediately before the time at which any such Option is scheduled to expire in accordance with the terms and conditions of the Plan and the applicable Award Agreement, such Option shall be deemed automatically exercised, if such Option satisfies each of the following conditions:</w:t>
      </w:r>
    </w:p>
    <w:p>
      <w:pPr>
        <w:spacing w:after="0" w:line="175" w:lineRule="exact"/>
        <w:rPr>
          <w:rFonts w:ascii="Times New Roman" w:cs="Times New Roman" w:eastAsia="Times New Roman" w:hAnsi="Times New Roman"/>
          <w:sz w:val="18"/>
          <w:szCs w:val="18"/>
          <w:color w:val="auto"/>
        </w:rPr>
      </w:pPr>
    </w:p>
    <w:p>
      <w:pPr>
        <w:ind w:left="2780" w:hanging="828"/>
        <w:spacing w:after="0"/>
        <w:tabs>
          <w:tab w:leader="none" w:pos="278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 is covered by a then current registration statement or a Notification under Regulation A under the 1933</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206" w:lineRule="exact"/>
        <w:rPr>
          <w:rFonts w:ascii="Times New Roman" w:cs="Times New Roman" w:eastAsia="Times New Roman" w:hAnsi="Times New Roman"/>
          <w:sz w:val="18"/>
          <w:szCs w:val="18"/>
          <w:color w:val="auto"/>
        </w:rPr>
      </w:pPr>
    </w:p>
    <w:p>
      <w:pPr>
        <w:ind w:left="1300" w:right="140" w:firstLine="652"/>
        <w:spacing w:after="0" w:line="261" w:lineRule="auto"/>
        <w:tabs>
          <w:tab w:leader="none" w:pos="2817"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reported sale price of a Share on the principal exchange on which Shares are listed on the date of determination, or if such date is not a trading day, the last preceding trading day, exceeds the option price per Share by such amount as may be determined by the Committee or its delegate from time to time. Absent a contrary determination, such excess per Share shall be $0.01, and</w:t>
      </w:r>
    </w:p>
    <w:p>
      <w:pPr>
        <w:spacing w:after="0" w:line="177" w:lineRule="exact"/>
        <w:rPr>
          <w:rFonts w:ascii="Times New Roman" w:cs="Times New Roman" w:eastAsia="Times New Roman" w:hAnsi="Times New Roman"/>
          <w:sz w:val="18"/>
          <w:szCs w:val="18"/>
          <w:color w:val="auto"/>
        </w:rPr>
      </w:pPr>
    </w:p>
    <w:p>
      <w:pPr>
        <w:ind w:left="1300" w:right="20" w:firstLine="652"/>
        <w:spacing w:after="0" w:line="258" w:lineRule="auto"/>
        <w:tabs>
          <w:tab w:leader="none" w:pos="2817"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subject to this Section 9(e)(ii)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be exercised via cashless exercise, such that subject to the other terms and conditions of the Plan, following the date of exercise, the Company shall deliver to the Participant the number of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7" w:name="page28"/>
    <w:bookmarkEnd w:id="27"/>
    <w:p>
      <w:pPr>
        <w:jc w:val="both"/>
        <w:ind w:left="1960" w:right="100"/>
        <w:spacing w:after="0" w:line="267" w:lineRule="auto"/>
        <w:rPr>
          <w:sz w:val="20"/>
          <w:szCs w:val="20"/>
          <w:color w:val="auto"/>
        </w:rPr>
      </w:pPr>
      <w:r>
        <w:rPr>
          <w:rFonts w:ascii="Times New Roman" w:cs="Times New Roman" w:eastAsia="Times New Roman" w:hAnsi="Times New Roman"/>
          <w:sz w:val="18"/>
          <w:szCs w:val="18"/>
          <w:color w:val="auto"/>
        </w:rPr>
        <w:t>applicable tax withholding amounts (as determined pursuant to Section 12)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such exercise;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such cashless exercise that would not result in the issuance of a whole number of Shares, the Company shall pay cash in lieu of any fractional Share.</w:t>
      </w:r>
    </w:p>
    <w:p>
      <w:pPr>
        <w:spacing w:after="0" w:line="175" w:lineRule="exact"/>
        <w:rPr>
          <w:sz w:val="20"/>
          <w:szCs w:val="20"/>
          <w:color w:val="auto"/>
        </w:rPr>
      </w:pPr>
    </w:p>
    <w:p>
      <w:pPr>
        <w:ind w:right="60" w:firstLine="656"/>
        <w:spacing w:after="0" w:line="254" w:lineRule="auto"/>
        <w:tabs>
          <w:tab w:leader="none" w:pos="15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Exercise of Incentive Stock Options</w:t>
      </w:r>
      <w:r>
        <w:rPr>
          <w:rFonts w:ascii="Times New Roman" w:cs="Times New Roman" w:eastAsia="Times New Roman" w:hAnsi="Times New Roman"/>
          <w:sz w:val="18"/>
          <w:szCs w:val="18"/>
          <w:color w:val="auto"/>
        </w:rPr>
        <w:t>. The aggregate Fair Market Value (determined as of the time Options are granted) of the Shares with respect to which Incentive Stock Options may first become exercisable by a Participant in any one calendar year under the Plan and any other plan of the Company shall not exceed $100,000. The limitations imposed by this Section 9(f)‎ shall apply only to Incentive Stock Options granted under the Plan, and not to any other Options. In the event an Eligible Employee receives an Option intended to be an Incentive Stock Option which is subsequently determined to have exceeded the limitation set forth above, or if an Eligible Employee receives Options that first become exercisable in a calendar year (whether pursuant to the terms of an Award Agreement,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91"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340" w:firstLine="644"/>
        <w:spacing w:after="0" w:line="282" w:lineRule="auto"/>
        <w:tabs>
          <w:tab w:leader="none" w:pos="224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 may be granted under the Plan to Participants either alone (“freestanding”) or in addition to other Awards granted under the Plan (“tandem”) and may, but need not, relate to a specific Option granted under Section 9‎.</w:t>
      </w:r>
    </w:p>
    <w:p>
      <w:pPr>
        <w:spacing w:after="0" w:line="161" w:lineRule="exact"/>
        <w:rPr>
          <w:rFonts w:ascii="Times New Roman" w:cs="Times New Roman" w:eastAsia="Times New Roman" w:hAnsi="Times New Roman"/>
          <w:sz w:val="18"/>
          <w:szCs w:val="18"/>
          <w:color w:val="auto"/>
        </w:rPr>
      </w:pPr>
    </w:p>
    <w:p>
      <w:pPr>
        <w:ind w:left="660" w:firstLine="644"/>
        <w:spacing w:after="0" w:line="261" w:lineRule="auto"/>
        <w:tabs>
          <w:tab w:leader="none" w:pos="215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or hurdle price per Share under a SAR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except in the case of Substitute Awards and Converted Awards, such exercise or hurdle price shall not be less than the Fair Market Value of a Share on the Date of Grant of such SAR. The term of each SAR shall be fixed by the Committee but shall not exceed 10 years from the Date of Grant of such SAR. The Committee shall determine the time or times at which a SAR may be exercised or settled in whole or in part.</w:t>
      </w:r>
    </w:p>
    <w:p>
      <w:pPr>
        <w:spacing w:after="0" w:line="179" w:lineRule="exact"/>
        <w:rPr>
          <w:rFonts w:ascii="Times New Roman" w:cs="Times New Roman" w:eastAsia="Times New Roman" w:hAnsi="Times New Roman"/>
          <w:sz w:val="18"/>
          <w:szCs w:val="18"/>
          <w:color w:val="auto"/>
        </w:rPr>
      </w:pPr>
    </w:p>
    <w:p>
      <w:pPr>
        <w:ind w:left="660" w:right="60" w:firstLine="644"/>
        <w:spacing w:after="0" w:line="289" w:lineRule="auto"/>
        <w:tabs>
          <w:tab w:leader="none" w:pos="2118"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exercise of a SAR, the Company shall pay to the Participant an amount equal to the number of Shares subject to the SAR multiplied by the excess, if any, of the Fair Market Value of one Share on the exercise date over the exercise or hurdle price of such SAR. The Company shall pay such excess in cash, in Shares valued at Fair Market Value, or any combination thereof, as determined by the Committee.</w:t>
      </w:r>
    </w:p>
    <w:p>
      <w:pPr>
        <w:spacing w:after="0" w:line="157" w:lineRule="exact"/>
        <w:rPr>
          <w:rFonts w:ascii="Times New Roman" w:cs="Times New Roman" w:eastAsia="Times New Roman" w:hAnsi="Times New Roman"/>
          <w:sz w:val="17"/>
          <w:szCs w:val="17"/>
          <w:color w:val="auto"/>
        </w:rPr>
      </w:pPr>
    </w:p>
    <w:p>
      <w:pPr>
        <w:jc w:val="both"/>
        <w:ind w:left="660" w:right="60" w:firstLine="644"/>
        <w:spacing w:after="0" w:line="266" w:lineRule="auto"/>
        <w:tabs>
          <w:tab w:leader="none" w:pos="215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Exercise</w:t>
      </w:r>
      <w:r>
        <w:rPr>
          <w:rFonts w:ascii="Times New Roman" w:cs="Times New Roman" w:eastAsia="Times New Roman" w:hAnsi="Times New Roman"/>
          <w:sz w:val="18"/>
          <w:szCs w:val="18"/>
          <w:color w:val="auto"/>
        </w:rPr>
        <w:t>. Immediately before the time at which any SAR is scheduled to expire in accordance with the terms and conditions of the Plan and the applicable Award Agreement, such SAR shall be deemed automatically exercised, if such SAR satisfies each of the following conditions:</w:t>
      </w:r>
    </w:p>
    <w:p>
      <w:pPr>
        <w:spacing w:after="0" w:line="175" w:lineRule="exact"/>
        <w:rPr>
          <w:rFonts w:ascii="Times New Roman" w:cs="Times New Roman" w:eastAsia="Times New Roman" w:hAnsi="Times New Roman"/>
          <w:sz w:val="18"/>
          <w:szCs w:val="18"/>
          <w:color w:val="auto"/>
        </w:rPr>
      </w:pPr>
    </w:p>
    <w:p>
      <w:pPr>
        <w:ind w:left="2780" w:hanging="828"/>
        <w:spacing w:after="0"/>
        <w:tabs>
          <w:tab w:leader="none" w:pos="278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SAR is covered by a then current registration statement or a Notification under Regulation A under the 1933</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and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28" w:name="page29"/>
    <w:bookmarkEnd w:id="28"/>
    <w:p>
      <w:pPr>
        <w:ind w:left="1300" w:right="120" w:firstLine="652"/>
        <w:spacing w:after="0" w:line="261" w:lineRule="auto"/>
        <w:tabs>
          <w:tab w:leader="none" w:pos="2817"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reported sale price of a Share on the principal exchange on which Shares are listed on the date of determination, or if such date is not a trading day, the last preceding trading day, exceeds the exercise price per Share by such amount as may be determined by the Committee or its delegate from time to time. Absent a contrary determination, such excess per Share shall be $0.01.</w:t>
      </w:r>
    </w:p>
    <w:p>
      <w:pPr>
        <w:spacing w:after="0" w:line="179" w:lineRule="exact"/>
        <w:rPr>
          <w:rFonts w:ascii="Times New Roman" w:cs="Times New Roman" w:eastAsia="Times New Roman" w:hAnsi="Times New Roman"/>
          <w:sz w:val="18"/>
          <w:szCs w:val="18"/>
          <w:color w:val="auto"/>
        </w:rPr>
      </w:pPr>
    </w:p>
    <w:p>
      <w:pPr>
        <w:ind w:left="660" w:right="300" w:firstLine="644"/>
        <w:spacing w:after="0" w:line="282" w:lineRule="auto"/>
        <w:tabs>
          <w:tab w:leader="none" w:pos="219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SARs that are attached to Non-Qualified Options (“tandem”) shall be subject to the same terms and restrictions as the Non-Qualified Option to which it is attached.</w:t>
      </w:r>
    </w:p>
    <w:p>
      <w:pPr>
        <w:spacing w:after="0" w:line="161" w:lineRule="exact"/>
        <w:rPr>
          <w:rFonts w:ascii="Times New Roman" w:cs="Times New Roman" w:eastAsia="Times New Roman" w:hAnsi="Times New Roman"/>
          <w:sz w:val="18"/>
          <w:szCs w:val="18"/>
          <w:color w:val="auto"/>
        </w:rPr>
      </w:pPr>
    </w:p>
    <w:p>
      <w:pPr>
        <w:ind w:right="120" w:firstLine="656"/>
        <w:spacing w:after="0" w:line="282" w:lineRule="auto"/>
        <w:tabs>
          <w:tab w:leader="none" w:pos="153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Dividend Equivalents</w:t>
      </w:r>
      <w:r>
        <w:rPr>
          <w:rFonts w:ascii="Times New Roman" w:cs="Times New Roman" w:eastAsia="Times New Roman" w:hAnsi="Times New Roman"/>
          <w:sz w:val="18"/>
          <w:szCs w:val="18"/>
          <w:color w:val="auto"/>
        </w:rPr>
        <w:t>. No grant of Options or SARs may be accompanied by a tandem award of dividend equivalents or provide for dividends, dividend equivalents or other distributions to be paid on such Award.</w:t>
      </w:r>
    </w:p>
    <w:p>
      <w:pPr>
        <w:spacing w:after="0" w:line="158" w:lineRule="exact"/>
        <w:rPr>
          <w:sz w:val="20"/>
          <w:szCs w:val="20"/>
          <w:color w:val="auto"/>
        </w:rPr>
      </w:pPr>
    </w:p>
    <w:p>
      <w:pPr>
        <w:ind w:left="1520" w:hanging="864"/>
        <w:spacing w:after="0"/>
        <w:tabs>
          <w:tab w:leader="none" w:pos="1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STOCK-BASED AWARDS.</w:t>
      </w:r>
    </w:p>
    <w:p>
      <w:pPr>
        <w:spacing w:after="0" w:line="229" w:lineRule="exact"/>
        <w:rPr>
          <w:sz w:val="20"/>
          <w:szCs w:val="20"/>
          <w:color w:val="auto"/>
        </w:rPr>
      </w:pPr>
    </w:p>
    <w:p>
      <w:pPr>
        <w:ind w:right="180" w:firstLine="656"/>
        <w:spacing w:after="0" w:line="258" w:lineRule="auto"/>
        <w:tabs>
          <w:tab w:leader="none" w:pos="15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is authorized, subject to limitations under applicable law, to grant Other Share-Based Awards. The Committee shall determine the terms and conditions of such Awards. Shares delivered pursuant to an Award in the nature of a purchase right granted under this Section 10‎ shall be purchased for such consideration, and paid for at such times, by such methods and in such forms, including cash, Shares, other Awards, other property, net settlement, broker-assisted cashless exercise or any combination thereof, as the Committee shall determine; provided that the purchase price therefor shall not be less than the Fair Market Value of such Shares on the Date of Grant of such right.</w:t>
      </w:r>
    </w:p>
    <w:p>
      <w:pPr>
        <w:spacing w:after="0" w:line="183" w:lineRule="exact"/>
        <w:rPr>
          <w:rFonts w:ascii="Times New Roman" w:cs="Times New Roman" w:eastAsia="Times New Roman" w:hAnsi="Times New Roman"/>
          <w:sz w:val="18"/>
          <w:szCs w:val="18"/>
          <w:color w:val="auto"/>
        </w:rPr>
      </w:pPr>
    </w:p>
    <w:p>
      <w:pPr>
        <w:ind w:right="260" w:firstLine="656"/>
        <w:spacing w:after="0" w:line="261" w:lineRule="auto"/>
        <w:tabs>
          <w:tab w:leader="none" w:pos="153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Other Share-Based Awards may be accompanied by a tandem award of dividend equivalents or provide for dividends, dividend equivalents or other distributions to be paid on such Award; provided that such dividends, dividend equivalents or other distributions shall be subject to any performance or other vesting conditions that apply to the underlying Award, and Participants shall not be paid dividends or dividend equivalents or any other distributions with respect to any Other Share-Based Awards that have not vested.</w:t>
      </w:r>
    </w:p>
    <w:p>
      <w:pPr>
        <w:spacing w:after="0" w:line="176" w:lineRule="exact"/>
        <w:rPr>
          <w:sz w:val="20"/>
          <w:szCs w:val="20"/>
          <w:color w:val="auto"/>
        </w:rPr>
      </w:pPr>
    </w:p>
    <w:p>
      <w:pPr>
        <w:ind w:left="1500" w:hanging="844"/>
        <w:spacing w:after="0"/>
        <w:tabs>
          <w:tab w:leader="none" w:pos="15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CONVERTED AWARDS.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 Converted Awards shall be granted under the Plan to eligible individuals as determined in accordance with, and subject to, the terms of Article 8 of the Employee Matters Agreement. Converted Awards shall be granted under the Plan in accordance with and subject to the terms and conditions set forth, and may be granted under the Plan in the form of any other Award, as determined in accordance with the Employee Matters Agreement. Notwithstanding anything in the Plan to the contrary, the terms and conditions of the Plan will apply to Converted Awards only to the extent that such terms and conditions are not inconsistent with the terms of the Employee Matters Agreement and the terms of the applicable Converted Awards as contemplated by the Employee Matters Agreement.</w:t>
      </w:r>
    </w:p>
    <w:p>
      <w:pPr>
        <w:spacing w:after="0" w:line="183" w:lineRule="exact"/>
        <w:rPr>
          <w:sz w:val="20"/>
          <w:szCs w:val="20"/>
          <w:color w:val="auto"/>
        </w:rPr>
      </w:pPr>
    </w:p>
    <w:p>
      <w:pPr>
        <w:ind w:left="1520" w:hanging="864"/>
        <w:spacing w:after="0"/>
        <w:tabs>
          <w:tab w:leader="none" w:pos="15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0" w:firstLine="656"/>
        <w:spacing w:after="0" w:line="282" w:lineRule="auto"/>
        <w:tabs>
          <w:tab w:leader="none" w:pos="152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if necessary or desirable, to withhold the amount of any tax, charge or assessment attributable to the grant of any Award, the occurrence of a</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9" w:name="page30"/>
    <w:bookmarkEnd w:id="29"/>
    <w:p>
      <w:pPr>
        <w:ind w:right="140"/>
        <w:spacing w:after="0" w:line="282" w:lineRule="auto"/>
        <w:rPr>
          <w:sz w:val="20"/>
          <w:szCs w:val="20"/>
          <w:color w:val="auto"/>
        </w:rPr>
      </w:pPr>
      <w:r>
        <w:rPr>
          <w:rFonts w:ascii="Times New Roman" w:cs="Times New Roman" w:eastAsia="Times New Roman" w:hAnsi="Times New Roman"/>
          <w:sz w:val="18"/>
          <w:szCs w:val="18"/>
          <w:color w:val="auto"/>
        </w:rPr>
        <w:t>Vesting Date with respect to any Award or the exercise of any Option. The Company shall not be required to deliver Shares pursuant to any Award until it has been indemnified to its satisfaction for any such tax, charge or assessment.</w:t>
      </w:r>
    </w:p>
    <w:p>
      <w:pPr>
        <w:spacing w:after="0" w:line="162" w:lineRule="exact"/>
        <w:rPr>
          <w:sz w:val="20"/>
          <w:szCs w:val="20"/>
          <w:color w:val="auto"/>
        </w:rPr>
      </w:pPr>
    </w:p>
    <w:p>
      <w:pPr>
        <w:ind w:firstLine="656"/>
        <w:spacing w:after="0" w:line="253" w:lineRule="auto"/>
        <w:tabs>
          <w:tab w:leader="none" w:pos="15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grant of any Award, the occurrence of a Vesting Date with respect to any Award, the exercise of any Option, or if, under the terms of an Award, a Participant’s rights with respect to Restricted Stock Units become free of a substantial risk of forfeiture as the result of the Participant’s satisfaction of the age and service conditions for retirement eligibility, and, as a result thereof, employment tax liabilities arise, the Company shall have the right to (i) require the Participant to remit to the Company an amount sufficient to satisfy any federal, state and/or local withholding tax requirements prior to the delivery or transfer of any Shares, or (ii) take any action that it deems necessary, in its discretion, to protect its interests with respect to tax liabilities or withholding obligations. The Company’s obligation to make any delivery or transfer of Shares shall be conditioned on the Participant’s compliance, to the Company’s satisfaction, with any withholding requirement. In addition, if the Committee grants Awards or amends any Award Agreement to permit any Award to be transferred during the life of the Participant, the Committee may include in such applicable Award Agreement such provisions as it determines are necessary or appropriate to permit the Company to deduct compensation expenses recognized upon the vesting, settlement or exercise of such Award for federal, state or local income tax purposes.</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152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Section 12(c),‎ any tax withholding obligations or liabilities incurred in connection with the grant of any Award, the occurrence of a Vesting Date applicable to an Award, the settlement of any Award or the exercise of any Option shall be satisfied by the Company’s withholding of a portion of the Shares subject to such Award having a Fair Market Value approximately equal to the minimum amount of taxes required to be withheld by the Company under applicable law, unless otherwise determined by the Committee with respect to any Participant or any Award. Notwithstanding the foregoing, the Committee may, in its discretion, permit a Participant to elect one or more of the following:</w:t>
      </w:r>
    </w:p>
    <w:p>
      <w:pPr>
        <w:spacing w:after="0" w:line="183" w:lineRule="exact"/>
        <w:rPr>
          <w:rFonts w:ascii="Times New Roman" w:cs="Times New Roman" w:eastAsia="Times New Roman" w:hAnsi="Times New Roman"/>
          <w:sz w:val="18"/>
          <w:szCs w:val="18"/>
          <w:color w:val="auto"/>
        </w:rPr>
      </w:pPr>
    </w:p>
    <w:p>
      <w:pPr>
        <w:ind w:left="660" w:right="80" w:firstLine="644"/>
        <w:spacing w:after="0" w:line="261" w:lineRule="auto"/>
        <w:tabs>
          <w:tab w:leader="none" w:pos="224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to have taxes withheld in excess of the minimum amount required to be withheld by the Company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Participant certifies in writing to the Company at the time of such election that the Participant owns Shares having a Fair Market Value that is at least equal to the Fair Market Value of the Shares to be withheld by the Company in payment of withholding taxes in excess of such minimum amount;</w:t>
      </w:r>
    </w:p>
    <w:p>
      <w:pPr>
        <w:spacing w:after="0" w:line="179" w:lineRule="exact"/>
        <w:rPr>
          <w:rFonts w:ascii="Times New Roman" w:cs="Times New Roman" w:eastAsia="Times New Roman" w:hAnsi="Times New Roman"/>
          <w:sz w:val="18"/>
          <w:szCs w:val="18"/>
          <w:color w:val="auto"/>
        </w:rPr>
      </w:pPr>
    </w:p>
    <w:p>
      <w:pPr>
        <w:ind w:left="2160" w:hanging="856"/>
        <w:spacing w:after="0"/>
        <w:tabs>
          <w:tab w:leader="none" w:pos="21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Shares otherwise deliverable to the Participant after the application of the other provisions of this Section 12(c)(ii)‎</w:t>
      </w:r>
    </w:p>
    <w:p>
      <w:pPr>
        <w:spacing w:after="0" w:line="27"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18"/>
          <w:szCs w:val="18"/>
          <w:color w:val="auto"/>
        </w:rPr>
        <w:t xml:space="preserve">redeemed by the Company for the Fair Market Value of such Shares on the date vesting, settlement, exercise or other time of delivery of Shares, as applicable, and have the cash proceeds of such redemption remitted by the Company to the Participant to facilitate one or more estimated tax payments to the Internal Revenue Service or other taxing authority for the taxable year in which such vesting, settlement, exercise or other delivery of Shares, as applicable, occurs;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Participant certifies in writing to the Company at the time of such election that the Participant owns Shares having a Fair Market Value that is at least equal to the Fair Market Value of such Shares to be redeemed by the Company; and</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0" w:name="page31"/>
    <w:bookmarkEnd w:id="30"/>
    <w:p>
      <w:pPr>
        <w:ind w:left="660" w:right="600" w:firstLine="644"/>
        <w:spacing w:after="0" w:line="282" w:lineRule="auto"/>
        <w:tabs>
          <w:tab w:leader="none" w:pos="2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Company in cash all or a portion of the taxes to be withheld in connection with such grant, Vesting Date, settlement or exercise, as applicable.</w:t>
      </w:r>
    </w:p>
    <w:p>
      <w:pPr>
        <w:spacing w:after="0" w:line="162"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color w:val="auto"/>
        </w:rPr>
        <w:t xml:space="preserve">In all cases, the Shares so withheld or redeemed by the Company, as applicable, shall have a Fair Market Value that does not exceed the amount of taxes to be withheld or remitted via estimated tax payments minus the cash payment, if any, made by the Participant. To the extent permitted by the Committee in its discretion, any election pursuant to Sections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12(c)(i)-</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(iii) must be in writing made prior to the date specified by the Committee, and in any event prior to the date the amount of tax to be withheld or paid is determined. An election pursuant to Sections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12(c)(i)-</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(iii) may be made only by a Participant or, in the event of the Participant’s death, by the Participant’s legal representative. Shares withheld or redeemed, as applicable, pursuant to Sections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12(c)(i)-</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(iii) shall not be available for subsequent grants under the Plan. The Committee may add such other requirements and limitations regarding elections pursuant to Sections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12(c)(i)-</w:t>
      </w:r>
      <w:r>
        <w:rPr>
          <w:rFonts w:ascii="Arial" w:cs="Arial" w:eastAsia="Arial" w:hAnsi="Arial"/>
          <w:sz w:val="18"/>
          <w:szCs w:val="18"/>
          <w:color w:val="auto"/>
        </w:rPr>
        <w:t>‎</w:t>
      </w:r>
      <w:r>
        <w:rPr>
          <w:rFonts w:ascii="Times New Roman" w:cs="Times New Roman" w:eastAsia="Times New Roman" w:hAnsi="Times New Roman"/>
          <w:sz w:val="18"/>
          <w:szCs w:val="18"/>
          <w:color w:val="auto"/>
        </w:rPr>
        <w:t>(iii) as it deems appropriate.</w:t>
      </w:r>
    </w:p>
    <w:p>
      <w:pPr>
        <w:spacing w:after="0" w:line="184" w:lineRule="exact"/>
        <w:rPr>
          <w:sz w:val="20"/>
          <w:szCs w:val="20"/>
          <w:color w:val="auto"/>
        </w:rPr>
      </w:pPr>
    </w:p>
    <w:p>
      <w:pPr>
        <w:ind w:left="1540" w:hanging="884"/>
        <w:spacing w:after="0"/>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Section 12(d),‎ any tax liabilities incurred in connection with the exercise of an Incentive Stock</w:t>
      </w:r>
    </w:p>
    <w:p>
      <w:pPr>
        <w:spacing w:after="0" w:line="27" w:lineRule="exact"/>
        <w:rPr>
          <w:rFonts w:ascii="Times New Roman" w:cs="Times New Roman" w:eastAsia="Times New Roman" w:hAnsi="Times New Roman"/>
          <w:sz w:val="18"/>
          <w:szCs w:val="18"/>
          <w:color w:val="auto"/>
        </w:rPr>
      </w:pPr>
    </w:p>
    <w:p>
      <w:pPr>
        <w:ind w:right="1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Option under the Plan (other than an Incentive Stock Option that is subject to the automatic exercise provisions described in Section 9(e)(ii)),‎ shall be satisfied by the Participant’s payment to the Company in cash all of the taxes to be withheld upon exercise of the Incentive Stock Option. Notwithstanding the foregoing, the Committee may permit a Participant to elect to have the Company withhold a portion of the Shares underlying the Incentive Stock Option exercised having a Fair Market Value approximately equal to the minimum amount of taxes required to be withheld by the Company under applicable law. Any tax liabilities incurred in connection with the automatic exercise of an Incentive Stock Option that is subject to the automatic exercise</w:t>
      </w:r>
    </w:p>
    <w:p>
      <w:pPr>
        <w:ind w:right="1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provisions described in Section 9(e)(ii)‎ shall be satisfied by the Company’s withholding of a portion of the Shares underlying the Incentive Stock Option exercised having a Fair Market Value approximately equal to the minimum amount of taxes required to be withheld by the Company under applicable law.</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pursuant to this Section 12(d)‎ must be in writing made prior to the date specified by the Committee, and in any event prior to the date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tax to be withheld or paid is determined. An election pursuant to this Section 12(d)‎ may be made only by a Participant or, in the event of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by the Participant’s legal representative. Shares withheld pursuant to this Section 12(d)‎ shall not continue to be available for subsequent grants under</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The Committee may add such other requirements and limitations regarding elections pursuant to this Section 12(d)‎ as it deems appropriate.</w:t>
      </w:r>
    </w:p>
    <w:p>
      <w:pPr>
        <w:spacing w:after="0" w:line="206" w:lineRule="exact"/>
        <w:rPr>
          <w:rFonts w:ascii="Times New Roman" w:cs="Times New Roman" w:eastAsia="Times New Roman" w:hAnsi="Times New Roman"/>
          <w:sz w:val="18"/>
          <w:szCs w:val="18"/>
          <w:color w:val="auto"/>
        </w:rPr>
      </w:pPr>
    </w:p>
    <w:p>
      <w:pPr>
        <w:ind w:right="60" w:firstLine="656"/>
        <w:spacing w:after="0" w:line="261" w:lineRule="auto"/>
        <w:tabs>
          <w:tab w:leader="none" w:pos="152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76" w:lineRule="exact"/>
        <w:rPr>
          <w:sz w:val="20"/>
          <w:szCs w:val="20"/>
          <w:color w:val="auto"/>
        </w:rPr>
      </w:pPr>
    </w:p>
    <w:p>
      <w:pPr>
        <w:ind w:firstLine="656"/>
        <w:spacing w:after="0" w:line="268" w:lineRule="auto"/>
        <w:tabs>
          <w:tab w:leader="none" w:pos="1503"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IN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the Committee determines that, as a result of any dividend or other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an ordinary dividend or distribution), recapitalization, stock split, reverse stock split, reorganization, merger, amalgamation, consolidation, separation, rights offering, split-up, spin-off, combination,</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line="258" w:lineRule="auto"/>
        <w:rPr>
          <w:sz w:val="20"/>
          <w:szCs w:val="20"/>
          <w:color w:val="auto"/>
        </w:rPr>
      </w:pPr>
      <w:r>
        <w:rPr>
          <w:rFonts w:ascii="Times New Roman" w:cs="Times New Roman" w:eastAsia="Times New Roman" w:hAnsi="Times New Roman"/>
          <w:sz w:val="18"/>
          <w:szCs w:val="18"/>
          <w:color w:val="auto"/>
        </w:rPr>
        <w:t>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then the Committee shall, subject to the‎ requirements of Section 409A of the Code and applicable law, appropriately and equitably adjust so as to ensure no undue enrichment or harm (including by payment of cash), any or all of:</w:t>
      </w:r>
    </w:p>
    <w:p>
      <w:pPr>
        <w:spacing w:after="0" w:line="183" w:lineRule="exact"/>
        <w:rPr>
          <w:sz w:val="20"/>
          <w:szCs w:val="20"/>
          <w:color w:val="auto"/>
        </w:rPr>
      </w:pPr>
    </w:p>
    <w:p>
      <w:pPr>
        <w:ind w:right="40" w:firstLine="656"/>
        <w:spacing w:after="0" w:line="282" w:lineRule="auto"/>
        <w:tabs>
          <w:tab w:leader="none" w:pos="152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Shares (or other securities) which thereafter may be made the subject of Awards, including the limits specified in Sections 4(a)‎ and 4(b);‎</w:t>
      </w:r>
    </w:p>
    <w:p>
      <w:pPr>
        <w:spacing w:after="0" w:line="161"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Shares (or other securities) subject to outstanding Awards;</w:t>
      </w:r>
    </w:p>
    <w:p>
      <w:pPr>
        <w:spacing w:after="0" w:line="225" w:lineRule="exact"/>
        <w:rPr>
          <w:rFonts w:ascii="Times New Roman" w:cs="Times New Roman" w:eastAsia="Times New Roman" w:hAnsi="Times New Roman"/>
          <w:sz w:val="18"/>
          <w:szCs w:val="18"/>
          <w:color w:val="auto"/>
        </w:rPr>
      </w:pPr>
    </w:p>
    <w:p>
      <w:pPr>
        <w:ind w:right="780" w:firstLine="656"/>
        <w:spacing w:after="0" w:line="282" w:lineRule="auto"/>
        <w:tabs>
          <w:tab w:leader="none" w:pos="152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price with respect to any Option or, if deemed appropriate, make provision for a cash payment to the holder of an outstanding Award, and the amounts payable pursuant to any SARs; and</w:t>
      </w:r>
    </w:p>
    <w:p>
      <w:pPr>
        <w:spacing w:after="0" w:line="161"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any outstanding Awards, including any applicable performance conditions applicable to any Awards.</w:t>
      </w:r>
    </w:p>
    <w:p>
      <w:pPr>
        <w:spacing w:after="0" w:line="2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Committee shall have authority to determine the adjustments to be made under this Section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13 and any such determination by the Committee shall be final, binding and conclusive. Following any such adjustment under this Section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13, any reference to the term “Shares” or option price, as applicable, in the Plan and in any applicable Award Agreement shall be a reference to the appropriate number and class of shares of stock available for issuance under the Plan, as adjusted pursuant to this Section </w:t>
      </w:r>
      <w:r>
        <w:rPr>
          <w:rFonts w:ascii="Arial" w:cs="Arial" w:eastAsia="Arial" w:hAnsi="Arial"/>
          <w:sz w:val="18"/>
          <w:szCs w:val="18"/>
          <w:color w:val="auto"/>
        </w:rPr>
        <w:t>‎</w:t>
      </w:r>
      <w:r>
        <w:rPr>
          <w:rFonts w:ascii="Times New Roman" w:cs="Times New Roman" w:eastAsia="Times New Roman" w:hAnsi="Times New Roman"/>
          <w:sz w:val="18"/>
          <w:szCs w:val="18"/>
          <w:color w:val="auto"/>
        </w:rPr>
        <w:t>13.</w:t>
      </w:r>
    </w:p>
    <w:p>
      <w:pPr>
        <w:spacing w:after="0" w:line="174" w:lineRule="exact"/>
        <w:rPr>
          <w:sz w:val="20"/>
          <w:szCs w:val="20"/>
          <w:color w:val="auto"/>
        </w:rPr>
      </w:pPr>
    </w:p>
    <w:p>
      <w:pPr>
        <w:ind w:right="180" w:firstLine="656"/>
        <w:spacing w:after="0" w:line="268" w:lineRule="auto"/>
        <w:tabs>
          <w:tab w:leader="none" w:pos="1503"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 Change in Control, the Committee may, in its sole discretion, and on such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as it deems appropriate, take any one or more of the following actions with respect to any outstanding Award, which need not be uniform with respect to all Participants and/or Awards:</w:t>
      </w:r>
    </w:p>
    <w:p>
      <w:pPr>
        <w:spacing w:after="0" w:line="175" w:lineRule="exact"/>
        <w:rPr>
          <w:sz w:val="20"/>
          <w:szCs w:val="20"/>
          <w:color w:val="auto"/>
        </w:rPr>
      </w:pPr>
    </w:p>
    <w:p>
      <w:pPr>
        <w:ind w:left="1540" w:hanging="884"/>
        <w:spacing w:after="0"/>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or assumption of such Award by the Company (if it is the surviving corporation) or by the successor or surviving entity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its parent;</w:t>
      </w:r>
    </w:p>
    <w:p>
      <w:pPr>
        <w:spacing w:after="0" w:line="206" w:lineRule="exact"/>
        <w:rPr>
          <w:rFonts w:ascii="Times New Roman" w:cs="Times New Roman" w:eastAsia="Times New Roman" w:hAnsi="Times New Roman"/>
          <w:sz w:val="18"/>
          <w:szCs w:val="18"/>
          <w:color w:val="auto"/>
        </w:rPr>
      </w:pPr>
    </w:p>
    <w:p>
      <w:pPr>
        <w:ind w:right="120" w:firstLine="656"/>
        <w:spacing w:after="0" w:line="266" w:lineRule="auto"/>
        <w:tabs>
          <w:tab w:leader="none" w:pos="15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substitution or replacement of such Award by the successor or surviving entity or its parent with cash, securities, rights or other property to be paid or issued, as the case may be, by the successor or surviving entity (or a parent or subsidiary thereof), with substantially the same terms and value as such Award (including any applicable performance targets or criteria with respect thereto);</w:t>
      </w:r>
    </w:p>
    <w:p>
      <w:pPr>
        <w:spacing w:after="0" w:line="175" w:lineRule="exact"/>
        <w:rPr>
          <w:rFonts w:ascii="Times New Roman" w:cs="Times New Roman" w:eastAsia="Times New Roman" w:hAnsi="Times New Roman"/>
          <w:sz w:val="18"/>
          <w:szCs w:val="18"/>
          <w:color w:val="auto"/>
        </w:rPr>
      </w:pPr>
    </w:p>
    <w:p>
      <w:pPr>
        <w:jc w:val="both"/>
        <w:ind w:right="80" w:firstLine="656"/>
        <w:spacing w:after="0" w:line="261" w:lineRule="auto"/>
        <w:tabs>
          <w:tab w:leader="none" w:pos="15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the vesting of such Award and the lapse of any restrictions thereon and, in the case of an Option or SAR, acceleration of the right to exercise such Award during a specified period (and the termination of such Option or SAR without payment of any consideration therefor to the extent such Award is not timely exercised), in each case, either (A) immediately prior to or as of the date of the Change in Control, (B) upon a Participant’s</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2" w:name="page33"/>
    <w:bookmarkEnd w:id="32"/>
    <w:p>
      <w:pPr>
        <w:ind w:right="100"/>
        <w:spacing w:after="0" w:line="258" w:lineRule="auto"/>
        <w:rPr>
          <w:sz w:val="20"/>
          <w:szCs w:val="20"/>
          <w:color w:val="auto"/>
        </w:rPr>
      </w:pPr>
      <w:r>
        <w:rPr>
          <w:rFonts w:ascii="Times New Roman" w:cs="Times New Roman" w:eastAsia="Times New Roman" w:hAnsi="Times New Roman"/>
          <w:sz w:val="18"/>
          <w:szCs w:val="18"/>
          <w:color w:val="auto"/>
        </w:rPr>
        <w:t>involuntary Termination of Service (including upon a termination of the Participant’s employment by a Participating Company (or a successor corporation or its parent) without Cause, by a Participant for “good reason” (as such term may be defined in the applicable Award Agreement and/or a Participant’s applicable employment, severance, consulting or similar agreement, as the case may be) and/or due to a Participant’s death or Disability on or within a specified period following the Change in Control) or (C) upon the failure of the successor or surviving entity (or its parent) to continue or assume such Award;</w:t>
      </w:r>
    </w:p>
    <w:p>
      <w:pPr>
        <w:spacing w:after="0" w:line="183" w:lineRule="exact"/>
        <w:rPr>
          <w:sz w:val="20"/>
          <w:szCs w:val="20"/>
          <w:color w:val="auto"/>
        </w:rPr>
      </w:pPr>
    </w:p>
    <w:p>
      <w:pPr>
        <w:ind w:right="200" w:firstLine="656"/>
        <w:spacing w:after="0" w:line="282" w:lineRule="auto"/>
        <w:tabs>
          <w:tab w:leader="none" w:pos="153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Award subject to performance-related vesting conditions, determination of the level of attainment of the applicable performance condition(s); and</w:t>
      </w:r>
    </w:p>
    <w:p>
      <w:pPr>
        <w:spacing w:after="0" w:line="161" w:lineRule="exact"/>
        <w:rPr>
          <w:rFonts w:ascii="Times New Roman" w:cs="Times New Roman" w:eastAsia="Times New Roman" w:hAnsi="Times New Roman"/>
          <w:sz w:val="18"/>
          <w:szCs w:val="18"/>
          <w:color w:val="auto"/>
        </w:rPr>
      </w:pPr>
    </w:p>
    <w:p>
      <w:pPr>
        <w:ind w:firstLine="656"/>
        <w:spacing w:after="0" w:line="254" w:lineRule="auto"/>
        <w:tabs>
          <w:tab w:leader="none" w:pos="152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cancellation of such Award in consideration of a payment, with the form, amount and timing of such payment determined by the Committee in its sole discretion, subject to the following: (A) such payment shall be made in cash, securities, rights and/or other property; (B) the amount of such payment shall equal the value of such Award, as determined by the Committee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 Option or SAR, if such value equals the Intrinsic Value of such Award, such value shall be deemed to be 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the Intrinsic Value of an Option or SAR is equal to or less than zero, the Committee may, in its sole discretion, provide for the cancellation of such Award without payment of any consideration therefor (for the avoidance of doubt, in the event of a Change in Control, the Committee may, in its sole discretion, terminate any Option or SAR for which the exercise or hurdle price is equal to or exceeds the per Share value of the consideration to be paid in the Change in Control transaction without payment of consideration therefor); and (C) such payment shall be made promptly following such Change in Control or on a specified date or dates following such Change in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timing of such payment shall comply with Section 409A of the Code.</w:t>
      </w:r>
    </w:p>
    <w:p>
      <w:pPr>
        <w:spacing w:after="0" w:line="184" w:lineRule="exact"/>
        <w:rPr>
          <w:sz w:val="20"/>
          <w:szCs w:val="20"/>
          <w:color w:val="auto"/>
        </w:rPr>
      </w:pPr>
    </w:p>
    <w:p>
      <w:pPr>
        <w:ind w:firstLine="656"/>
        <w:spacing w:after="0" w:line="255" w:lineRule="auto"/>
        <w:tabs>
          <w:tab w:leader="none" w:pos="1503"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contained herein, any Awards granted under the Plan (including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or benefits arising therefrom) shall be subject to any clawback or recoupment arrangements or policies the Company has in place from time to time (including, without limitation, any policy adopted to comply with Rule 10D-1 of the 1934 Act or any related stock exchange rules), and the Committee may, to the extent permitted or shall, to the extent required, by applicable law and stock exchange rules or by any applicable Company policy or arrangement, cancel or require reimbursement of such Award or any Shares issued or cash received upon vesting, exercise or settlement of the Award or sale of Shares underlying the Award. In addition, to the extent that the receipt of an Award subject to repayment under this Section 15‎ has been deferred (including pursuant to any other plan, program or arrangement that permits the deferral of receipt of an Award) such Award (and any earnings credited with respect thereto) shall be forfeited in lieu of repayment.</w:t>
      </w:r>
    </w:p>
    <w:p>
      <w:pPr>
        <w:spacing w:after="0" w:line="184" w:lineRule="exact"/>
        <w:rPr>
          <w:rFonts w:ascii="Times New Roman" w:cs="Times New Roman" w:eastAsia="Times New Roman" w:hAnsi="Times New Roman"/>
          <w:sz w:val="18"/>
          <w:szCs w:val="18"/>
          <w:b w:val="1"/>
          <w:bCs w:val="1"/>
          <w:color w:val="auto"/>
        </w:rPr>
      </w:pPr>
    </w:p>
    <w:p>
      <w:pPr>
        <w:ind w:right="40" w:firstLine="656"/>
        <w:spacing w:after="0" w:line="286" w:lineRule="auto"/>
        <w:tabs>
          <w:tab w:leader="none" w:pos="1503"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SECURITIES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shall have the power to make each grant of Awards under the Plan subject to such conditions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deems necessary or appropriate to comply with the then-existing requirements of the 1933 Act and the 1934 Act. Such conditions may include:</w:t>
      </w:r>
    </w:p>
    <w:p>
      <w:pPr>
        <w:spacing w:after="0" w:line="159" w:lineRule="exact"/>
        <w:rPr>
          <w:sz w:val="20"/>
          <w:szCs w:val="20"/>
          <w:color w:val="auto"/>
        </w:rPr>
      </w:pPr>
    </w:p>
    <w:p>
      <w:pPr>
        <w:ind w:firstLine="656"/>
        <w:spacing w:after="0" w:line="282" w:lineRule="auto"/>
        <w:tabs>
          <w:tab w:leader="none" w:pos="152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Participant of an investment representation to the Company in connection with the occurrence of a Vesting Date (in the case of Restricted Stock and Restricted</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Stock Units) or exercise (in the case of an Option) occurring with respect to Shares subject to such Award; and</w:t>
      </w:r>
    </w:p>
    <w:p>
      <w:pPr>
        <w:spacing w:after="0" w:line="225" w:lineRule="exact"/>
        <w:rPr>
          <w:sz w:val="20"/>
          <w:szCs w:val="20"/>
          <w:color w:val="auto"/>
        </w:rPr>
      </w:pPr>
    </w:p>
    <w:p>
      <w:pPr>
        <w:ind w:right="580" w:firstLine="656"/>
        <w:spacing w:after="0" w:line="282" w:lineRule="auto"/>
        <w:tabs>
          <w:tab w:leader="none" w:pos="153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an agreement by the Participant to refrain from selling or otherwise disposing of the Shares received upon the vesting, settlement or exercise, as applicable, of such Award for a specified period of time or on specified terms.</w:t>
      </w:r>
    </w:p>
    <w:p>
      <w:pPr>
        <w:spacing w:after="0" w:line="161" w:lineRule="exact"/>
        <w:rPr>
          <w:rFonts w:ascii="Times New Roman" w:cs="Times New Roman" w:eastAsia="Times New Roman" w:hAnsi="Times New Roman"/>
          <w:sz w:val="18"/>
          <w:szCs w:val="18"/>
          <w:color w:val="auto"/>
        </w:rPr>
      </w:pPr>
    </w:p>
    <w:p>
      <w:pPr>
        <w:ind w:firstLine="656"/>
        <w:spacing w:after="0" w:line="266" w:lineRule="auto"/>
        <w:tabs>
          <w:tab w:leader="none" w:pos="152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Options, to the extent required by the Committee, unless the Shares subject to the Option are covered by a then current registration statement or a Notification under Regulation A under the 1933 Act, each notice of exercise of an Option shall contain the Participant’s acknowledgment in form and substance satisfactory to the Committee that:</w:t>
      </w:r>
    </w:p>
    <w:p>
      <w:pPr>
        <w:spacing w:after="0" w:line="175" w:lineRule="exact"/>
        <w:rPr>
          <w:rFonts w:ascii="Times New Roman" w:cs="Times New Roman" w:eastAsia="Times New Roman" w:hAnsi="Times New Roman"/>
          <w:sz w:val="18"/>
          <w:szCs w:val="18"/>
          <w:color w:val="auto"/>
        </w:rPr>
      </w:pPr>
    </w:p>
    <w:p>
      <w:pPr>
        <w:ind w:left="660" w:right="200" w:firstLine="644"/>
        <w:spacing w:after="0" w:line="266" w:lineRule="auto"/>
        <w:tabs>
          <w:tab w:leader="none" w:pos="224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Option are being purchased for investment and not for distribution or resale (other than a distribution or resale which, in the opinion of counsel satisfactory to the Company, may be made without violating the registration provisions of the 1933 Act);</w:t>
      </w:r>
    </w:p>
    <w:p>
      <w:pPr>
        <w:spacing w:after="0" w:line="175" w:lineRule="exact"/>
        <w:rPr>
          <w:rFonts w:ascii="Times New Roman" w:cs="Times New Roman" w:eastAsia="Times New Roman" w:hAnsi="Times New Roman"/>
          <w:sz w:val="18"/>
          <w:szCs w:val="18"/>
          <w:color w:val="auto"/>
        </w:rPr>
      </w:pPr>
    </w:p>
    <w:p>
      <w:pPr>
        <w:ind w:left="660" w:right="80" w:firstLine="644"/>
        <w:spacing w:after="0" w:line="261" w:lineRule="auto"/>
        <w:tabs>
          <w:tab w:leader="none" w:pos="215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been advised and understands that (A) the Shares subject to the Option have not been registered under the 1933 Act and are “restricted securities” within the meaning of Rule 144 under the 1933 Act and are subject to restrictions on transfer and (B) the Company is under no obligation to register the Shares subject to the Option under the 1933 Act or to take any action which would make available to the Participant any exemption from such registration;</w:t>
      </w:r>
    </w:p>
    <w:p>
      <w:pPr>
        <w:spacing w:after="0" w:line="179"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 entry recordkeeping system maintained by the Company evidencing the Shares may bear a restrictive legend; and</w:t>
      </w:r>
    </w:p>
    <w:p>
      <w:pPr>
        <w:spacing w:after="0" w:line="225"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Option may not be transferred without compliance with all applicable federal and state securities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w:t>
      </w:r>
    </w:p>
    <w:p>
      <w:pPr>
        <w:spacing w:after="0" w:line="206" w:lineRule="exact"/>
        <w:rPr>
          <w:rFonts w:ascii="Times New Roman" w:cs="Times New Roman" w:eastAsia="Times New Roman" w:hAnsi="Times New Roman"/>
          <w:sz w:val="18"/>
          <w:szCs w:val="18"/>
          <w:color w:val="auto"/>
        </w:rPr>
      </w:pPr>
    </w:p>
    <w:p>
      <w:pPr>
        <w:ind w:right="20" w:firstLine="656"/>
        <w:spacing w:after="0" w:line="256" w:lineRule="auto"/>
        <w:tabs>
          <w:tab w:leader="none" w:pos="153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of Exercise Pending Registration of Securities</w:t>
      </w:r>
      <w:r>
        <w:rPr>
          <w:rFonts w:ascii="Times New Roman" w:cs="Times New Roman" w:eastAsia="Times New Roman" w:hAnsi="Times New Roman"/>
          <w:sz w:val="18"/>
          <w:szCs w:val="18"/>
          <w:color w:val="auto"/>
        </w:rPr>
        <w:t>. Notwithstanding any provision in the Plan or an applicable Award Agreement to the contrary, if the Committee determines, in its sole discretion, that issuance of Shares pursuant to the settlement of Restricted Stock Units or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the settlement of any Restricted Stock Units and/or exercise of any Option until such Shares are appropriately registered or qualified or an appropriate legal opinion has been received, as applicable.</w:t>
      </w:r>
    </w:p>
    <w:p>
      <w:pPr>
        <w:spacing w:after="0" w:line="183" w:lineRule="exact"/>
        <w:rPr>
          <w:sz w:val="20"/>
          <w:szCs w:val="20"/>
          <w:color w:val="auto"/>
        </w:rPr>
      </w:pPr>
    </w:p>
    <w:p>
      <w:pPr>
        <w:ind w:left="1520" w:hanging="864"/>
        <w:spacing w:after="0"/>
        <w:tabs>
          <w:tab w:leader="none" w:pos="1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TERMINATION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80" w:firstLine="656"/>
        <w:spacing w:after="0" w:line="261" w:lineRule="auto"/>
        <w:tabs>
          <w:tab w:leader="none" w:pos="152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Amendment of the Plan</w:t>
      </w:r>
      <w:r>
        <w:rPr>
          <w:rFonts w:ascii="Times New Roman" w:cs="Times New Roman" w:eastAsia="Times New Roman" w:hAnsi="Times New Roman"/>
          <w:sz w:val="18"/>
          <w:szCs w:val="18"/>
          <w:color w:val="auto"/>
        </w:rPr>
        <w:t xml:space="preserve">. Except to the extent prohibited by applicable law or otherwise expressly provided in the Plan or an Award Agreement, the Committee may amend, alter, or suspend, and the Board may discontinue or terminate, the Plan or any portion thereof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no such amendment, alteration, suspension, discontinuation or termination shall be made without (i) shareholder approval if such approval is required by applicable law or the rules of the stock market or exchange, if any, on</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4" w:name="page35"/>
    <w:bookmarkEnd w:id="34"/>
    <w:p>
      <w:pPr>
        <w:spacing w:after="0" w:line="255" w:lineRule="auto"/>
        <w:rPr>
          <w:sz w:val="20"/>
          <w:szCs w:val="20"/>
          <w:color w:val="auto"/>
        </w:rPr>
      </w:pPr>
      <w:r>
        <w:rPr>
          <w:rFonts w:ascii="Times New Roman" w:cs="Times New Roman" w:eastAsia="Times New Roman" w:hAnsi="Times New Roman"/>
          <w:sz w:val="18"/>
          <w:szCs w:val="18"/>
          <w:color w:val="auto"/>
        </w:rPr>
        <w:t>which the Shares are principally quoted or traded or (ii) subject to Section 13‎ and Section 14,‎ the consent of the affected Participant, if such action would materially adversely affect the rights of such Participant under any outstanding Award, except (x) to the extent any such amendment, alteration, suspension, discontinuance or termination is made to cause the Plan to comply with applicable law, stock market or exchange rules and regulations or accounting or tax rules and regulations or (y) to impose any “clawback” or recoupment provisions on any Awards (including any amounts or benefits arising from such Awards) in accordance with Section 15‎. Notwithstanding anything to the contrary in the Plan, the Committee may amend the Plan, or create sub-plans, in such manner as may be necessary or desirable to enable the Plan to achieve its stated purposes in any jurisdiction in a tax-efficient manner and in compliance with local rules and regulations.</w:t>
      </w:r>
    </w:p>
    <w:p>
      <w:pPr>
        <w:spacing w:after="0" w:line="189" w:lineRule="exact"/>
        <w:rPr>
          <w:sz w:val="20"/>
          <w:szCs w:val="20"/>
          <w:color w:val="auto"/>
        </w:rPr>
      </w:pPr>
    </w:p>
    <w:p>
      <w:pPr>
        <w:ind w:firstLine="656"/>
        <w:spacing w:after="0" w:line="269" w:lineRule="auto"/>
        <w:tabs>
          <w:tab w:leader="none" w:pos="1532"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 of Awards</w:t>
      </w:r>
      <w:r>
        <w:rPr>
          <w:rFonts w:ascii="Times New Roman" w:cs="Times New Roman" w:eastAsia="Times New Roman" w:hAnsi="Times New Roman"/>
          <w:sz w:val="17"/>
          <w:szCs w:val="17"/>
          <w:color w:val="auto"/>
        </w:rPr>
        <w:t xml:space="preserve">. The Committee may waive any conditions or rights under, amend any terms of, or amend, alter, suspend, discontinue or terminate any Award (including by substituting another Award of the same or a different type), prospectively or retroactively, without the consent of any relevant Participant or holder or beneficiary of an Award;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subject to Section 13‎ and Section 14,‎ no such action shall materially adversely affect the rights of any affected Participant or holder or beneficiary under any Award, except (x) to the extent any such action is made to cause the Plan or Award to comply with applicable law, stock market or exchange rules and regulations or accounting or tax rules and regulations, or</w:t>
      </w:r>
    </w:p>
    <w:p>
      <w:pPr>
        <w:spacing w:after="0" w:line="2" w:lineRule="exact"/>
        <w:rPr>
          <w:rFonts w:ascii="Times New Roman" w:cs="Times New Roman" w:eastAsia="Times New Roman" w:hAnsi="Times New Roman"/>
          <w:sz w:val="17"/>
          <w:szCs w:val="17"/>
          <w:color w:val="auto"/>
        </w:rPr>
      </w:pPr>
    </w:p>
    <w:p>
      <w:pPr>
        <w:ind w:right="40" w:firstLine="8"/>
        <w:spacing w:after="0" w:line="253" w:lineRule="auto"/>
        <w:tabs>
          <w:tab w:leader="none" w:pos="2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any “clawback” or recoupment provisions on any Awards (including any amounts or benefits arising from such Awards) in accordance with Section 15‎. The Committee shall be authorized to make adjustments in the terms and conditions of, and the criteria included in, Awards in recognition of events (including the events described in Section 13)‎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86" w:lineRule="exact"/>
        <w:rPr>
          <w:rFonts w:ascii="Times New Roman" w:cs="Times New Roman" w:eastAsia="Times New Roman" w:hAnsi="Times New Roman"/>
          <w:sz w:val="18"/>
          <w:szCs w:val="18"/>
          <w:color w:val="auto"/>
        </w:rPr>
      </w:pPr>
    </w:p>
    <w:p>
      <w:pPr>
        <w:ind w:right="160" w:firstLine="656"/>
        <w:spacing w:after="0" w:line="270" w:lineRule="auto"/>
        <w:tabs>
          <w:tab w:leader="none" w:pos="1522"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Repricing of Options and SARs</w:t>
      </w:r>
      <w:r>
        <w:rPr>
          <w:rFonts w:ascii="Times New Roman" w:cs="Times New Roman" w:eastAsia="Times New Roman" w:hAnsi="Times New Roman"/>
          <w:sz w:val="17"/>
          <w:szCs w:val="17"/>
          <w:color w:val="auto"/>
        </w:rPr>
        <w:t>. Notwithstanding any provision in the Plan to the contrary, neither the Board nor the Committee may, without obtaining prior approval by the Company’s shareholders, reduce the option or exercise price of any issued and outstanding Option or SAR granted under the Plan, including through cancellation and regrant or any other method (including the repurchase of an Option or SAR that is “out of the money” in exchange for an Option, SAR, cash and/or other property), at any time during the term of such Option or SAR (other than by adjustment</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pursuant to Section 13)‎. This Section 17(c)‎ may not be repealed, modified or amended without the prior approval of the Company’s shareholders.</w:t>
      </w:r>
    </w:p>
    <w:p>
      <w:pPr>
        <w:spacing w:after="0" w:line="203" w:lineRule="exact"/>
        <w:rPr>
          <w:sz w:val="20"/>
          <w:szCs w:val="20"/>
          <w:color w:val="auto"/>
        </w:rPr>
      </w:pPr>
    </w:p>
    <w:p>
      <w:pPr>
        <w:ind w:left="1520" w:hanging="864"/>
        <w:spacing w:after="0"/>
        <w:tabs>
          <w:tab w:leader="none" w:pos="15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40" w:firstLine="656"/>
        <w:spacing w:after="0" w:line="261" w:lineRule="auto"/>
        <w:tabs>
          <w:tab w:leader="none" w:pos="152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or other Person shall have any claim to be granted any Award under the Plan, and there is no obligation for uniformity of treatment of Participants or holders or beneficiaries of Awards under the Plan. The terms and conditions of Awards need not be the same with respect to each recipient. Any Award granted under the Plan shall be a one-time grant that does not constitute a promise of future grants. The Committee, in its sole discretion, maintains the right to make available future grants under the Plan.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5" w:name="page36"/>
    <w:bookmarkEnd w:id="35"/>
    <w:p>
      <w:pPr>
        <w:ind w:right="20" w:firstLine="656"/>
        <w:spacing w:after="0" w:line="258" w:lineRule="auto"/>
        <w:tabs>
          <w:tab w:leader="none" w:pos="153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Award shall not be construed as giving a Participant the right to be retained in the employ of, or to continue to provide services to, the Company or any Affiliate. Further, the Company or any applicable Affiliate may at any time dismiss a Participant, free from any liability, or any claim under the Plan, unless otherwise expressly provided in the Plan or in any Award Agreement or in any other agreement binding on the parties. The receipt of any Award a under the Plan is not intended to confer any rights on the receiving Participant except as set forth in the applicable Award Agreement and the Plan.</w:t>
      </w:r>
    </w:p>
    <w:p>
      <w:pPr>
        <w:spacing w:after="0" w:line="183" w:lineRule="exact"/>
        <w:rPr>
          <w:rFonts w:ascii="Times New Roman" w:cs="Times New Roman" w:eastAsia="Times New Roman" w:hAnsi="Times New Roman"/>
          <w:sz w:val="18"/>
          <w:szCs w:val="18"/>
          <w:color w:val="auto"/>
        </w:rPr>
      </w:pPr>
    </w:p>
    <w:p>
      <w:pPr>
        <w:ind w:right="60" w:firstLine="656"/>
        <w:spacing w:after="0" w:line="266" w:lineRule="auto"/>
        <w:tabs>
          <w:tab w:leader="none" w:pos="152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pursuant to the Plan shall be taken into account in determining any benefits under any severance, pension, retirement, savings, profit sharing, group insurance, welfare or other benefit plan of the Company or any Affiliate, except to the extent otherwise expressly provided in writing in such other plan or an agreement thereunder.</w:t>
      </w:r>
    </w:p>
    <w:p>
      <w:pPr>
        <w:spacing w:after="0" w:line="175" w:lineRule="exact"/>
        <w:rPr>
          <w:rFonts w:ascii="Times New Roman" w:cs="Times New Roman" w:eastAsia="Times New Roman" w:hAnsi="Times New Roman"/>
          <w:sz w:val="18"/>
          <w:szCs w:val="18"/>
          <w:color w:val="auto"/>
        </w:rPr>
      </w:pPr>
    </w:p>
    <w:p>
      <w:pPr>
        <w:ind w:right="440" w:firstLine="656"/>
        <w:spacing w:after="0" w:line="282" w:lineRule="auto"/>
        <w:tabs>
          <w:tab w:leader="none" w:pos="153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61" w:lineRule="exact"/>
        <w:rPr>
          <w:rFonts w:ascii="Times New Roman" w:cs="Times New Roman" w:eastAsia="Times New Roman" w:hAnsi="Times New Roman"/>
          <w:sz w:val="18"/>
          <w:szCs w:val="18"/>
          <w:color w:val="auto"/>
        </w:rPr>
      </w:pPr>
    </w:p>
    <w:p>
      <w:pPr>
        <w:ind w:right="80" w:firstLine="656"/>
        <w:spacing w:after="0" w:line="258" w:lineRule="auto"/>
        <w:tabs>
          <w:tab w:leader="none" w:pos="152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the Plan or any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Agreement, such provision shall be stricken as to such jurisdiction, Person or Award, and the remainder of the Plan and any such Award Agreement shall remain in full force and effect.</w:t>
      </w:r>
    </w:p>
    <w:p>
      <w:pPr>
        <w:spacing w:after="0" w:line="183" w:lineRule="exact"/>
        <w:rPr>
          <w:rFonts w:ascii="Times New Roman" w:cs="Times New Roman" w:eastAsia="Times New Roman" w:hAnsi="Times New Roman"/>
          <w:sz w:val="18"/>
          <w:szCs w:val="18"/>
          <w:color w:val="auto"/>
        </w:rPr>
      </w:pPr>
    </w:p>
    <w:p>
      <w:pPr>
        <w:ind w:right="40" w:firstLine="656"/>
        <w:spacing w:after="0" w:line="266" w:lineRule="auto"/>
        <w:tabs>
          <w:tab w:leader="none" w:pos="15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75" w:lineRule="exact"/>
        <w:rPr>
          <w:rFonts w:ascii="Times New Roman" w:cs="Times New Roman" w:eastAsia="Times New Roman" w:hAnsi="Times New Roman"/>
          <w:sz w:val="18"/>
          <w:szCs w:val="18"/>
          <w:color w:val="auto"/>
        </w:rPr>
      </w:pPr>
    </w:p>
    <w:p>
      <w:pPr>
        <w:ind w:firstLine="656"/>
        <w:spacing w:after="0" w:line="258" w:lineRule="auto"/>
        <w:tabs>
          <w:tab w:leader="none" w:pos="153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179" w:lineRule="exact"/>
        <w:rPr>
          <w:sz w:val="20"/>
          <w:szCs w:val="20"/>
          <w:color w:val="auto"/>
        </w:rPr>
      </w:pPr>
    </w:p>
    <w:p>
      <w:pPr>
        <w:ind w:right="100" w:firstLine="656"/>
        <w:spacing w:after="0" w:line="259" w:lineRule="auto"/>
        <w:tabs>
          <w:tab w:leader="none" w:pos="1503"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409A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Awards subject to Section 409A of the Code, the Plan is intended to comply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requirements of Section 409A of the Code, and the provisions of the Plan and any Award Agreement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shall be interpreted and deemed amended so as to avoid this conflict. Notwithstanding anything in the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spacing w:after="0" w:line="253" w:lineRule="auto"/>
        <w:rPr>
          <w:sz w:val="20"/>
          <w:szCs w:val="20"/>
          <w:color w:val="auto"/>
        </w:rPr>
      </w:pPr>
      <w:r>
        <w:rPr>
          <w:rFonts w:ascii="Times New Roman" w:cs="Times New Roman" w:eastAsia="Times New Roman" w:hAnsi="Times New Roman"/>
          <w:sz w:val="18"/>
          <w:szCs w:val="18"/>
          <w:color w:val="auto"/>
        </w:rPr>
        <w:t>Plan to the contrary, if the Committee considers a Participant to be a “specified employee” under Section 409A of the Code at the time of such Participant’s “separation from service” (as defined in Section 409A of the Code), and any amount hereunder is “deferred compensation” subject to Section 409A of the Code, any distribution of such amount that otherwise would be made to such Participant with respect to an Award as a result of such “separation from service” shall not be made until the date that is six months after such “separation from service,” except to the extent that earlier distribution would not result in such Participant’s incurring interest or additional tax under Section 409A of the Code. If an Award includes a “series of installment payments” (within the meaning of Treasury Regulations § 1.409A-2(b)(2)(iii)), a Participant’s right to such series of installment payments shall be treated as a right to a series of separate payments and not as a right to a single payment, and if an Award includes “dividend equivalents” (within the meaning of Treasury Regulations § 1.409A-3(e)), a Participant’s right to such dividend equivalents shall be treated separately from the right to other amounts under the Award. Notwithstanding the foregoing, the tax treatment of the benefits provided under the Plan or any applicable Award Agreement is not warranted or guaranteed, and in no event shall the Company be liable for all or any portion of any taxes, penalties, interest or other expenses that may be incurred by a Participant on account of non-compliance with Section 409A of the Code.</w:t>
      </w:r>
    </w:p>
    <w:p>
      <w:pPr>
        <w:spacing w:after="0" w:line="188" w:lineRule="exact"/>
        <w:rPr>
          <w:sz w:val="20"/>
          <w:szCs w:val="20"/>
          <w:color w:val="auto"/>
        </w:rPr>
      </w:pPr>
    </w:p>
    <w:p>
      <w:pPr>
        <w:ind w:right="220" w:firstLine="656"/>
        <w:spacing w:after="0" w:line="286" w:lineRule="auto"/>
        <w:tabs>
          <w:tab w:leader="none" w:pos="1503"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OF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shall become effective on the Effective Date and shall expire on the tenth anniversary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unless sooner terminated by the Committee.</w:t>
      </w:r>
    </w:p>
    <w:p>
      <w:pPr>
        <w:spacing w:after="0" w:line="154" w:lineRule="exact"/>
        <w:rPr>
          <w:rFonts w:ascii="Times New Roman" w:cs="Times New Roman" w:eastAsia="Times New Roman" w:hAnsi="Times New Roman"/>
          <w:sz w:val="18"/>
          <w:szCs w:val="18"/>
          <w:b w:val="1"/>
          <w:bCs w:val="1"/>
          <w:color w:val="auto"/>
        </w:rPr>
      </w:pPr>
    </w:p>
    <w:p>
      <w:pPr>
        <w:ind w:right="160" w:firstLine="656"/>
        <w:spacing w:after="0" w:line="286" w:lineRule="auto"/>
        <w:tabs>
          <w:tab w:leader="none" w:pos="1503"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and all determinations made and actions taken pursuant to the Plan shall be governed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Pennsylvania law.</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Versant Media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3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24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180" w:type="dxa"/>
            <w:vAlign w:val="bottom"/>
            <w:gridSpan w:val="2"/>
            <w:vMerge w:val="continue"/>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bl>
    <w:p>
      <w:pPr>
        <w:spacing w:after="0" w:line="22"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tabs>
          <w:tab w:leader="none" w:pos="1740" w:val="left"/>
        </w:tabs>
        <w:rPr>
          <w:sz w:val="20"/>
          <w:szCs w:val="20"/>
          <w:color w:val="auto"/>
        </w:rPr>
      </w:pPr>
      <w:r>
        <w:rPr>
          <w:rFonts w:ascii="Times New Roman" w:cs="Times New Roman" w:eastAsia="Times New Roman" w:hAnsi="Times New Roman"/>
          <w:sz w:val="18"/>
          <w:szCs w:val="18"/>
          <w:color w:val="auto"/>
        </w:rPr>
        <w:t>Equity</w:t>
      </w:r>
      <w:r>
        <w:rPr>
          <w:sz w:val="20"/>
          <w:szCs w:val="20"/>
          <w:color w:val="auto"/>
        </w:rPr>
        <w:tab/>
      </w:r>
      <w:r>
        <w:rPr>
          <w:rFonts w:ascii="Times New Roman" w:cs="Times New Roman" w:eastAsia="Times New Roman" w:hAnsi="Times New Roman"/>
          <w:sz w:val="18"/>
          <w:szCs w:val="18"/>
          <w:color w:val="auto"/>
        </w:rPr>
        <w:t>Class A Common Stock, par</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value $0.01 per share</w:t>
      </w:r>
    </w:p>
    <w:p>
      <w:pPr>
        <w:spacing w:after="0" w:line="9"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color w:val="auto"/>
        </w:rPr>
        <w:t>Equity</w:t>
      </w:r>
      <w:r>
        <w:rPr>
          <w:sz w:val="20"/>
          <w:szCs w:val="20"/>
          <w:color w:val="auto"/>
        </w:rPr>
        <w:tab/>
      </w:r>
      <w:r>
        <w:rPr>
          <w:rFonts w:ascii="Times New Roman" w:cs="Times New Roman" w:eastAsia="Times New Roman" w:hAnsi="Times New Roman"/>
          <w:sz w:val="18"/>
          <w:szCs w:val="18"/>
          <w:color w:val="auto"/>
        </w:rPr>
        <w:t>Class A Common Stock, par</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value $0.01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(1)</w:t>
            </w:r>
          </w:p>
        </w:tc>
        <w:tc>
          <w:tcPr>
            <w:tcW w:w="1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635,740,000.00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0.0001381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87,795.69</w:t>
            </w:r>
          </w:p>
        </w:tc>
      </w:tr>
      <w:tr>
        <w:trPr>
          <w:trHeight w:val="432"/>
        </w:trPr>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(2)</w:t>
            </w:r>
          </w:p>
        </w:tc>
        <w:tc>
          <w:tcPr>
            <w:tcW w:w="1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1,561,148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52,236,012.08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0.0001381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7,213.79</w:t>
            </w:r>
          </w:p>
        </w:tc>
      </w:tr>
    </w:tbl>
    <w:p>
      <w:pPr>
        <w:spacing w:after="0" w:line="276" w:lineRule="exact"/>
        <w:rPr>
          <w:sz w:val="20"/>
          <w:szCs w:val="20"/>
          <w:color w:val="auto"/>
        </w:rPr>
      </w:pPr>
    </w:p>
    <w:p>
      <w:pPr>
        <w:sectPr>
          <w:pgSz w:w="11900" w:h="16838" w:orient="portrait"/>
          <w:cols w:equalWidth="0" w:num="2">
            <w:col w:w="3860" w:space="720"/>
            <w:col w:w="6660"/>
          </w:cols>
          <w:pgMar w:left="320" w:top="108" w:right="339" w:bottom="1440" w:gutter="0" w:footer="0" w:header="0"/>
          <w:type w:val="continuous"/>
        </w:sectPr>
      </w:pPr>
    </w:p>
    <w:tbl>
      <w:tblPr>
        <w:tblLayout w:type="fixed"/>
        <w:tblInd w:w="6280" w:type="dxa"/>
        <w:tblCellMar>
          <w:top w:w="0" w:type="dxa"/>
          <w:left w:w="0" w:type="dxa"/>
          <w:bottom w:w="0" w:type="dxa"/>
          <w:right w:w="0" w:type="dxa"/>
        </w:tblCellMar>
      </w:tblPr>
      <w:tr>
        <w:trPr>
          <w:trHeight w:val="211"/>
        </w:trPr>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Total Offering Amounts:</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$ 687,976,012.08</w:t>
            </w:r>
          </w:p>
        </w:tc>
        <w:tc>
          <w:tcPr>
            <w:tcW w:w="9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95,009.48</w:t>
            </w:r>
          </w:p>
        </w:tc>
      </w:tr>
      <w:tr>
        <w:trPr>
          <w:trHeight w:val="234"/>
        </w:trPr>
        <w:tc>
          <w:tcPr>
            <w:tcW w:w="4120" w:type="dxa"/>
            <w:vAlign w:val="bottom"/>
            <w:gridSpan w:val="3"/>
          </w:tcPr>
          <w:p>
            <w:pPr>
              <w:jc w:val="right"/>
              <w:ind w:right="2340"/>
              <w:spacing w:after="0"/>
              <w:rPr>
                <w:sz w:val="20"/>
                <w:szCs w:val="20"/>
                <w:color w:val="auto"/>
              </w:rPr>
            </w:pPr>
            <w:r>
              <w:rPr>
                <w:rFonts w:ascii="Times New Roman" w:cs="Times New Roman" w:eastAsia="Times New Roman" w:hAnsi="Times New Roman"/>
                <w:sz w:val="18"/>
                <w:szCs w:val="18"/>
                <w:color w:val="auto"/>
              </w:rPr>
              <w:t>Total Fee Offsets: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09"/>
        </w:trPr>
        <w:tc>
          <w:tcPr>
            <w:tcW w:w="4120" w:type="dxa"/>
            <w:vAlign w:val="bottom"/>
            <w:gridSpan w:val="3"/>
          </w:tcPr>
          <w:p>
            <w:pPr>
              <w:jc w:val="right"/>
              <w:ind w:right="2340"/>
              <w:spacing w:after="0"/>
              <w:rPr>
                <w:sz w:val="20"/>
                <w:szCs w:val="20"/>
                <w:color w:val="auto"/>
              </w:rPr>
            </w:pPr>
            <w:r>
              <w:rPr>
                <w:rFonts w:ascii="Times New Roman" w:cs="Times New Roman" w:eastAsia="Times New Roman" w:hAnsi="Times New Roman"/>
                <w:sz w:val="18"/>
                <w:szCs w:val="18"/>
                <w:color w:val="auto"/>
              </w:rPr>
              <w:t>Net Fee Due: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$ 95,009.48</w:t>
            </w:r>
          </w:p>
        </w:tc>
      </w:tr>
      <w:tr>
        <w:trPr>
          <w:trHeight w:val="21"/>
        </w:trPr>
        <w:tc>
          <w:tcPr>
            <w:tcW w:w="1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ind w:left="360" w:hanging="292"/>
        <w:spacing w:after="0" w:line="282" w:lineRule="auto"/>
        <w:tabs>
          <w:tab w:leader="none" w:pos="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Consists of 19,000,000 shares of Class A common stock, $0.01 par value per share (“Common Stock”), of Versant Media Group, Inc. (the “Registrant”) authorized for issuance under the Versant Media Group, Inc. Omnibus Equity Incentive Plan (the “Plan”).</w:t>
      </w:r>
    </w:p>
    <w:p>
      <w:pPr>
        <w:spacing w:after="0" w:line="161" w:lineRule="exact"/>
        <w:rPr>
          <w:rFonts w:ascii="Times New Roman" w:cs="Times New Roman" w:eastAsia="Times New Roman" w:hAnsi="Times New Roman"/>
          <w:sz w:val="18"/>
          <w:szCs w:val="18"/>
          <w:color w:val="auto"/>
        </w:rPr>
      </w:pPr>
    </w:p>
    <w:p>
      <w:pPr>
        <w:jc w:val="both"/>
        <w:ind w:left="360" w:hanging="1"/>
        <w:spacing w:after="0" w:line="266" w:lineRule="auto"/>
        <w:tabs>
          <w:tab w:leader="none" w:pos="64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on Form S-8 (the “Registration Statement”) also covers any additional shares of Common Stock that may become issuable under the Plan by reason of any stock dividend, stock split or other similar transaction.</w:t>
      </w:r>
    </w:p>
    <w:p>
      <w:pPr>
        <w:spacing w:after="0" w:line="175" w:lineRule="exact"/>
        <w:rPr>
          <w:rFonts w:ascii="Times New Roman" w:cs="Times New Roman" w:eastAsia="Times New Roman" w:hAnsi="Times New Roman"/>
          <w:sz w:val="18"/>
          <w:szCs w:val="18"/>
          <w:color w:val="auto"/>
        </w:rPr>
      </w:pPr>
    </w:p>
    <w:p>
      <w:pPr>
        <w:jc w:val="both"/>
        <w:ind w:left="360" w:hanging="1"/>
        <w:spacing w:after="0" w:line="266" w:lineRule="auto"/>
        <w:tabs>
          <w:tab w:leader="none" w:pos="60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unit is estimated solely for purposes of calculating the registration fee pursuant to Rule 457(c) and Rule 457(h) under the Securities Act on the basis of the average of the high and low sales prices per share of Common Stock, as reported on The Nasdaq Stock Market LLC on January 8, 2026.</w:t>
      </w:r>
    </w:p>
    <w:p>
      <w:pPr>
        <w:spacing w:after="0" w:line="175" w:lineRule="exact"/>
        <w:rPr>
          <w:rFonts w:ascii="Times New Roman" w:cs="Times New Roman" w:eastAsia="Times New Roman" w:hAnsi="Times New Roman"/>
          <w:sz w:val="18"/>
          <w:szCs w:val="18"/>
          <w:color w:val="auto"/>
        </w:rPr>
      </w:pPr>
    </w:p>
    <w:p>
      <w:pPr>
        <w:ind w:left="620" w:hanging="261"/>
        <w:spacing w:after="0"/>
        <w:tabs>
          <w:tab w:leader="none" w:pos="6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Consists of 1,561,148 shares of Common Stock issuable under the Plan in connection with the Converted Awards (as defined in the Plan).</w:t>
      </w:r>
    </w:p>
    <w:p>
      <w:pPr>
        <w:spacing w:after="0" w:line="225" w:lineRule="exact"/>
        <w:rPr>
          <w:rFonts w:ascii="Times New Roman" w:cs="Times New Roman" w:eastAsia="Times New Roman" w:hAnsi="Times New Roman"/>
          <w:sz w:val="18"/>
          <w:szCs w:val="18"/>
          <w:color w:val="auto"/>
        </w:rPr>
      </w:pPr>
    </w:p>
    <w:p>
      <w:pPr>
        <w:ind w:left="360" w:hanging="1"/>
        <w:spacing w:after="0" w:line="282" w:lineRule="auto"/>
        <w:tabs>
          <w:tab w:leader="none" w:pos="61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this Registration Statement also covers any additional shares of Common Stock that may become issuable under the Plan by reason of any stock dividend, stock split or other similar transaction.</w:t>
      </w:r>
    </w:p>
    <w:p>
      <w:pPr>
        <w:spacing w:after="0" w:line="161" w:lineRule="exact"/>
        <w:rPr>
          <w:rFonts w:ascii="Times New Roman" w:cs="Times New Roman" w:eastAsia="Times New Roman" w:hAnsi="Times New Roman"/>
          <w:sz w:val="18"/>
          <w:szCs w:val="18"/>
          <w:color w:val="auto"/>
        </w:rPr>
      </w:pPr>
    </w:p>
    <w:p>
      <w:pPr>
        <w:jc w:val="both"/>
        <w:ind w:left="360" w:hanging="1"/>
        <w:spacing w:after="0" w:line="266" w:lineRule="auto"/>
        <w:tabs>
          <w:tab w:leader="none" w:pos="60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unit is estimated solely for purposes of calculating the registration fee pursuant to Rule 457(c) and Rule 457(h) under the Securities Act on the basis of the average of the high and low sales prices per share of Common Stock, as reported on The Nasdaq Stock Market LLC on January 8, 2026.</w:t>
      </w:r>
    </w:p>
    <w:p>
      <w:pPr>
        <w:spacing w:after="0" w:line="175" w:lineRule="exact"/>
        <w:rPr>
          <w:rFonts w:ascii="Times New Roman" w:cs="Times New Roman" w:eastAsia="Times New Roman" w:hAnsi="Times New Roman"/>
          <w:sz w:val="18"/>
          <w:szCs w:val="18"/>
          <w:color w:val="auto"/>
        </w:rPr>
      </w:pPr>
    </w:p>
    <w:p>
      <w:pPr>
        <w:ind w:left="620" w:hanging="261"/>
        <w:spacing w:after="0"/>
        <w:tabs>
          <w:tab w:leader="none" w:pos="6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lowerLetter"/>
      <w:start w:val="1"/>
    </w:lvl>
  </w:abstractNum>
  <w:abstractNum w:abstractNumId="1">
    <w:nsid w:val="3804823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77465F01"/>
    <w:multiLevelType w:val="hybridMultilevel"/>
    <w:lvl w:ilvl="0">
      <w:lvlJc w:val="left"/>
      <w:lvlText w:val="%1"/>
      <w:numFmt w:val="lowerLetter"/>
      <w:start w:val="1"/>
    </w:lvl>
    <w:lvl w:ilvl="1">
      <w:lvlJc w:val="left"/>
      <w:lvlText w:val="(%2)"/>
      <w:numFmt w:val="decimal"/>
      <w:start w:val="2"/>
    </w:lvl>
  </w:abstractNum>
  <w:abstractNum w:abstractNumId="3">
    <w:nsid w:val="7724C67E"/>
    <w:multiLevelType w:val="hybridMultilevel"/>
    <w:lvl w:ilvl="0">
      <w:lvlJc w:val="left"/>
      <w:lvlText w:val="(%1)"/>
      <w:numFmt w:val="lowerLetter"/>
      <w:start w:val="2"/>
    </w:lvl>
    <w:lvl w:ilvl="1">
      <w:lvlJc w:val="left"/>
      <w:lvlText w:val="%2"/>
      <w:numFmt w:val="decimal"/>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lowerLetter"/>
      <w:start w:val="1"/>
    </w:lvl>
  </w:abstractNum>
  <w:abstractNum w:abstractNumId="6">
    <w:nsid w:val="5E884ADC"/>
    <w:multiLevelType w:val="hybridMultilevel"/>
    <w:lvl w:ilvl="0">
      <w:lvlJc w:val="left"/>
      <w:lvlText w:val="%1."/>
      <w:numFmt w:val="decimal"/>
      <w:start w:val="2"/>
    </w:lvl>
  </w:abstractNum>
  <w:abstractNum w:abstractNumId="7">
    <w:nsid w:val="51EAD36B"/>
    <w:multiLevelType w:val="hybridMultilevel"/>
    <w:lvl w:ilvl="0">
      <w:lvlJc w:val="left"/>
      <w:lvlText w:val="(%1)"/>
      <w:numFmt w:val="lowerLetter"/>
      <w:start w:val="1"/>
    </w:lvl>
  </w:abstractNum>
  <w:abstractNum w:abstractNumId="8">
    <w:nsid w:val="2D517796"/>
    <w:multiLevelType w:val="hybridMultilevel"/>
    <w:lvl w:ilvl="0">
      <w:lvlJc w:val="left"/>
      <w:lvlText w:val="(%1)"/>
      <w:numFmt w:val="lowerRoman"/>
      <w:start w:val="1"/>
    </w:lvl>
  </w:abstractNum>
  <w:abstractNum w:abstractNumId="9">
    <w:nsid w:val="580BD78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0">
    <w:nsid w:val="153EA438"/>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1">
    <w:nsid w:val="3855585C"/>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12">
    <w:nsid w:val="70A64E2A"/>
    <w:multiLevelType w:val="hybridMultilevel"/>
    <w:lvl w:ilvl="0">
      <w:lvlJc w:val="left"/>
      <w:lvlText w:val="(%1)"/>
      <w:numFmt w:val="lowerLetter"/>
      <w:start w:val="7"/>
    </w:lvl>
  </w:abstractNum>
  <w:abstractNum w:abstractNumId="13">
    <w:nsid w:val="6A2342EC"/>
    <w:multiLevelType w:val="hybridMultilevel"/>
    <w:lvl w:ilvl="0">
      <w:lvlJc w:val="left"/>
      <w:lvlText w:val="(%1)"/>
      <w:numFmt w:val="lowerLetter"/>
      <w:start w:val="18"/>
    </w:lvl>
    <w:lvl w:ilvl="1">
      <w:lvlJc w:val="left"/>
      <w:lvlText w:val="(%2)"/>
      <w:numFmt w:val="lowerRoman"/>
      <w:start w:val="1"/>
    </w:lvl>
  </w:abstractNum>
  <w:abstractNum w:abstractNumId="14">
    <w:nsid w:val="2A487CB0"/>
    <w:multiLevelType w:val="hybridMultilevel"/>
    <w:lvl w:ilvl="0">
      <w:lvlJc w:val="left"/>
      <w:lvlText w:val="(%1)"/>
      <w:numFmt w:val="lowerLetter"/>
      <w:start w:val="26"/>
    </w:lvl>
  </w:abstractNum>
  <w:abstractNum w:abstractNumId="15">
    <w:nsid w:val="1D4ED43B"/>
    <w:multiLevelType w:val="hybridMultilevel"/>
    <w:lvl w:ilvl="0">
      <w:lvlJc w:val="left"/>
      <w:lvlText w:val="(%1)"/>
      <w:numFmt w:val="lowerLetter"/>
      <w:start w:val="27"/>
    </w:lvl>
  </w:abstractNum>
  <w:abstractNum w:abstractNumId="16">
    <w:nsid w:val="725A06FB"/>
    <w:multiLevelType w:val="hybridMultilevel"/>
    <w:lvl w:ilvl="0">
      <w:lvlJc w:val="left"/>
      <w:lvlText w:val="(%1)"/>
      <w:numFmt w:val="lowerLetter"/>
      <w:start w:val="38"/>
    </w:lvl>
    <w:lvl w:ilvl="1">
      <w:lvlJc w:val="left"/>
      <w:lvlText w:val="(%2)"/>
      <w:numFmt w:val="lowerRoman"/>
      <w:start w:val="1"/>
    </w:lvl>
  </w:abstractNum>
  <w:abstractNum w:abstractNumId="17">
    <w:nsid w:val="2CD89A32"/>
    <w:multiLevelType w:val="hybridMultilevel"/>
    <w:lvl w:ilvl="0">
      <w:lvlJc w:val="left"/>
      <w:lvlText w:val="(%1)"/>
      <w:numFmt w:val="lowerLetter"/>
      <w:start w:val="39"/>
    </w:lvl>
  </w:abstractNum>
  <w:abstractNum w:abstractNumId="18">
    <w:nsid w:val="57E4CCAF"/>
    <w:multiLevelType w:val="hybridMultilevel"/>
    <w:lvl w:ilvl="0">
      <w:lvlJc w:val="left"/>
      <w:lvlText w:val="%1."/>
      <w:numFmt w:val="decimal"/>
      <w:start w:val="3"/>
    </w:lvl>
  </w:abstractNum>
  <w:abstractNum w:abstractNumId="19">
    <w:nsid w:val="7A6D8D3C"/>
    <w:multiLevelType w:val="hybridMultilevel"/>
    <w:lvl w:ilvl="0">
      <w:lvlJc w:val="left"/>
      <w:lvlText w:val="(%1)"/>
      <w:numFmt w:val="lowerLetter"/>
      <w:start w:val="1"/>
    </w:lvl>
  </w:abstractNum>
  <w:abstractNum w:abstractNumId="20">
    <w:nsid w:val="4B588F54"/>
    <w:multiLevelType w:val="hybridMultilevel"/>
    <w:lvl w:ilvl="0">
      <w:lvlJc w:val="left"/>
      <w:lvlText w:val="(%1)"/>
      <w:numFmt w:val="lowerLetter"/>
      <w:start w:val="2"/>
    </w:lvl>
  </w:abstractNum>
  <w:abstractNum w:abstractNumId="21">
    <w:nsid w:val="542289EC"/>
    <w:multiLevelType w:val="hybridMultilevel"/>
    <w:lvl w:ilvl="0">
      <w:lvlJc w:val="left"/>
      <w:lvlText w:val="%1."/>
      <w:numFmt w:val="decimal"/>
      <w:start w:val="4"/>
    </w:lvl>
  </w:abstractNum>
  <w:abstractNum w:abstractNumId="22">
    <w:nsid w:val="6DE91B18"/>
    <w:multiLevelType w:val="hybridMultilevel"/>
    <w:lvl w:ilvl="0">
      <w:lvlJc w:val="left"/>
      <w:lvlText w:val="(%1)"/>
      <w:numFmt w:val="lowerLetter"/>
      <w:start w:val="1"/>
    </w:lvl>
    <w:lvl w:ilvl="1">
      <w:lvlJc w:val="left"/>
      <w:lvlText w:val="(%2)"/>
      <w:numFmt w:val="lowerRoman"/>
      <w:start w:val="1"/>
    </w:lvl>
  </w:abstractNum>
  <w:abstractNum w:abstractNumId="23">
    <w:nsid w:val="38437FDB"/>
    <w:multiLevelType w:val="hybridMultilevel"/>
    <w:lvl w:ilvl="0">
      <w:lvlJc w:val="left"/>
      <w:lvlText w:val="%1."/>
      <w:numFmt w:val="decimal"/>
      <w:start w:val="5"/>
    </w:lvl>
  </w:abstractNum>
  <w:abstractNum w:abstractNumId="24">
    <w:nsid w:val="7644A45C"/>
    <w:multiLevelType w:val="hybridMultilevel"/>
    <w:lvl w:ilvl="0">
      <w:lvlJc w:val="left"/>
      <w:lvlText w:val="(%1)"/>
      <w:numFmt w:val="lowerLetter"/>
      <w:start w:val="1"/>
    </w:lvl>
    <w:lvl w:ilvl="1">
      <w:lvlJc w:val="left"/>
      <w:lvlText w:val="(%2)"/>
      <w:numFmt w:val="lowerRoman"/>
      <w:start w:val="1"/>
    </w:lvl>
  </w:abstractNum>
  <w:abstractNum w:abstractNumId="25">
    <w:nsid w:val="32FFF902"/>
    <w:multiLevelType w:val="hybridMultilevel"/>
    <w:lvl w:ilvl="0">
      <w:lvlJc w:val="left"/>
      <w:lvlText w:val="(%1)"/>
      <w:numFmt w:val="lowerRoman"/>
      <w:start w:val="10"/>
    </w:lvl>
  </w:abstractNum>
  <w:abstractNum w:abstractNumId="26">
    <w:nsid w:val="684A481A"/>
    <w:multiLevelType w:val="hybridMultilevel"/>
    <w:lvl w:ilvl="0">
      <w:lvlJc w:val="left"/>
      <w:lvlText w:val="(%1)"/>
      <w:numFmt w:val="lowerLetter"/>
      <w:start w:val="3"/>
    </w:lvl>
    <w:lvl w:ilvl="1">
      <w:lvlJc w:val="left"/>
      <w:lvlText w:val="(%2)"/>
      <w:numFmt w:val="lowerRoman"/>
      <w:start w:val="1"/>
    </w:lvl>
  </w:abstractNum>
  <w:abstractNum w:abstractNumId="27">
    <w:nsid w:val="579478FE"/>
    <w:multiLevelType w:val="hybridMultilevel"/>
    <w:lvl w:ilvl="0">
      <w:lvlJc w:val="left"/>
      <w:lvlText w:val="%1."/>
      <w:numFmt w:val="decimal"/>
      <w:start w:val="6"/>
    </w:lvl>
  </w:abstractNum>
  <w:abstractNum w:abstractNumId="28">
    <w:nsid w:val="749ABB43"/>
    <w:multiLevelType w:val="hybridMultilevel"/>
    <w:lvl w:ilvl="0">
      <w:lvlJc w:val="left"/>
      <w:lvlText w:val="(%1)"/>
      <w:numFmt w:val="lowerLetter"/>
      <w:start w:val="1"/>
    </w:lvl>
  </w:abstractNum>
  <w:abstractNum w:abstractNumId="29">
    <w:nsid w:val="3DC240FB"/>
    <w:multiLevelType w:val="hybridMultilevel"/>
    <w:lvl w:ilvl="0">
      <w:lvlJc w:val="left"/>
      <w:lvlText w:val="(%1)"/>
      <w:numFmt w:val="lowerLetter"/>
      <w:start w:val="3"/>
    </w:lvl>
  </w:abstractNum>
  <w:abstractNum w:abstractNumId="30">
    <w:nsid w:val="1BA026FA"/>
    <w:multiLevelType w:val="hybridMultilevel"/>
    <w:lvl w:ilvl="0">
      <w:lvlJc w:val="left"/>
      <w:lvlText w:val="%1."/>
      <w:numFmt w:val="decimal"/>
      <w:start w:val="7"/>
    </w:lvl>
  </w:abstractNum>
  <w:abstractNum w:abstractNumId="31">
    <w:nsid w:val="79A1DEAA"/>
    <w:multiLevelType w:val="hybridMultilevel"/>
    <w:lvl w:ilvl="0">
      <w:lvlJc w:val="left"/>
      <w:lvlText w:val="(%1)"/>
      <w:numFmt w:val="lowerLetter"/>
      <w:start w:val="1"/>
    </w:lvl>
  </w:abstractNum>
  <w:abstractNum w:abstractNumId="32">
    <w:nsid w:val="75C6C33A"/>
    <w:multiLevelType w:val="hybridMultilevel"/>
    <w:lvl w:ilvl="0">
      <w:lvlJc w:val="left"/>
      <w:lvlText w:val="(%1)"/>
      <w:numFmt w:val="lowerLetter"/>
      <w:start w:val="4"/>
    </w:lvl>
  </w:abstractNum>
  <w:abstractNum w:abstractNumId="33">
    <w:nsid w:val="12E685FB"/>
    <w:multiLevelType w:val="hybridMultilevel"/>
    <w:lvl w:ilvl="0">
      <w:lvlJc w:val="left"/>
      <w:lvlText w:val="%1."/>
      <w:numFmt w:val="decimal"/>
      <w:start w:val="8"/>
    </w:lvl>
  </w:abstractNum>
  <w:abstractNum w:abstractNumId="34">
    <w:nsid w:val="70C6A529"/>
    <w:multiLevelType w:val="hybridMultilevel"/>
    <w:lvl w:ilvl="0">
      <w:lvlJc w:val="left"/>
      <w:lvlText w:val="(%1)"/>
      <w:numFmt w:val="lowerLetter"/>
      <w:start w:val="1"/>
    </w:lvl>
  </w:abstractNum>
  <w:abstractNum w:abstractNumId="35">
    <w:nsid w:val="520EEDD1"/>
    <w:multiLevelType w:val="hybridMultilevel"/>
    <w:lvl w:ilvl="0">
      <w:lvlJc w:val="left"/>
      <w:lvlText w:val="%1."/>
      <w:numFmt w:val="decimal"/>
      <w:start w:val="9"/>
    </w:lvl>
  </w:abstractNum>
  <w:abstractNum w:abstractNumId="36">
    <w:nsid w:val="374A3FE6"/>
    <w:multiLevelType w:val="hybridMultilevel"/>
    <w:lvl w:ilvl="0">
      <w:lvlJc w:val="left"/>
      <w:lvlText w:val="(%1)"/>
      <w:numFmt w:val="lowerLetter"/>
      <w:start w:val="1"/>
    </w:lvl>
    <w:lvl w:ilvl="1">
      <w:lvlJc w:val="left"/>
      <w:lvlText w:val="(%2)"/>
      <w:numFmt w:val="lowerRoman"/>
      <w:start w:val="1"/>
    </w:lvl>
  </w:abstractNum>
  <w:abstractNum w:abstractNumId="37">
    <w:nsid w:val="4F4EF005"/>
    <w:multiLevelType w:val="hybridMultilevel"/>
    <w:lvl w:ilvl="0">
      <w:lvlJc w:val="left"/>
      <w:lvlText w:val="%1"/>
      <w:numFmt w:val="lowerLetter"/>
      <w:start w:val="1"/>
    </w:lvl>
    <w:lvl w:ilvl="1">
      <w:lvlJc w:val="left"/>
      <w:lvlText w:val="(%2)"/>
      <w:numFmt w:val="lowerRoman"/>
      <w:start w:val="4"/>
    </w:lvl>
  </w:abstractNum>
  <w:abstractNum w:abstractNumId="38">
    <w:nsid w:val="23F9C13C"/>
    <w:multiLevelType w:val="hybridMultilevel"/>
    <w:lvl w:ilvl="0">
      <w:lvlJc w:val="left"/>
      <w:lvlText w:val="(%1)"/>
      <w:numFmt w:val="lowerLetter"/>
      <w:start w:val="3"/>
    </w:lvl>
    <w:lvl w:ilvl="1">
      <w:lvlJc w:val="left"/>
      <w:lvlText w:val="(%2)"/>
      <w:numFmt w:val="lowerRoman"/>
      <w:start w:val="1"/>
    </w:lvl>
  </w:abstractNum>
  <w:abstractNum w:abstractNumId="39">
    <w:nsid w:val="649BB77C"/>
    <w:multiLevelType w:val="hybridMultilevel"/>
    <w:lvl w:ilvl="0">
      <w:lvlJc w:val="left"/>
      <w:lvlText w:val="(%1)"/>
      <w:numFmt w:val="lowerRoman"/>
      <w:start w:val="4"/>
    </w:lvl>
  </w:abstractNum>
  <w:abstractNum w:abstractNumId="40">
    <w:nsid w:val="275AC79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41">
    <w:nsid w:val="39386575"/>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42">
    <w:nsid w:val="1CF10FD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43">
    <w:nsid w:val="180115BE"/>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44">
    <w:nsid w:val="235BA861"/>
    <w:multiLevelType w:val="hybridMultilevel"/>
    <w:lvl w:ilvl="0">
      <w:lvlJc w:val="left"/>
      <w:lvlText w:val="(%1)"/>
      <w:numFmt w:val="lowerLetter"/>
      <w:start w:val="8"/>
    </w:lvl>
    <w:lvl w:ilvl="1">
      <w:lvlJc w:val="left"/>
      <w:lvlText w:val="%2"/>
      <w:numFmt w:val="lowerLetter"/>
      <w:start w:val="1"/>
    </w:lvl>
    <w:lvl w:ilvl="2">
      <w:lvlJc w:val="left"/>
      <w:lvlText w:val="%3"/>
      <w:numFmt w:val="upperLetter"/>
      <w:start w:val="1"/>
    </w:lvl>
  </w:abstractNum>
  <w:abstractNum w:abstractNumId="45">
    <w:nsid w:val="47398C89"/>
    <w:multiLevelType w:val="hybridMultilevel"/>
    <w:lvl w:ilvl="0">
      <w:lvlJc w:val="left"/>
      <w:lvlText w:val="%1."/>
      <w:numFmt w:val="decimal"/>
      <w:start w:val="10"/>
    </w:lvl>
  </w:abstractNum>
  <w:abstractNum w:abstractNumId="46">
    <w:nsid w:val="354FE9F9"/>
    <w:multiLevelType w:val="hybridMultilevel"/>
    <w:lvl w:ilvl="0">
      <w:lvlJc w:val="left"/>
      <w:lvlText w:val="(%1)"/>
      <w:numFmt w:val="lowerLetter"/>
      <w:start w:val="1"/>
    </w:lvl>
  </w:abstractNum>
  <w:abstractNum w:abstractNumId="47">
    <w:nsid w:val="15B5AF5C"/>
    <w:multiLevelType w:val="hybridMultilevel"/>
    <w:lvl w:ilvl="0">
      <w:lvlJc w:val="left"/>
      <w:lvlText w:val="%1."/>
      <w:numFmt w:val="decimal"/>
      <w:start w:val="11"/>
    </w:lvl>
  </w:abstractNum>
  <w:abstractNum w:abstractNumId="48">
    <w:nsid w:val="741226BB"/>
    <w:multiLevelType w:val="hybridMultilevel"/>
    <w:lvl w:ilvl="0">
      <w:lvlJc w:val="left"/>
      <w:lvlText w:val="%1."/>
      <w:numFmt w:val="decimal"/>
      <w:start w:val="12"/>
    </w:lvl>
  </w:abstractNum>
  <w:abstractNum w:abstractNumId="49">
    <w:nsid w:val="D34B6A8"/>
    <w:multiLevelType w:val="hybridMultilevel"/>
    <w:lvl w:ilvl="0">
      <w:lvlJc w:val="left"/>
      <w:lvlText w:val="(%1)"/>
      <w:numFmt w:val="lowerLetter"/>
      <w:start w:val="1"/>
    </w:lvl>
  </w:abstractNum>
  <w:abstractNum w:abstractNumId="50">
    <w:nsid w:val="10233C99"/>
    <w:multiLevelType w:val="hybridMultilevel"/>
    <w:lvl w:ilvl="0">
      <w:lvlJc w:val="left"/>
      <w:lvlText w:val="(%1)"/>
      <w:numFmt w:val="lowerLetter"/>
      <w:start w:val="2"/>
    </w:lvl>
    <w:lvl w:ilvl="1">
      <w:lvlJc w:val="left"/>
      <w:lvlText w:val="(%2)"/>
      <w:numFmt w:val="lowerRoman"/>
      <w:start w:val="1"/>
    </w:lvl>
  </w:abstractNum>
  <w:abstractNum w:abstractNumId="51">
    <w:nsid w:val="3F6AB60F"/>
    <w:multiLevelType w:val="hybridMultilevel"/>
    <w:lvl w:ilvl="0">
      <w:lvlJc w:val="left"/>
      <w:lvlText w:val="(%1)"/>
      <w:numFmt w:val="lowerRoman"/>
      <w:start w:val="3"/>
    </w:lvl>
  </w:abstractNum>
  <w:abstractNum w:abstractNumId="52">
    <w:nsid w:val="61574095"/>
    <w:multiLevelType w:val="hybridMultilevel"/>
    <w:lvl w:ilvl="0">
      <w:lvlJc w:val="left"/>
      <w:lvlText w:val="(%1)"/>
      <w:numFmt w:val="lowerLetter"/>
      <w:start w:val="4"/>
    </w:lvl>
  </w:abstractNum>
  <w:abstractNum w:abstractNumId="53">
    <w:nsid w:val="7E0C57B1"/>
    <w:multiLevelType w:val="hybridMultilevel"/>
    <w:lvl w:ilvl="0">
      <w:lvlJc w:val="left"/>
      <w:lvlText w:val="%1."/>
      <w:numFmt w:val="decimal"/>
      <w:start w:val="13"/>
    </w:lvl>
  </w:abstractNum>
  <w:abstractNum w:abstractNumId="54">
    <w:nsid w:val="77AE35EB"/>
    <w:multiLevelType w:val="hybridMultilevel"/>
    <w:lvl w:ilvl="0">
      <w:lvlJc w:val="left"/>
      <w:lvlText w:val="(%1)"/>
      <w:numFmt w:val="lowerLetter"/>
      <w:start w:val="1"/>
    </w:lvl>
  </w:abstractNum>
  <w:abstractNum w:abstractNumId="55">
    <w:nsid w:val="579BE4F1"/>
    <w:multiLevelType w:val="hybridMultilevel"/>
    <w:lvl w:ilvl="0">
      <w:lvlJc w:val="left"/>
      <w:lvlText w:val="%1."/>
      <w:numFmt w:val="decimal"/>
      <w:start w:val="14"/>
    </w:lvl>
  </w:abstractNum>
  <w:abstractNum w:abstractNumId="56">
    <w:nsid w:val="310C50B3"/>
    <w:multiLevelType w:val="hybridMultilevel"/>
    <w:lvl w:ilvl="0">
      <w:lvlJc w:val="left"/>
      <w:lvlText w:val="(%1)"/>
      <w:numFmt w:val="lowerLetter"/>
      <w:start w:val="1"/>
    </w:lvl>
  </w:abstractNum>
  <w:abstractNum w:abstractNumId="57">
    <w:nsid w:val="5FF87E05"/>
    <w:multiLevelType w:val="hybridMultilevel"/>
    <w:lvl w:ilvl="0">
      <w:lvlJc w:val="left"/>
      <w:lvlText w:val="(%1)"/>
      <w:numFmt w:val="lowerLetter"/>
      <w:start w:val="4"/>
    </w:lvl>
  </w:abstractNum>
  <w:abstractNum w:abstractNumId="58">
    <w:nsid w:val="2F305DEF"/>
    <w:multiLevelType w:val="hybridMultilevel"/>
    <w:lvl w:ilvl="0">
      <w:lvlJc w:val="left"/>
      <w:lvlText w:val="%1."/>
      <w:numFmt w:val="decimal"/>
      <w:start w:val="15"/>
    </w:lvl>
  </w:abstractNum>
  <w:abstractNum w:abstractNumId="59">
    <w:nsid w:val="25A70BF7"/>
    <w:multiLevelType w:val="hybridMultilevel"/>
    <w:lvl w:ilvl="0">
      <w:lvlJc w:val="left"/>
      <w:lvlText w:val="(%1)"/>
      <w:numFmt w:val="lowerLetter"/>
      <w:start w:val="1"/>
    </w:lvl>
  </w:abstractNum>
  <w:abstractNum w:abstractNumId="60">
    <w:nsid w:val="1DBABF00"/>
    <w:multiLevelType w:val="hybridMultilevel"/>
    <w:lvl w:ilvl="0">
      <w:lvlJc w:val="left"/>
      <w:lvlText w:val="(%1)"/>
      <w:numFmt w:val="lowerLetter"/>
      <w:start w:val="2"/>
    </w:lvl>
    <w:lvl w:ilvl="1">
      <w:lvlJc w:val="left"/>
      <w:lvlText w:val="(%2)"/>
      <w:numFmt w:val="lowerRoman"/>
      <w:start w:val="1"/>
    </w:lvl>
  </w:abstractNum>
  <w:abstractNum w:abstractNumId="61">
    <w:nsid w:val="4AD084E9"/>
    <w:multiLevelType w:val="hybridMultilevel"/>
    <w:lvl w:ilvl="0">
      <w:lvlJc w:val="left"/>
      <w:lvlText w:val="%1."/>
      <w:numFmt w:val="decimal"/>
      <w:start w:val="17"/>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1"/>
      <w:numFmt w:val="lowerLetter"/>
      <w:start w:val="1"/>
    </w:lvl>
    <w:lvl w:ilvl="1">
      <w:lvlJc w:val="left"/>
      <w:lvlText w:val="(%2)"/>
      <w:numFmt w:val="lowerLetter"/>
      <w:start w:val="2"/>
    </w:lvl>
  </w:abstractNum>
  <w:abstractNum w:abstractNumId="64">
    <w:nsid w:val="5DB70AE5"/>
    <w:multiLevelType w:val="hybridMultilevel"/>
    <w:lvl w:ilvl="0">
      <w:lvlJc w:val="left"/>
      <w:lvlText w:val="(%1)"/>
      <w:numFmt w:val="lowerLetter"/>
      <w:start w:val="25"/>
    </w:lvl>
    <w:lvl w:ilvl="1">
      <w:lvlJc w:val="left"/>
      <w:lvlText w:val="(%2)"/>
      <w:numFmt w:val="lowerLetter"/>
      <w:start w:val="3"/>
    </w:lvl>
  </w:abstractNum>
  <w:abstractNum w:abstractNumId="65">
    <w:nsid w:val="100F8FCA"/>
    <w:multiLevelType w:val="hybridMultilevel"/>
    <w:lvl w:ilvl="0">
      <w:lvlJc w:val="left"/>
      <w:lvlText w:val="%1."/>
      <w:numFmt w:val="decimal"/>
      <w:start w:val="18"/>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lowerLetter"/>
      <w:start w:val="2"/>
    </w:lvl>
  </w:abstractNum>
  <w:abstractNum w:abstractNumId="68">
    <w:nsid w:val="5F5E7FD0"/>
    <w:multiLevelType w:val="hybridMultilevel"/>
    <w:lvl w:ilvl="0">
      <w:lvlJc w:val="left"/>
      <w:lvlText w:val="%1."/>
      <w:numFmt w:val="decimal"/>
      <w:start w:val="19"/>
    </w:lvl>
  </w:abstractNum>
  <w:abstractNum w:abstractNumId="69">
    <w:nsid w:val="98A3148"/>
    <w:multiLevelType w:val="hybridMultilevel"/>
    <w:lvl w:ilvl="0">
      <w:lvlJc w:val="left"/>
      <w:lvlText w:val="%1."/>
      <w:numFmt w:val="decimal"/>
      <w:start w:val="20"/>
    </w:lvl>
  </w:abstractNum>
  <w:abstractNum w:abstractNumId="70">
    <w:nsid w:val="799D0247"/>
    <w:multiLevelType w:val="hybridMultilevel"/>
    <w:lvl w:ilvl="0">
      <w:lvlJc w:val="left"/>
      <w:lvlText w:val="(%1)"/>
      <w:numFmt w:val="decimal"/>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9" Type="http://schemas.openxmlformats.org/officeDocument/2006/relationships/hyperlink" Target="https://www.sec.gov/Archives/edgar/data/2067876/000119312525207527/d894612d1012b.htm" TargetMode="External"/><Relationship Id="rId10" Type="http://schemas.openxmlformats.org/officeDocument/2006/relationships/hyperlink" Target="https://www.sec.gov/Archives/edgar/data/2067876/000119312525306792/d894612dex991.htm#tx894612_16" TargetMode="External"/><Relationship Id="rId11" Type="http://schemas.openxmlformats.org/officeDocument/2006/relationships/hyperlink" Target="https://www.sec.gov/ix?doc=/Archives/edgar/data/2067876/000095010326000080/dp239186_8k.htm" TargetMode="External"/><Relationship Id="rId12" Type="http://schemas.openxmlformats.org/officeDocument/2006/relationships/hyperlink" Target="https://www.sec.gov/ix?doc=/Archives/edgar/data/2067876/000095010326000204/dp239578_8k.htm" TargetMode="External"/><Relationship Id="rId17" Type="http://schemas.openxmlformats.org/officeDocument/2006/relationships/hyperlink" Target="http://www.sec.gov/Archives/edgar/data/2067876/000095010326000080/dp239186_ex0301.htm" TargetMode="External"/><Relationship Id="rId18" Type="http://schemas.openxmlformats.org/officeDocument/2006/relationships/hyperlink" Target="http://www.sec.gov/Archives/edgar/data/2067876/000095010326000204/dp239578_ex03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2026-01-09T18:45:37Z</dcterms:created>
  <dcterms:modified xsi:type="dcterms:W3CDTF">2026-01-09T18:45:37Z</dcterms:modified>
</cp:coreProperties>
</file>