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5612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561205"/>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Mahoney William Scott</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2300" w:type="dxa"/>
            <w:vAlign w:val="bottom"/>
            <w:tcBorders>
              <w:top w:val="single" w:sz="8" w:color="0000EE"/>
              <w:bottom w:val="single" w:sz="8" w:color="9A9A9A"/>
            </w:tcBorders>
          </w:tcPr>
          <w:p>
            <w:pPr>
              <w:spacing w:after="0"/>
              <w:rPr>
                <w:sz w:val="17"/>
                <w:szCs w:val="17"/>
                <w:color w:val="auto"/>
              </w:rPr>
            </w:pPr>
          </w:p>
        </w:tc>
        <w:tc>
          <w:tcPr>
            <w:tcW w:w="76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01/02/2026</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3"/>
          <w:szCs w:val="23"/>
          <w:color w:val="0000EE"/>
        </w:rPr>
      </w:pPr>
      <w:hyperlink r:id="rId11">
        <w:r>
          <w:rPr>
            <w:rFonts w:ascii="Times New Roman" w:cs="Times New Roman" w:eastAsia="Times New Roman" w:hAnsi="Times New Roman"/>
            <w:sz w:val="23"/>
            <w:szCs w:val="23"/>
            <w:u w:val="single" w:color="auto"/>
            <w:color w:val="0000EE"/>
          </w:rPr>
          <w:t>Versant Media Group, Inc.</w:t>
        </w:r>
        <w:r>
          <w:rPr>
            <w:rFonts w:ascii="Times New Roman" w:cs="Times New Roman" w:eastAsia="Times New Roman" w:hAnsi="Times New Roman"/>
            <w:sz w:val="23"/>
            <w:szCs w:val="23"/>
            <w:color w:val="0000EE"/>
          </w:rPr>
          <w:t xml:space="preserve"> </w:t>
        </w:r>
      </w:hyperlink>
      <w:r>
        <w:rPr>
          <w:rFonts w:ascii="Times New Roman" w:cs="Times New Roman" w:eastAsia="Times New Roman" w:hAnsi="Times New Roman"/>
          <w:sz w:val="23"/>
          <w:szCs w:val="23"/>
          <w:color w:val="000000"/>
        </w:rPr>
        <w:t>[</w:t>
      </w:r>
      <w:r>
        <w:rPr>
          <w:rFonts w:ascii="Times New Roman" w:cs="Times New Roman" w:eastAsia="Times New Roman" w:hAnsi="Times New Roman"/>
          <w:sz w:val="23"/>
          <w:szCs w:val="23"/>
          <w:color w:val="0000EE"/>
        </w:rPr>
        <w:t xml:space="preserve"> </w:t>
      </w:r>
      <w:r>
        <w:rPr>
          <w:rFonts w:ascii="Times New Roman" w:cs="Times New Roman" w:eastAsia="Times New Roman" w:hAnsi="Times New Roman"/>
          <w:sz w:val="18"/>
          <w:szCs w:val="18"/>
          <w:color w:val="0000FF"/>
        </w:rPr>
        <w:t>VSNT</w:t>
      </w:r>
      <w:r>
        <w:rPr>
          <w:rFonts w:ascii="Times New Roman" w:cs="Times New Roman" w:eastAsia="Times New Roman" w:hAnsi="Times New Roman"/>
          <w:sz w:val="23"/>
          <w:szCs w:val="23"/>
          <w:color w:val="0000EE"/>
        </w:rPr>
        <w:t xml:space="preserve"> </w:t>
      </w:r>
      <w:r>
        <w:rPr>
          <w:rFonts w:ascii="Times New Roman" w:cs="Times New Roman" w:eastAsia="Times New Roman" w:hAnsi="Times New Roman"/>
          <w:sz w:val="23"/>
          <w:szCs w:val="23"/>
          <w:color w:val="000000"/>
        </w:rPr>
        <w:t>]</w:t>
      </w:r>
    </w:p>
    <w:p>
      <w:pPr>
        <w:spacing w:after="0" w:line="444"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82" w:lineRule="exact"/>
        <w:rPr>
          <w:sz w:val="24"/>
          <w:szCs w:val="24"/>
          <w:color w:val="auto"/>
        </w:rPr>
      </w:pPr>
    </w:p>
    <w:p>
      <w:pPr>
        <w:ind w:left="140" w:right="1437"/>
        <w:spacing w:after="0" w:line="275" w:lineRule="auto"/>
        <w:rPr>
          <w:sz w:val="20"/>
          <w:szCs w:val="20"/>
          <w:color w:val="auto"/>
        </w:rPr>
      </w:pPr>
      <w:r>
        <w:rPr>
          <w:rFonts w:ascii="Times New Roman" w:cs="Times New Roman" w:eastAsia="Times New Roman" w:hAnsi="Times New Roman"/>
          <w:sz w:val="20"/>
          <w:szCs w:val="20"/>
          <w:color w:val="0000FF"/>
        </w:rPr>
        <w:t>C/O VERSANT MEDIA GROUP, INC.</w:t>
      </w:r>
    </w:p>
    <w:p>
      <w:pPr>
        <w:spacing w:after="0" w:line="13"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900 SYLVAN AVENUE</w:t>
      </w:r>
    </w:p>
    <w:p>
      <w:pPr>
        <w:spacing w:after="0" w:line="326"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1320" w:type="dxa"/>
            <w:vAlign w:val="bottom"/>
          </w:tcPr>
          <w:p>
            <w:pPr>
              <w:spacing w:after="0"/>
              <w:rPr>
                <w:sz w:val="20"/>
                <w:szCs w:val="20"/>
                <w:color w:val="auto"/>
              </w:rPr>
            </w:pPr>
            <w:r>
              <w:rPr>
                <w:rFonts w:ascii="Arial" w:cs="Arial" w:eastAsia="Arial" w:hAnsi="Arial"/>
                <w:sz w:val="15"/>
                <w:szCs w:val="15"/>
                <w:color w:val="auto"/>
              </w:rPr>
              <w:t>(Street)</w:t>
            </w:r>
          </w:p>
        </w:tc>
        <w:tc>
          <w:tcPr>
            <w:tcW w:w="56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327"/>
        </w:trPr>
        <w:tc>
          <w:tcPr>
            <w:tcW w:w="1320" w:type="dxa"/>
            <w:vAlign w:val="bottom"/>
          </w:tcPr>
          <w:p>
            <w:pPr>
              <w:ind w:left="40"/>
              <w:spacing w:after="0"/>
              <w:rPr>
                <w:sz w:val="20"/>
                <w:szCs w:val="20"/>
                <w:color w:val="auto"/>
              </w:rPr>
            </w:pPr>
            <w:r>
              <w:rPr>
                <w:rFonts w:ascii="Times New Roman" w:cs="Times New Roman" w:eastAsia="Times New Roman" w:hAnsi="Times New Roman"/>
                <w:sz w:val="20"/>
                <w:szCs w:val="20"/>
                <w:color w:val="0000FF"/>
                <w:w w:val="98"/>
              </w:rPr>
              <w:t>ENGLEWOOD</w:t>
            </w:r>
          </w:p>
        </w:tc>
        <w:tc>
          <w:tcPr>
            <w:tcW w:w="56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NJ</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0000FF"/>
              </w:rPr>
              <w:t>07632</w:t>
            </w:r>
          </w:p>
        </w:tc>
      </w:tr>
      <w:tr>
        <w:trPr>
          <w:trHeight w:val="254"/>
        </w:trPr>
        <w:tc>
          <w:tcPr>
            <w:tcW w:w="132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CLIFFS</w:t>
            </w:r>
          </w:p>
        </w:tc>
        <w:tc>
          <w:tcPr>
            <w:tcW w:w="560" w:type="dxa"/>
            <w:vAlign w:val="bottom"/>
          </w:tcPr>
          <w:p>
            <w:pPr>
              <w:spacing w:after="0"/>
              <w:rPr>
                <w:sz w:val="22"/>
                <w:szCs w:val="22"/>
                <w:color w:val="auto"/>
              </w:rPr>
            </w:pPr>
          </w:p>
        </w:tc>
        <w:tc>
          <w:tcPr>
            <w:tcW w:w="800" w:type="dxa"/>
            <w:vAlign w:val="bottom"/>
          </w:tcPr>
          <w:p>
            <w:pPr>
              <w:spacing w:after="0"/>
              <w:rPr>
                <w:sz w:val="22"/>
                <w:szCs w:val="22"/>
                <w:color w:val="auto"/>
              </w:rPr>
            </w:pP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5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8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55"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434" w:lineRule="exact"/>
        <w:rPr>
          <w:sz w:val="24"/>
          <w:szCs w:val="24"/>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spacing w:after="0" w:line="72"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6"/>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69"/>
        </w:trPr>
        <w:tc>
          <w:tcPr>
            <w:tcW w:w="20" w:type="dxa"/>
            <w:vAlign w:val="bottom"/>
            <w:tcBorders>
              <w:bottom w:val="single" w:sz="8" w:color="2C2C2C"/>
            </w:tcBorders>
          </w:tcPr>
          <w:p>
            <w:pPr>
              <w:spacing w:after="0"/>
              <w:rPr>
                <w:sz w:val="5"/>
                <w:szCs w:val="5"/>
                <w:color w:val="auto"/>
              </w:rPr>
            </w:pPr>
          </w:p>
        </w:tc>
        <w:tc>
          <w:tcPr>
            <w:tcW w:w="3420" w:type="dxa"/>
            <w:vAlign w:val="bottom"/>
            <w:tcBorders>
              <w:bottom w:val="single" w:sz="8" w:color="2C2C2C"/>
            </w:tcBorders>
          </w:tcPr>
          <w:p>
            <w:pPr>
              <w:spacing w:after="0"/>
              <w:rPr>
                <w:sz w:val="5"/>
                <w:szCs w:val="5"/>
                <w:color w:val="auto"/>
              </w:rPr>
            </w:pPr>
          </w:p>
        </w:tc>
        <w:tc>
          <w:tcPr>
            <w:tcW w:w="340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tcPr>
          <w:p>
            <w:pPr>
              <w:spacing w:after="0"/>
              <w:rPr>
                <w:sz w:val="5"/>
                <w:szCs w:val="5"/>
                <w:color w:val="auto"/>
              </w:rPr>
            </w:pPr>
          </w:p>
        </w:tc>
        <w:tc>
          <w:tcPr>
            <w:tcW w:w="28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4"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20"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3040" w:type="dxa"/>
            <w:vAlign w:val="bottom"/>
          </w:tcPr>
          <w:p>
            <w:pPr>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0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360" w:type="dxa"/>
            <w:vAlign w:val="bottom"/>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0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w w:val="97"/>
              </w:rPr>
              <w:t>Indirect Beneficial</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2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12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304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260" w:type="dxa"/>
            <w:vAlign w:val="bottom"/>
            <w:tcBorders>
              <w:bottom w:val="single" w:sz="8" w:color="2C2C2C"/>
            </w:tcBorders>
          </w:tcPr>
          <w:p>
            <w:pPr>
              <w:spacing w:after="0"/>
              <w:rPr>
                <w:sz w:val="7"/>
                <w:szCs w:val="7"/>
                <w:color w:val="auto"/>
              </w:rPr>
            </w:pPr>
          </w:p>
        </w:tc>
        <w:tc>
          <w:tcPr>
            <w:tcW w:w="1240" w:type="dxa"/>
            <w:vAlign w:val="bottom"/>
            <w:tcBorders>
              <w:bottom w:val="single" w:sz="8" w:color="2C2C2C"/>
            </w:tcBorders>
          </w:tcPr>
          <w:p>
            <w:pPr>
              <w:spacing w:after="0"/>
              <w:rPr>
                <w:sz w:val="7"/>
                <w:szCs w:val="7"/>
                <w:color w:val="auto"/>
              </w:rPr>
            </w:pPr>
          </w:p>
        </w:tc>
        <w:tc>
          <w:tcPr>
            <w:tcW w:w="9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36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0" w:type="dxa"/>
            <w:vAlign w:val="bottom"/>
          </w:tcPr>
          <w:p>
            <w:pPr>
              <w:spacing w:after="0"/>
              <w:rPr>
                <w:sz w:val="1"/>
                <w:szCs w:val="1"/>
                <w:color w:val="auto"/>
              </w:rPr>
            </w:pPr>
          </w:p>
        </w:tc>
      </w:tr>
      <w:tr>
        <w:trPr>
          <w:trHeight w:val="60"/>
        </w:trPr>
        <w:tc>
          <w:tcPr>
            <w:tcW w:w="304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260" w:type="dxa"/>
            <w:vAlign w:val="bottom"/>
          </w:tcPr>
          <w:p>
            <w:pPr>
              <w:spacing w:after="0"/>
              <w:rPr>
                <w:sz w:val="5"/>
                <w:szCs w:val="5"/>
                <w:color w:val="auto"/>
              </w:rPr>
            </w:pPr>
          </w:p>
        </w:tc>
        <w:tc>
          <w:tcPr>
            <w:tcW w:w="1240" w:type="dxa"/>
            <w:vAlign w:val="bottom"/>
            <w:vMerge w:val="restart"/>
          </w:tcPr>
          <w:p>
            <w:pPr>
              <w:ind w:left="600"/>
              <w:spacing w:after="0"/>
              <w:rPr>
                <w:sz w:val="20"/>
                <w:szCs w:val="20"/>
                <w:color w:val="auto"/>
              </w:rPr>
            </w:pPr>
            <w:r>
              <w:rPr>
                <w:rFonts w:ascii="Arial" w:cs="Arial" w:eastAsia="Arial" w:hAnsi="Arial"/>
                <w:sz w:val="15"/>
                <w:szCs w:val="15"/>
                <w:b w:val="1"/>
                <w:bCs w:val="1"/>
                <w:color w:val="auto"/>
              </w:rPr>
              <w:t>Amount</w:t>
            </w:r>
          </w:p>
        </w:tc>
        <w:tc>
          <w:tcPr>
            <w:tcW w:w="98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13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30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40" w:type="dxa"/>
            <w:vAlign w:val="bottom"/>
            <w:vMerge w:val="continue"/>
          </w:tcPr>
          <w:p>
            <w:pPr>
              <w:spacing w:after="0"/>
              <w:rPr>
                <w:sz w:val="13"/>
                <w:szCs w:val="13"/>
                <w:color w:val="auto"/>
              </w:rPr>
            </w:pPr>
          </w:p>
        </w:tc>
        <w:tc>
          <w:tcPr>
            <w:tcW w:w="98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Number</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of</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304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26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1240" w:type="dxa"/>
            <w:vAlign w:val="bottom"/>
          </w:tcPr>
          <w:p>
            <w:pPr>
              <w:ind w:left="600"/>
              <w:spacing w:after="0"/>
              <w:rPr>
                <w:sz w:val="20"/>
                <w:szCs w:val="20"/>
                <w:color w:val="auto"/>
              </w:rPr>
            </w:pPr>
            <w:r>
              <w:rPr>
                <w:rFonts w:ascii="Arial" w:cs="Arial" w:eastAsia="Arial" w:hAnsi="Arial"/>
                <w:sz w:val="15"/>
                <w:szCs w:val="15"/>
                <w:b w:val="1"/>
                <w:bCs w:val="1"/>
                <w:color w:val="auto"/>
              </w:rPr>
              <w:t>Shares</w:t>
            </w: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94"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1"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5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5"/>
          <w:szCs w:val="15"/>
          <w:color w:val="008000"/>
        </w:rPr>
        <w:t>Exhibit 24 - Power of Attorney</w:t>
      </w:r>
    </w:p>
    <w:p>
      <w:pPr>
        <w:spacing w:after="0" w:line="53"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No securities are beneficially owned.</w:t>
      </w:r>
    </w:p>
    <w:p>
      <w:pPr>
        <w:spacing w:after="0" w:line="62"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2180" w:type="dxa"/>
            <w:vAlign w:val="bottom"/>
            <w:gridSpan w:val="3"/>
          </w:tcPr>
          <w:p>
            <w:pPr>
              <w:spacing w:after="0"/>
              <w:rPr>
                <w:sz w:val="20"/>
                <w:szCs w:val="20"/>
                <w:color w:val="auto"/>
              </w:rPr>
            </w:pPr>
            <w:r>
              <w:rPr>
                <w:rFonts w:ascii="Times New Roman" w:cs="Times New Roman" w:eastAsia="Times New Roman" w:hAnsi="Times New Roman"/>
                <w:sz w:val="20"/>
                <w:szCs w:val="20"/>
                <w:color w:val="0000FF"/>
              </w:rPr>
              <w:t>/s/ Jordan Fasbender, as</w:t>
            </w:r>
          </w:p>
        </w:tc>
        <w:tc>
          <w:tcPr>
            <w:tcW w:w="900" w:type="dxa"/>
            <w:vAlign w:val="bottom"/>
            <w:vMerge w:val="restart"/>
          </w:tcPr>
          <w:p>
            <w:pPr>
              <w:spacing w:after="0"/>
              <w:rPr>
                <w:sz w:val="20"/>
                <w:szCs w:val="20"/>
                <w:color w:val="auto"/>
              </w:rPr>
            </w:pPr>
            <w:r>
              <w:rPr>
                <w:rFonts w:ascii="Times New Roman" w:cs="Times New Roman" w:eastAsia="Times New Roman" w:hAnsi="Times New Roman"/>
                <w:sz w:val="20"/>
                <w:szCs w:val="20"/>
                <w:color w:val="0000FF"/>
                <w:w w:val="96"/>
              </w:rPr>
              <w:t>01/05/2026</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1840" w:type="dxa"/>
            <w:vAlign w:val="bottom"/>
            <w:tcBorders>
              <w:top w:val="single" w:sz="8" w:color="auto"/>
              <w:bottom w:val="single" w:sz="8" w:color="auto"/>
            </w:tcBorders>
            <w:gridSpan w:val="2"/>
            <w:vMerge w:val="restart"/>
          </w:tcPr>
          <w:p>
            <w:pPr>
              <w:spacing w:after="0" w:line="220" w:lineRule="exact"/>
              <w:rPr>
                <w:sz w:val="20"/>
                <w:szCs w:val="20"/>
                <w:color w:val="auto"/>
              </w:rPr>
            </w:pPr>
            <w:r>
              <w:rPr>
                <w:rFonts w:ascii="Times New Roman" w:cs="Times New Roman" w:eastAsia="Times New Roman" w:hAnsi="Times New Roman"/>
                <w:sz w:val="20"/>
                <w:szCs w:val="20"/>
                <w:color w:val="0000FF"/>
              </w:rPr>
              <w:t>attorney-in-fact</w:t>
            </w:r>
          </w:p>
        </w:tc>
        <w:tc>
          <w:tcPr>
            <w:tcW w:w="340" w:type="dxa"/>
            <w:vAlign w:val="bottom"/>
            <w:vMerge w:val="restart"/>
          </w:tcPr>
          <w:p>
            <w:pPr>
              <w:spacing w:after="0"/>
              <w:rPr>
                <w:sz w:val="8"/>
                <w:szCs w:val="8"/>
                <w:color w:val="auto"/>
              </w:rPr>
            </w:pP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1840" w:type="dxa"/>
            <w:vAlign w:val="bottom"/>
            <w:gridSpan w:val="2"/>
            <w:vMerge w:val="continue"/>
          </w:tcPr>
          <w:p>
            <w:pPr>
              <w:spacing w:after="0"/>
              <w:rPr>
                <w:sz w:val="8"/>
                <w:szCs w:val="8"/>
                <w:color w:val="auto"/>
              </w:rPr>
            </w:pPr>
          </w:p>
        </w:tc>
        <w:tc>
          <w:tcPr>
            <w:tcW w:w="340" w:type="dxa"/>
            <w:vAlign w:val="bottom"/>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6540" w:type="dxa"/>
            <w:vAlign w:val="bottom"/>
          </w:tcPr>
          <w:p>
            <w:pPr>
              <w:spacing w:after="0"/>
              <w:rPr>
                <w:sz w:val="20"/>
                <w:szCs w:val="20"/>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3"/>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440" w:gutter="0" w:footer="0" w:header="0"/>
          <w:type w:val="continuous"/>
        </w:sectPr>
      </w:pPr>
    </w:p>
    <w:bookmarkStart w:id="1" w:name="page2"/>
    <w:bookmarkEnd w:id="1"/>
    <w:p>
      <w:pPr>
        <w:jc w:val="right"/>
        <w:spacing w:after="0"/>
        <w:rPr>
          <w:sz w:val="20"/>
          <w:szCs w:val="20"/>
          <w:color w:val="auto"/>
        </w:rPr>
      </w:pPr>
      <w:r>
        <w:rPr>
          <w:rFonts w:ascii="Times New Roman" w:cs="Times New Roman" w:eastAsia="Times New Roman" w:hAnsi="Times New Roman"/>
          <w:sz w:val="20"/>
          <w:szCs w:val="20"/>
          <w:b w:val="1"/>
          <w:bCs w:val="1"/>
          <w:color w:val="auto"/>
        </w:rPr>
        <w:t>Exhibit 24</w:t>
      </w:r>
    </w:p>
    <w:p>
      <w:pPr>
        <w:spacing w:after="0" w:line="250"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20"/>
          <w:szCs w:val="20"/>
          <w:b w:val="1"/>
          <w:bCs w:val="1"/>
          <w:color w:val="auto"/>
        </w:rPr>
        <w:t>POWER OF ATTORNEY</w:t>
      </w:r>
    </w:p>
    <w:p>
      <w:pPr>
        <w:spacing w:after="0" w:line="254" w:lineRule="exact"/>
        <w:rPr>
          <w:sz w:val="20"/>
          <w:szCs w:val="20"/>
          <w:color w:val="auto"/>
        </w:rPr>
      </w:pPr>
    </w:p>
    <w:p>
      <w:pPr>
        <w:ind w:right="800" w:firstLine="720"/>
        <w:spacing w:after="0" w:line="282" w:lineRule="auto"/>
        <w:rPr>
          <w:sz w:val="20"/>
          <w:szCs w:val="20"/>
          <w:color w:val="auto"/>
        </w:rPr>
      </w:pPr>
      <w:r>
        <w:rPr>
          <w:rFonts w:ascii="Times New Roman" w:cs="Times New Roman" w:eastAsia="Times New Roman" w:hAnsi="Times New Roman"/>
          <w:sz w:val="20"/>
          <w:szCs w:val="20"/>
          <w:color w:val="auto"/>
        </w:rPr>
        <w:t>Know all by these presents, that the undersigned hereby constitutes and appoints each of Jordan Fasbender, Jayshree Mahtani, and Courtny Titus, as the undersigned’s true and lawful attorneys-in-fact to:</w:t>
      </w:r>
    </w:p>
    <w:p>
      <w:pPr>
        <w:spacing w:after="0" w:line="180" w:lineRule="exact"/>
        <w:rPr>
          <w:sz w:val="20"/>
          <w:szCs w:val="20"/>
          <w:color w:val="auto"/>
        </w:rPr>
      </w:pPr>
    </w:p>
    <w:p>
      <w:pPr>
        <w:ind w:right="420" w:firstLine="720"/>
        <w:spacing w:after="0" w:line="266" w:lineRule="auto"/>
        <w:tabs>
          <w:tab w:leader="none" w:pos="1753"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execute for and on behalf of the undersigned, in the undersigned’s capacity as a reporting person pursuant to Section 16 of the Securities Exchange Act of 1934, as amended (the “Exchange Act”), and the rules thereunder of Versant Media Group, Inc. (the “Company”), Forms 3, 4 and 5 in accordance with Section 16(a) of the Exchange Act;</w:t>
      </w:r>
    </w:p>
    <w:p>
      <w:pPr>
        <w:spacing w:after="0" w:line="195" w:lineRule="exact"/>
        <w:rPr>
          <w:rFonts w:ascii="Times New Roman" w:cs="Times New Roman" w:eastAsia="Times New Roman" w:hAnsi="Times New Roman"/>
          <w:sz w:val="20"/>
          <w:szCs w:val="20"/>
          <w:color w:val="auto"/>
        </w:rPr>
      </w:pPr>
    </w:p>
    <w:p>
      <w:pPr>
        <w:ind w:right="240" w:firstLine="720"/>
        <w:spacing w:after="0" w:line="261" w:lineRule="auto"/>
        <w:tabs>
          <w:tab w:leader="none" w:pos="1753"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do and perform any and all acts, directly or indirectly including through a delegated entity, account administrator or other designated filing agent, for and on behalf of the undersigned which may be necessary or desirable to complete and execute any such Form 3, 4 or 5 and timely file such form with the United States Securities and Exchange Commission (the “SEC”) and stock exchange or similar authority;</w:t>
      </w:r>
    </w:p>
    <w:p>
      <w:pPr>
        <w:spacing w:after="0" w:line="200" w:lineRule="exact"/>
        <w:rPr>
          <w:rFonts w:ascii="Times New Roman" w:cs="Times New Roman" w:eastAsia="Times New Roman" w:hAnsi="Times New Roman"/>
          <w:sz w:val="20"/>
          <w:szCs w:val="20"/>
          <w:color w:val="auto"/>
        </w:rPr>
      </w:pPr>
    </w:p>
    <w:p>
      <w:pPr>
        <w:ind w:right="440" w:firstLine="720"/>
        <w:spacing w:after="0" w:line="261" w:lineRule="auto"/>
        <w:tabs>
          <w:tab w:leader="none" w:pos="1753"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prepare, execute and file, or cause to be prepared, executed and filed, on behalf of the undersigned one or more Forms 144, or amendments to Form 144, relating to any sales orders (including in connection with the exercise of options to purchase the Company’s Class A common stock (“common stock”), orally or electronically, to sell shares of common stock to the public from time to time in accordance with Rule 144 under the Securities Act of 1933, as amended;</w:t>
      </w:r>
    </w:p>
    <w:p>
      <w:pPr>
        <w:spacing w:after="0" w:line="200" w:lineRule="exact"/>
        <w:rPr>
          <w:rFonts w:ascii="Times New Roman" w:cs="Times New Roman" w:eastAsia="Times New Roman" w:hAnsi="Times New Roman"/>
          <w:sz w:val="20"/>
          <w:szCs w:val="20"/>
          <w:color w:val="auto"/>
        </w:rPr>
      </w:pPr>
    </w:p>
    <w:p>
      <w:pPr>
        <w:ind w:right="280" w:firstLine="720"/>
        <w:spacing w:after="0" w:line="258" w:lineRule="auto"/>
        <w:tabs>
          <w:tab w:leader="none" w:pos="1753"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obtain and maintain credentials, including any Form ID or amended Form ID, to enable the undersigned, directly or indirectly including through a delegated entity, account administrator or other designated filing agent, to submit and file information and documents via the SEC’s Electronic Data Gathering and Retrieval (“EDGAR”) system or successor EDGAR Next, including identification codes, verification codes, passwords and password management codes, and any related annual certifications or confirmations, and to act as the undersigned’s agent for such purposes; and</w:t>
      </w:r>
    </w:p>
    <w:p>
      <w:pPr>
        <w:spacing w:after="0" w:line="204" w:lineRule="exact"/>
        <w:rPr>
          <w:rFonts w:ascii="Times New Roman" w:cs="Times New Roman" w:eastAsia="Times New Roman" w:hAnsi="Times New Roman"/>
          <w:sz w:val="20"/>
          <w:szCs w:val="20"/>
          <w:color w:val="auto"/>
        </w:rPr>
      </w:pPr>
    </w:p>
    <w:p>
      <w:pPr>
        <w:ind w:right="240" w:firstLine="720"/>
        <w:spacing w:after="0" w:line="258" w:lineRule="auto"/>
        <w:tabs>
          <w:tab w:leader="none" w:pos="1753"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take any other action of any type whatsoever in connection with the foregoing which, in the opinion of any of such attorneys-in-fact, may be of benefit to, in the best interest of, or legally required by, the undersigned, it being understood that the documents executed by any of such attorneys- in-fact on behalf of the undersigned pursuant to this Power of Attorney shall be in such form and shall contain such terms and conditions as any of such attorneys-in-fact may approve in the discretion of any of such attorneys-in-fact.</w:t>
      </w:r>
    </w:p>
    <w:p>
      <w:pPr>
        <w:spacing w:after="0" w:line="205" w:lineRule="exact"/>
        <w:rPr>
          <w:sz w:val="20"/>
          <w:szCs w:val="20"/>
          <w:color w:val="auto"/>
        </w:rPr>
      </w:pPr>
    </w:p>
    <w:p>
      <w:pPr>
        <w:ind w:right="160" w:firstLine="720"/>
        <w:spacing w:after="0" w:line="255" w:lineRule="auto"/>
        <w:rPr>
          <w:sz w:val="20"/>
          <w:szCs w:val="20"/>
          <w:color w:val="auto"/>
        </w:rPr>
      </w:pPr>
      <w:r>
        <w:rPr>
          <w:rFonts w:ascii="Times New Roman" w:cs="Times New Roman" w:eastAsia="Times New Roman" w:hAnsi="Times New Roman"/>
          <w:sz w:val="20"/>
          <w:szCs w:val="20"/>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delegation or revocation, hereby ratifying and confirming all that any of such attorneys-in-fact, or the substitute or substitutes or delegee or delegees of any of such attorneys-in-fact,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Exchange Act.</w:t>
      </w:r>
    </w:p>
    <w:p>
      <w:pPr>
        <w:spacing w:after="0" w:line="206" w:lineRule="exact"/>
        <w:rPr>
          <w:sz w:val="20"/>
          <w:szCs w:val="20"/>
          <w:color w:val="auto"/>
        </w:rPr>
      </w:pPr>
    </w:p>
    <w:p>
      <w:pPr>
        <w:ind w:right="140" w:firstLine="720"/>
        <w:spacing w:after="0" w:line="282" w:lineRule="auto"/>
        <w:rPr>
          <w:sz w:val="20"/>
          <w:szCs w:val="20"/>
          <w:color w:val="auto"/>
        </w:rPr>
      </w:pPr>
      <w:r>
        <w:rPr>
          <w:rFonts w:ascii="Times New Roman" w:cs="Times New Roman" w:eastAsia="Times New Roman" w:hAnsi="Times New Roman"/>
          <w:sz w:val="20"/>
          <w:szCs w:val="20"/>
          <w:color w:val="auto"/>
        </w:rPr>
        <w:t>This Power of Attorney shall remain in full force and effect until the undersigned is no longer required to file Forms 3, 4 and 5 with respect to the undersigned’s holdings of and transactions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-62865</wp:posOffset>
            </wp:positionH>
            <wp:positionV relativeFrom="paragraph">
              <wp:posOffset>374650</wp:posOffset>
            </wp:positionV>
            <wp:extent cx="6946900" cy="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6946900" cy="9525"/>
                    </a:xfrm>
                    <a:prstGeom prst="rect">
                      <a:avLst/>
                    </a:prstGeom>
                    <a:noFill/>
                  </pic:spPr>
                </pic:pic>
              </a:graphicData>
            </a:graphic>
          </wp:anchor>
        </w:drawing>
      </w:r>
    </w:p>
    <w:p>
      <w:pPr>
        <w:sectPr>
          <w:pgSz w:w="11900" w:h="16838" w:orient="portrait"/>
          <w:cols w:equalWidth="0" w:num="1">
            <w:col w:w="10840"/>
          </w:cols>
          <w:pgMar w:left="580" w:top="115" w:right="479" w:bottom="1440" w:gutter="0" w:footer="0" w:header="0"/>
        </w:sectPr>
      </w:pPr>
    </w:p>
    <w:bookmarkStart w:id="2" w:name="page3"/>
    <w:bookmarkEnd w:id="2"/>
    <w:p>
      <w:pPr>
        <w:ind w:left="100"/>
        <w:spacing w:after="0" w:line="266" w:lineRule="auto"/>
        <w:rPr>
          <w:sz w:val="20"/>
          <w:szCs w:val="20"/>
          <w:color w:val="auto"/>
        </w:rPr>
      </w:pPr>
      <w:r>
        <w:rPr>
          <w:rFonts w:ascii="Times New Roman" w:cs="Times New Roman" w:eastAsia="Times New Roman" w:hAnsi="Times New Roman"/>
          <w:sz w:val="20"/>
          <w:szCs w:val="20"/>
          <w:color w:val="auto"/>
        </w:rPr>
        <w:t>securities issued by the Company, unless earlier revoked by the undersigned in a signed writing delivered to the foregoing attorneys-in-fact. This Power of Attorney supersedes all other powers of attorney previously executed by the undersigned in respect of the subject matter described herein.</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xml:space="preserve">IN WITNESS WHEREOF, the undersigned has caused this Power of Attorney to be executed as of this </w:t>
      </w:r>
      <w:r>
        <w:rPr>
          <w:rFonts w:ascii="Times New Roman" w:cs="Times New Roman" w:eastAsia="Times New Roman" w:hAnsi="Times New Roman"/>
          <w:sz w:val="20"/>
          <w:szCs w:val="20"/>
          <w:u w:val="single" w:color="auto"/>
          <w:color w:val="auto"/>
        </w:rPr>
        <w:t>23</w:t>
      </w:r>
      <w:r>
        <w:rPr>
          <w:rFonts w:ascii="Times New Roman" w:cs="Times New Roman" w:eastAsia="Times New Roman" w:hAnsi="Times New Roman"/>
          <w:sz w:val="33"/>
          <w:szCs w:val="33"/>
          <w:u w:val="single" w:color="auto"/>
          <w:color w:val="auto"/>
          <w:vertAlign w:val="superscript"/>
        </w:rPr>
        <w:t>rd</w:t>
      </w:r>
      <w:r>
        <w:rPr>
          <w:rFonts w:ascii="Times New Roman" w:cs="Times New Roman" w:eastAsia="Times New Roman" w:hAnsi="Times New Roman"/>
          <w:sz w:val="20"/>
          <w:szCs w:val="20"/>
          <w:color w:val="auto"/>
        </w:rPr>
        <w:t xml:space="preserve"> day of </w:t>
      </w:r>
      <w:r>
        <w:rPr>
          <w:rFonts w:ascii="Times New Roman" w:cs="Times New Roman" w:eastAsia="Times New Roman" w:hAnsi="Times New Roman"/>
          <w:sz w:val="20"/>
          <w:szCs w:val="20"/>
          <w:u w:val="single" w:color="auto"/>
          <w:color w:val="auto"/>
        </w:rPr>
        <w:t>October</w:t>
      </w:r>
      <w:r>
        <w:rPr>
          <w:rFonts w:ascii="Times New Roman" w:cs="Times New Roman" w:eastAsia="Times New Roman" w:hAnsi="Times New Roman"/>
          <w:sz w:val="20"/>
          <w:szCs w:val="20"/>
          <w:color w:val="auto"/>
        </w:rPr>
        <w:t>, 2025.</w:t>
      </w:r>
    </w:p>
    <w:p>
      <w:pPr>
        <w:spacing w:after="0" w:line="142"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color w:val="auto"/>
        </w:rPr>
        <w:t>Name: William Scott Mahoney</w:t>
      </w:r>
    </w:p>
    <w:p>
      <w:pPr>
        <w:spacing w:after="0" w:line="25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color w:val="auto"/>
        </w:rPr>
        <w:t xml:space="preserve">Signature: </w:t>
      </w:r>
      <w:r>
        <w:rPr>
          <w:rFonts w:ascii="Times New Roman" w:cs="Times New Roman" w:eastAsia="Times New Roman" w:hAnsi="Times New Roman"/>
          <w:sz w:val="20"/>
          <w:szCs w:val="20"/>
          <w:u w:val="single" w:color="auto"/>
          <w:color w:val="auto"/>
        </w:rPr>
        <w:t>/s/ William Scott Mahoney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247650</wp:posOffset>
            </wp:positionV>
            <wp:extent cx="6946900" cy="9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6946900" cy="9525"/>
                    </a:xfrm>
                    <a:prstGeom prst="rect">
                      <a:avLst/>
                    </a:prstGeom>
                    <a:noFill/>
                  </pic:spPr>
                </pic:pic>
              </a:graphicData>
            </a:graphic>
          </wp:anchor>
        </w:drawing>
      </w:r>
    </w:p>
    <w:sectPr>
      <w:pgSz w:w="11900" w:h="16838" w:orient="portrait"/>
      <w:cols w:equalWidth="0" w:num="1">
        <w:col w:w="10700"/>
      </w:cols>
      <w:pgMar w:left="480" w:top="870" w:right="7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4"/>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0" Type="http://schemas.openxmlformats.org/officeDocument/2006/relationships/hyperlink" Target="http://www.sec.gov/cgi-bin/browse-edgar?action=getcompany&amp;CIK=0002101307" TargetMode="External"/><Relationship Id="rId11" Type="http://schemas.openxmlformats.org/officeDocument/2006/relationships/hyperlink" Target="http://www.sec.gov/cgi-bin/browse-edgar?action=getcompany&amp;CIK=000206787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2026-01-05T18:03:45Z</dcterms:created>
  <dcterms:modified xsi:type="dcterms:W3CDTF">2026-01-05T18:03:45Z</dcterms:modified>
</cp:coreProperties>
</file>