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61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612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Conway Michael Aaron</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300" w:type="dxa"/>
            <w:vAlign w:val="bottom"/>
            <w:tcBorders>
              <w:top w:val="single" w:sz="8" w:color="0000EE"/>
              <w:bottom w:val="single" w:sz="8" w:color="9A9A9A"/>
            </w:tcBorders>
          </w:tcPr>
          <w:p>
            <w:pPr>
              <w:spacing w:after="0"/>
              <w:rPr>
                <w:sz w:val="17"/>
                <w:szCs w:val="17"/>
                <w:color w:val="auto"/>
              </w:rPr>
            </w:pPr>
          </w:p>
        </w:tc>
        <w:tc>
          <w:tcPr>
            <w:tcW w:w="76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01/02/2026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Versant Media Group, Inc.</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VSNT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444"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437"/>
        <w:spacing w:after="0" w:line="275" w:lineRule="auto"/>
        <w:rPr>
          <w:sz w:val="20"/>
          <w:szCs w:val="20"/>
          <w:color w:val="auto"/>
        </w:rPr>
      </w:pPr>
      <w:r>
        <w:rPr>
          <w:rFonts w:ascii="Times New Roman" w:cs="Times New Roman" w:eastAsia="Times New Roman" w:hAnsi="Times New Roman"/>
          <w:sz w:val="20"/>
          <w:szCs w:val="20"/>
          <w:color w:val="0000FF"/>
        </w:rPr>
        <w:t>C/O VERSANT MEDIA GROUP, INC.</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900 SYLVAN AVENUE</w:t>
      </w:r>
    </w:p>
    <w:p>
      <w:pPr>
        <w:spacing w:after="0" w:line="326"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320" w:type="dxa"/>
            <w:vAlign w:val="bottom"/>
          </w:tcPr>
          <w:p>
            <w:pPr>
              <w:spacing w:after="0"/>
              <w:rPr>
                <w:sz w:val="20"/>
                <w:szCs w:val="20"/>
                <w:color w:val="auto"/>
              </w:rPr>
            </w:pPr>
            <w:r>
              <w:rPr>
                <w:rFonts w:ascii="Arial" w:cs="Arial" w:eastAsia="Arial" w:hAnsi="Arial"/>
                <w:sz w:val="15"/>
                <w:szCs w:val="15"/>
                <w:color w:val="auto"/>
              </w:rPr>
              <w:t>(Street)</w:t>
            </w:r>
          </w:p>
        </w:tc>
        <w:tc>
          <w:tcPr>
            <w:tcW w:w="5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327"/>
        </w:trPr>
        <w:tc>
          <w:tcPr>
            <w:tcW w:w="1320" w:type="dxa"/>
            <w:vAlign w:val="bottom"/>
          </w:tcPr>
          <w:p>
            <w:pPr>
              <w:ind w:left="40"/>
              <w:spacing w:after="0"/>
              <w:rPr>
                <w:sz w:val="20"/>
                <w:szCs w:val="20"/>
                <w:color w:val="auto"/>
              </w:rPr>
            </w:pPr>
            <w:r>
              <w:rPr>
                <w:rFonts w:ascii="Times New Roman" w:cs="Times New Roman" w:eastAsia="Times New Roman" w:hAnsi="Times New Roman"/>
                <w:sz w:val="20"/>
                <w:szCs w:val="20"/>
                <w:color w:val="0000FF"/>
                <w:w w:val="98"/>
              </w:rPr>
              <w:t>ENGLEWOOD</w:t>
            </w:r>
          </w:p>
        </w:tc>
        <w:tc>
          <w:tcPr>
            <w:tcW w:w="5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NJ</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07632</w:t>
            </w:r>
          </w:p>
        </w:tc>
      </w:tr>
      <w:tr>
        <w:trPr>
          <w:trHeight w:val="254"/>
        </w:trPr>
        <w:tc>
          <w:tcPr>
            <w:tcW w:w="13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CLIFFS</w:t>
            </w:r>
          </w:p>
        </w:tc>
        <w:tc>
          <w:tcPr>
            <w:tcW w:w="560" w:type="dxa"/>
            <w:vAlign w:val="bottom"/>
          </w:tcPr>
          <w:p>
            <w:pPr>
              <w:spacing w:after="0"/>
              <w:rPr>
                <w:sz w:val="22"/>
                <w:szCs w:val="22"/>
                <w:color w:val="auto"/>
              </w:rPr>
            </w:pPr>
          </w:p>
        </w:tc>
        <w:tc>
          <w:tcPr>
            <w:tcW w:w="800" w:type="dxa"/>
            <w:vAlign w:val="bottom"/>
          </w:tcPr>
          <w:p>
            <w:pPr>
              <w:spacing w:after="0"/>
              <w:rPr>
                <w:sz w:val="22"/>
                <w:szCs w:val="22"/>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34"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Jordan Fasbender, as</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01/05/2026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84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34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840" w:type="dxa"/>
            <w:vAlign w:val="bottom"/>
            <w:gridSpan w:val="2"/>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Exhibit 24</w:t>
      </w:r>
    </w:p>
    <w:p>
      <w:pPr>
        <w:spacing w:after="0" w:line="250"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4" w:lineRule="exact"/>
        <w:rPr>
          <w:sz w:val="20"/>
          <w:szCs w:val="20"/>
          <w:color w:val="auto"/>
        </w:rPr>
      </w:pPr>
    </w:p>
    <w:p>
      <w:pPr>
        <w:ind w:right="800" w:firstLine="720"/>
        <w:spacing w:after="0" w:line="282"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each of Jordan Fasbender, Jayshree Mahtani, and Courtny Titus, as the undersigned’s true and lawful attorneys-in-fact to:</w:t>
      </w:r>
    </w:p>
    <w:p>
      <w:pPr>
        <w:spacing w:after="0" w:line="180" w:lineRule="exact"/>
        <w:rPr>
          <w:sz w:val="20"/>
          <w:szCs w:val="20"/>
          <w:color w:val="auto"/>
        </w:rPr>
      </w:pPr>
    </w:p>
    <w:p>
      <w:pPr>
        <w:ind w:right="420" w:firstLine="720"/>
        <w:spacing w:after="0" w:line="266" w:lineRule="auto"/>
        <w:tabs>
          <w:tab w:leader="none" w:pos="1753"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 reporting person pursuant to Section 16 of the Securities Exchange Act of 1934, as amended (the “Exchange Act”), and the rules thereunder of Versant Media Group, Inc. (the “Company”), Forms 3, 4 and 5 in accordance with Section 16(a) of the Exchange Act;</w:t>
      </w:r>
    </w:p>
    <w:p>
      <w:pPr>
        <w:spacing w:after="0" w:line="195" w:lineRule="exact"/>
        <w:rPr>
          <w:rFonts w:ascii="Times New Roman" w:cs="Times New Roman" w:eastAsia="Times New Roman" w:hAnsi="Times New Roman"/>
          <w:sz w:val="20"/>
          <w:szCs w:val="20"/>
          <w:color w:val="auto"/>
        </w:rPr>
      </w:pPr>
    </w:p>
    <w:p>
      <w:pPr>
        <w:ind w:right="240" w:firstLine="720"/>
        <w:spacing w:after="0" w:line="261" w:lineRule="auto"/>
        <w:tabs>
          <w:tab w:leader="none" w:pos="1753"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directly or indirectly including through a delegated entity, account administrator or other designated filing agent, for and on behalf of the undersigned which may be necessary or desirable to complete and execute any such Form 3, 4 or 5 and timely file such form with the United States Securities and Exchange Commission (the “SEC”) and stock exchange or similar authority;</w:t>
      </w:r>
    </w:p>
    <w:p>
      <w:pPr>
        <w:spacing w:after="0" w:line="200" w:lineRule="exact"/>
        <w:rPr>
          <w:rFonts w:ascii="Times New Roman" w:cs="Times New Roman" w:eastAsia="Times New Roman" w:hAnsi="Times New Roman"/>
          <w:sz w:val="20"/>
          <w:szCs w:val="20"/>
          <w:color w:val="auto"/>
        </w:rPr>
      </w:pPr>
    </w:p>
    <w:p>
      <w:pPr>
        <w:ind w:right="440" w:firstLine="720"/>
        <w:spacing w:after="0" w:line="261" w:lineRule="auto"/>
        <w:tabs>
          <w:tab w:leader="none" w:pos="1753"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and file, or cause to be prepared, executed and filed, on behalf of the undersigned one or more Forms 144, or amendments to Form 144, relating to any sales orders (including in connection with the exercise of options to purchase the Company’s Class A common stock (“common stock”), orally or electronically, to sell shares of common stock to the public from time to time in accordance with Rule 144 under the Securities Act of 1933, as amended;</w:t>
      </w:r>
    </w:p>
    <w:p>
      <w:pPr>
        <w:spacing w:after="0" w:line="200" w:lineRule="exact"/>
        <w:rPr>
          <w:rFonts w:ascii="Times New Roman" w:cs="Times New Roman" w:eastAsia="Times New Roman" w:hAnsi="Times New Roman"/>
          <w:sz w:val="20"/>
          <w:szCs w:val="20"/>
          <w:color w:val="auto"/>
        </w:rPr>
      </w:pPr>
    </w:p>
    <w:p>
      <w:pPr>
        <w:ind w:right="280" w:firstLine="720"/>
        <w:spacing w:after="0" w:line="258" w:lineRule="auto"/>
        <w:tabs>
          <w:tab w:leader="none" w:pos="1753"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 and maintain credentials, including any Form ID or amended Form ID, to enable the undersigned, directly or indirectly including through a delegated entity, account administrator or other designated filing agent, to submit and file information and documents via the SEC’s Electronic Data Gathering and Retrieval (“EDGAR”) system or successor EDGAR Next, including identification codes, verification codes, passwords and password management codes, and any related annual certifications or confirmations, and to act as the undersigned’s agent for such purposes; and</w:t>
      </w:r>
    </w:p>
    <w:p>
      <w:pPr>
        <w:spacing w:after="0" w:line="204" w:lineRule="exact"/>
        <w:rPr>
          <w:rFonts w:ascii="Times New Roman" w:cs="Times New Roman" w:eastAsia="Times New Roman" w:hAnsi="Times New Roman"/>
          <w:sz w:val="20"/>
          <w:szCs w:val="20"/>
          <w:color w:val="auto"/>
        </w:rPr>
      </w:pPr>
    </w:p>
    <w:p>
      <w:pPr>
        <w:ind w:right="240" w:firstLine="720"/>
        <w:spacing w:after="0" w:line="258" w:lineRule="auto"/>
        <w:tabs>
          <w:tab w:leader="none" w:pos="1753"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 in-fact on behalf of the undersigned pursuant to this Power of Attorney shall be in such form and shall contain such terms and conditions as any of such attorneys-in-fact may approve in the discretion of any of such attorneys-in-fact.</w:t>
      </w:r>
    </w:p>
    <w:p>
      <w:pPr>
        <w:spacing w:after="0" w:line="205" w:lineRule="exact"/>
        <w:rPr>
          <w:sz w:val="20"/>
          <w:szCs w:val="20"/>
          <w:color w:val="auto"/>
        </w:rPr>
      </w:pPr>
    </w:p>
    <w:p>
      <w:pPr>
        <w:ind w:right="160" w:firstLine="720"/>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delegation or revocation, hereby ratifying and confirming all that any of such attorneys-in-fact, or the substitute or substitutes or delegee or delegees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206" w:lineRule="exact"/>
        <w:rPr>
          <w:sz w:val="20"/>
          <w:szCs w:val="20"/>
          <w:color w:val="auto"/>
        </w:rPr>
      </w:pPr>
    </w:p>
    <w:p>
      <w:pPr>
        <w:ind w:right="140" w:firstLine="720"/>
        <w:spacing w:after="0" w:line="282"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374650</wp:posOffset>
            </wp:positionV>
            <wp:extent cx="694690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p>
      <w:pPr>
        <w:sectPr>
          <w:pgSz w:w="11900" w:h="16838" w:orient="portrait"/>
          <w:cols w:equalWidth="0" w:num="1">
            <w:col w:w="10840"/>
          </w:cols>
          <w:pgMar w:left="580" w:top="115" w:right="479" w:bottom="1440" w:gutter="0" w:footer="0" w:header="0"/>
        </w:sectPr>
      </w:pPr>
    </w:p>
    <w:bookmarkStart w:id="2" w:name="page3"/>
    <w:bookmarkEnd w:id="2"/>
    <w:p>
      <w:pPr>
        <w:spacing w:after="0" w:line="266" w:lineRule="auto"/>
        <w:rPr>
          <w:sz w:val="20"/>
          <w:szCs w:val="20"/>
          <w:color w:val="auto"/>
        </w:rPr>
      </w:pPr>
      <w:r>
        <w:rPr>
          <w:rFonts w:ascii="Times New Roman" w:cs="Times New Roman" w:eastAsia="Times New Roman" w:hAnsi="Times New Roman"/>
          <w:sz w:val="20"/>
          <w:szCs w:val="20"/>
          <w:color w:val="auto"/>
        </w:rPr>
        <w:t>securities issued by the Company, unless earlier revoked by the undersigned in a signed writing delivered to the foregoing attorneys-in-fact. This Power of Attorney supersedes all other powers of attorney previously executed by the undersigned in respect of the subject matter described herein.</w:t>
      </w:r>
    </w:p>
    <w:p>
      <w:pPr>
        <w:spacing w:after="0" w:line="199" w:lineRule="exact"/>
        <w:rPr>
          <w:sz w:val="20"/>
          <w:szCs w:val="20"/>
          <w:color w:val="auto"/>
        </w:rPr>
      </w:pPr>
    </w:p>
    <w:p>
      <w:pPr>
        <w:ind w:right="680" w:firstLine="720"/>
        <w:spacing w:after="0" w:line="213" w:lineRule="auto"/>
        <w:rPr>
          <w:sz w:val="20"/>
          <w:szCs w:val="20"/>
          <w:color w:val="auto"/>
        </w:rPr>
      </w:pPr>
      <w:r>
        <w:rPr>
          <w:rFonts w:ascii="Times New Roman" w:cs="Times New Roman" w:eastAsia="Times New Roman" w:hAnsi="Times New Roman"/>
          <w:sz w:val="20"/>
          <w:szCs w:val="20"/>
          <w:color w:val="auto"/>
        </w:rPr>
        <w:t xml:space="preserve">IN WITNESS WHEREOF, the undersigned has caused this Power of Attorney to be executed as of this </w:t>
      </w:r>
      <w:r>
        <w:rPr>
          <w:rFonts w:ascii="Times New Roman" w:cs="Times New Roman" w:eastAsia="Times New Roman" w:hAnsi="Times New Roman"/>
          <w:sz w:val="20"/>
          <w:szCs w:val="20"/>
          <w:u w:val="single" w:color="auto"/>
          <w:color w:val="auto"/>
        </w:rPr>
        <w:t>24</w:t>
      </w:r>
      <w:r>
        <w:rPr>
          <w:rFonts w:ascii="Times New Roman" w:cs="Times New Roman" w:eastAsia="Times New Roman" w:hAnsi="Times New Roman"/>
          <w:sz w:val="33"/>
          <w:szCs w:val="33"/>
          <w:u w:val="single" w:color="auto"/>
          <w:color w:val="auto"/>
          <w:vertAlign w:val="superscript"/>
        </w:rPr>
        <w:t>th</w:t>
      </w:r>
      <w:r>
        <w:rPr>
          <w:rFonts w:ascii="Times New Roman" w:cs="Times New Roman" w:eastAsia="Times New Roman" w:hAnsi="Times New Roman"/>
          <w:sz w:val="20"/>
          <w:szCs w:val="20"/>
          <w:color w:val="auto"/>
        </w:rPr>
        <w:t xml:space="preserve"> day of </w:t>
      </w:r>
      <w:r>
        <w:rPr>
          <w:rFonts w:ascii="Times New Roman" w:cs="Times New Roman" w:eastAsia="Times New Roman" w:hAnsi="Times New Roman"/>
          <w:sz w:val="20"/>
          <w:szCs w:val="20"/>
          <w:u w:val="single" w:color="auto"/>
          <w:color w:val="auto"/>
        </w:rPr>
        <w:t>October</w:t>
      </w:r>
      <w:r>
        <w:rPr>
          <w:rFonts w:ascii="Times New Roman" w:cs="Times New Roman" w:eastAsia="Times New Roman" w:hAnsi="Times New Roman"/>
          <w:sz w:val="20"/>
          <w:szCs w:val="20"/>
          <w:color w:val="auto"/>
        </w:rPr>
        <w:t>,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Michael A. Conway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Signature: </w:t>
      </w:r>
      <w:r>
        <w:rPr>
          <w:rFonts w:ascii="Times New Roman" w:cs="Times New Roman" w:eastAsia="Times New Roman" w:hAnsi="Times New Roman"/>
          <w:sz w:val="20"/>
          <w:szCs w:val="20"/>
          <w:u w:val="single" w:color="auto"/>
          <w:color w:val="auto"/>
        </w:rPr>
        <w:t>/s/ Michael A. Conway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400685</wp:posOffset>
            </wp:positionV>
            <wp:extent cx="69469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95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142875</wp:posOffset>
            </wp:positionV>
            <wp:extent cx="3175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31750" cy="9525"/>
                    </a:xfrm>
                    <a:prstGeom prst="rect">
                      <a:avLst/>
                    </a:prstGeom>
                    <a:noFill/>
                  </pic:spPr>
                </pic:pic>
              </a:graphicData>
            </a:graphic>
          </wp:anchor>
        </w:drawing>
      </w:r>
    </w:p>
    <w:sectPr>
      <w:pgSz w:w="11900" w:h="16838" w:orient="portrait"/>
      <w:cols w:equalWidth="0" w:num="1">
        <w:col w:w="10600"/>
      </w:cols>
      <w:pgMar w:left="580" w:top="870"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642817" TargetMode="External"/><Relationship Id="rId11" Type="http://schemas.openxmlformats.org/officeDocument/2006/relationships/hyperlink" Target="http://www.sec.gov/cgi-bin/browse-edgar?action=getcompany&amp;CIK=00020678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2026-01-05T17:40:34Z</dcterms:created>
  <dcterms:modified xsi:type="dcterms:W3CDTF">2026-01-05T17:40:34Z</dcterms:modified>
</cp:coreProperties>
</file>