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confidentially submitted to the Securities and Exchange Commission on August 29,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377-08061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040" w:type="dxa"/>
            <w:vAlign w:val="bottom"/>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149"/>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40" w:type="dxa"/>
            <w:vAlign w:val="bottom"/>
          </w:tcPr>
          <w:p>
            <w:pPr>
              <w:jc w:val="center"/>
              <w:ind w:left="3636"/>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40" w:type="dxa"/>
            <w:vAlign w:val="bottom"/>
          </w:tcPr>
          <w:p>
            <w:pPr>
              <w:jc w:val="center"/>
              <w:ind w:left="3636"/>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2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 Rockefeller Plaza</w:t>
            </w:r>
          </w:p>
        </w:tc>
        <w:tc>
          <w:tcPr>
            <w:tcW w:w="5040" w:type="dxa"/>
            <w:vAlign w:val="bottom"/>
          </w:tcPr>
          <w:p>
            <w:pPr>
              <w:spacing w:after="0"/>
              <w:rPr>
                <w:sz w:val="24"/>
                <w:szCs w:val="24"/>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504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10112</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5040" w:type="dxa"/>
            <w:vAlign w:val="bottom"/>
          </w:tcPr>
          <w:p>
            <w:pPr>
              <w:jc w:val="center"/>
              <w:ind w:left="3636"/>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320" w:type="dxa"/>
            <w:vAlign w:val="bottom"/>
          </w:tcPr>
          <w:p>
            <w:pPr>
              <w:spacing w:after="0"/>
              <w:rPr>
                <w:sz w:val="24"/>
                <w:szCs w:val="24"/>
                <w:color w:val="auto"/>
              </w:rPr>
            </w:pPr>
          </w:p>
        </w:tc>
        <w:tc>
          <w:tcPr>
            <w:tcW w:w="504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9"/>
              </w:rPr>
              <w:t>(212) 664-4444</w:t>
            </w:r>
          </w:p>
        </w:tc>
      </w:tr>
      <w:tr>
        <w:trPr>
          <w:trHeight w:val="188"/>
        </w:trPr>
        <w:tc>
          <w:tcPr>
            <w:tcW w:w="2320" w:type="dxa"/>
            <w:vAlign w:val="bottom"/>
          </w:tcPr>
          <w:p>
            <w:pPr>
              <w:spacing w:after="0"/>
              <w:rPr>
                <w:sz w:val="16"/>
                <w:szCs w:val="16"/>
                <w:color w:val="auto"/>
              </w:rPr>
            </w:pPr>
          </w:p>
        </w:tc>
        <w:tc>
          <w:tcPr>
            <w:tcW w:w="5040" w:type="dxa"/>
            <w:vAlign w:val="bottom"/>
          </w:tcPr>
          <w:p>
            <w:pPr>
              <w:jc w:val="center"/>
              <w:ind w:right="187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93"/>
        </w:trPr>
        <w:tc>
          <w:tcPr>
            <w:tcW w:w="2320" w:type="dxa"/>
            <w:vAlign w:val="bottom"/>
          </w:tcPr>
          <w:p>
            <w:pPr>
              <w:spacing w:after="0"/>
              <w:rPr>
                <w:sz w:val="24"/>
                <w:szCs w:val="24"/>
                <w:color w:val="auto"/>
              </w:rPr>
            </w:pPr>
          </w:p>
        </w:tc>
        <w:tc>
          <w:tcPr>
            <w:tcW w:w="5040" w:type="dxa"/>
            <w:vAlign w:val="bottom"/>
          </w:tcPr>
          <w:p>
            <w:pPr>
              <w:jc w:val="center"/>
              <w:ind w:right="1856"/>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rPr>
              <w:t>John B. Meade</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Stephen A. Byeff</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r>
      <w:tr>
        <w:trPr>
          <w:trHeight w:val="238"/>
        </w:trPr>
        <w:tc>
          <w:tcPr>
            <w:tcW w:w="2320" w:type="dxa"/>
            <w:vAlign w:val="bottom"/>
          </w:tcPr>
          <w:p>
            <w:pPr>
              <w:spacing w:after="0"/>
              <w:rPr>
                <w:sz w:val="20"/>
                <w:szCs w:val="20"/>
                <w:color w:val="auto"/>
              </w:rPr>
            </w:pPr>
          </w:p>
        </w:tc>
        <w:tc>
          <w:tcPr>
            <w:tcW w:w="5040" w:type="dxa"/>
            <w:vAlign w:val="bottom"/>
          </w:tcPr>
          <w:p>
            <w:pPr>
              <w:jc w:val="center"/>
              <w:ind w:right="1856"/>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73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“Risk Factors” and “Special Note Regarding Forward-Looking Statements” of the information statement.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“Capitalization,” “Unaudited Pro Forma Combined Financial Statements,”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“Business—Properties”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“Ownership of Common Stock by Certain Beneficial Owners and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“Compensation Discussion and Analysis” and “Management” of the information statement.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“Business—Legal Proceedings”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ind w:right="76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Stock—Distributions of Securities”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66" w:right="7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988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Separation and Distribution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Articles of Incorporation of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Transition Services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Tax Matters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Employee Matters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Versant Media Group, Inc. Omnibus Equity Incentive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Indemnification Agreement for Non-Employee Directors*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Mark Lazarus*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Anand M. Kini*</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Jordan R. Fasbender*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Preliminary Information Statement dated August 29, 2025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417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Form 10 relating to these securities has been filed with</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but has not yet become effective.</w:t>
            </w:r>
          </w:p>
        </w:tc>
      </w:tr>
      <w:tr>
        <w:trPr>
          <w:trHeight w:val="197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registration statement on</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Act of 1934, as amended,</w:t>
            </w:r>
          </w:p>
        </w:tc>
      </w:tr>
      <w:tr>
        <w:trPr>
          <w:trHeight w:val="554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Information contained herein is subject to completion or amendment. A</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Securities and Exchange Commission under the Securities Exchange</w:t>
            </w:r>
          </w:p>
        </w:tc>
      </w:tr>
    </w:tbl>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FF4338"/>
        </w:rPr>
        <w:t>Preliminary Information Statement</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29,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97155</wp:posOffset>
            </wp:positionV>
            <wp:extent cx="1423035" cy="951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1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151765</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right="920" w:firstLine="371"/>
        <w:spacing w:after="0" w:line="269" w:lineRule="auto"/>
        <w:rPr>
          <w:sz w:val="20"/>
          <w:szCs w:val="20"/>
          <w:color w:val="auto"/>
        </w:rPr>
      </w:pPr>
      <w:r>
        <w:rPr>
          <w:rFonts w:ascii="Times New Roman" w:cs="Times New Roman" w:eastAsia="Times New Roman" w:hAnsi="Times New Roman"/>
          <w:sz w:val="16"/>
          <w:szCs w:val="16"/>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All of the shares of Versant Class A common stock, par value $0.01 per share (the “Versant Class A common stock”), and Versant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common stock, par value $0.01 per share (the “Versant Class B common stock” and, together with the Versant Class A common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“Versant common stock”), will be distributed, respectively, to the holders of Comcast Class A common stock, par value $0.01 per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“Comcast Class A common stock”), and holders of Comcast Class B common stock, par value $0.01 per share (the “Comcast Class 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together with the Comcast Class A common stock, the “Comcast common stock”), of record as of the close of business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2025, the record date (the “Distribution” and, together with the Transactions, the “Separation”). </w:t>
      </w:r>
    </w:p>
    <w:p>
      <w:pPr>
        <w:spacing w:after="0" w:line="119" w:lineRule="exact"/>
        <w:rPr>
          <w:sz w:val="20"/>
          <w:szCs w:val="20"/>
          <w:color w:val="auto"/>
        </w:rPr>
      </w:pPr>
    </w:p>
    <w:p>
      <w:pPr>
        <w:ind w:right="1100" w:firstLine="371"/>
        <w:spacing w:after="0" w:line="281" w:lineRule="auto"/>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w:t>
      </w:r>
    </w:p>
    <w:p>
      <w:pPr>
        <w:spacing w:after="0" w:line="69" w:lineRule="exact"/>
        <w:rPr>
          <w:sz w:val="20"/>
          <w:szCs w:val="20"/>
          <w:color w:val="auto"/>
        </w:rPr>
      </w:pPr>
    </w:p>
    <w:p>
      <w:pPr>
        <w:ind w:right="880" w:firstLine="371"/>
        <w:spacing w:after="0" w:line="275" w:lineRule="auto"/>
        <w:rPr>
          <w:sz w:val="20"/>
          <w:szCs w:val="20"/>
          <w:color w:val="auto"/>
        </w:rPr>
      </w:pPr>
      <w:r>
        <w:rPr>
          <w:rFonts w:ascii="Times New Roman" w:cs="Times New Roman" w:eastAsia="Times New Roman" w:hAnsi="Times New Roman"/>
          <w:sz w:val="16"/>
          <w:szCs w:val="16"/>
          <w:color w:val="auto"/>
        </w:rPr>
        <w:t>The Distribution is expected to be completed after the close of trading on The Nasdaq Stock Market LLC (“Nasdaq”) on        , 2025.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75" w:lineRule="exact"/>
        <w:rPr>
          <w:sz w:val="20"/>
          <w:szCs w:val="20"/>
          <w:color w:val="auto"/>
        </w:rPr>
      </w:pPr>
    </w:p>
    <w:p>
      <w:pPr>
        <w:jc w:val="both"/>
        <w:ind w:right="920" w:firstLine="371"/>
        <w:spacing w:after="0" w:line="281" w:lineRule="auto"/>
        <w:rPr>
          <w:sz w:val="20"/>
          <w:szCs w:val="20"/>
          <w:color w:val="auto"/>
        </w:rPr>
      </w:pPr>
      <w:r>
        <w:rPr>
          <w:rFonts w:ascii="Times New Roman" w:cs="Times New Roman" w:eastAsia="Times New Roman" w:hAnsi="Times New Roman"/>
          <w:sz w:val="16"/>
          <w:szCs w:val="16"/>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69" w:lineRule="exact"/>
        <w:rPr>
          <w:sz w:val="20"/>
          <w:szCs w:val="20"/>
          <w:color w:val="auto"/>
        </w:rPr>
      </w:pPr>
    </w:p>
    <w:p>
      <w:pPr>
        <w:ind w:right="880" w:firstLine="371"/>
        <w:spacing w:after="0" w:line="272" w:lineRule="auto"/>
        <w:rPr>
          <w:sz w:val="20"/>
          <w:szCs w:val="20"/>
          <w:color w:val="auto"/>
        </w:rPr>
      </w:pPr>
      <w:r>
        <w:rPr>
          <w:rFonts w:ascii="Times New Roman" w:cs="Times New Roman" w:eastAsia="Times New Roman" w:hAnsi="Times New Roman"/>
          <w:sz w:val="16"/>
          <w:szCs w:val="16"/>
          <w:color w:val="auto"/>
        </w:rPr>
        <w:t>There currently is no trading market for Versant Class A common stock. Versant has applied to have its shares of Class A common stock listed on Nasdaq under the ticker symbol “VSNT.” Assuming Nasdaq authorizes Versant Class A common stock for listing, we anticipate that a limited market, commonly known as a “when-issued” trading market, for Versant Class A common stock will commence on         ,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144145</wp:posOffset>
            </wp:positionV>
            <wp:extent cx="123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0" w:lineRule="exact"/>
        <w:rPr>
          <w:sz w:val="20"/>
          <w:szCs w:val="20"/>
          <w:color w:val="auto"/>
        </w:rPr>
      </w:pPr>
    </w:p>
    <w:p>
      <w:pPr>
        <w:ind w:right="10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22.</w:t>
      </w:r>
    </w:p>
    <w:p>
      <w:pPr>
        <w:spacing w:after="0" w:line="52" w:lineRule="exact"/>
        <w:rPr>
          <w:sz w:val="20"/>
          <w:szCs w:val="20"/>
          <w:color w:val="auto"/>
        </w:rPr>
      </w:pPr>
    </w:p>
    <w:p>
      <w:pPr>
        <w:ind w:right="1020" w:firstLine="371"/>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information statement does not constitute an offer to sell or the solicitation of an offer to buy any securities.</w:t>
      </w:r>
    </w:p>
    <w:p>
      <w:pPr>
        <w:spacing w:after="0" w:line="1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color w:val="auto"/>
        </w:rPr>
        <w:t xml:space="preserve">The date of this information statement is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 2025.</w:t>
      </w:r>
    </w:p>
    <w:p>
      <w:pPr>
        <w:spacing w:after="0" w:line="129" w:lineRule="exact"/>
        <w:rPr>
          <w:sz w:val="20"/>
          <w:szCs w:val="20"/>
          <w:color w:val="auto"/>
        </w:rPr>
      </w:pPr>
    </w:p>
    <w:p>
      <w:pPr>
        <w:ind w:right="1120" w:firstLine="371"/>
        <w:spacing w:after="0" w:line="298" w:lineRule="auto"/>
        <w:rPr>
          <w:sz w:val="20"/>
          <w:szCs w:val="20"/>
          <w:color w:val="auto"/>
        </w:rPr>
      </w:pPr>
      <w:r>
        <w:rPr>
          <w:rFonts w:ascii="Times New Roman" w:cs="Times New Roman" w:eastAsia="Times New Roman" w:hAnsi="Times New Roman"/>
          <w:sz w:val="16"/>
          <w:szCs w:val="16"/>
          <w:color w:val="auto"/>
        </w:rPr>
        <w:t>A Notice of Internet Availability of Information Statement Materials containing instructions describing how to access the information statement was first made available to Comcast shareholders on or about         , 2025.</w:t>
      </w:r>
    </w:p>
    <w:p>
      <w:pPr>
        <w:sectPr>
          <w:pgSz w:w="11900" w:h="16838" w:orient="portrait"/>
          <w:cols w:equalWidth="0" w:num="2">
            <w:col w:w="500" w:space="480"/>
            <w:col w:w="10160"/>
          </w:cols>
          <w:pgMar w:left="320" w:top="117"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34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Presentation of Financial and Other Information</w:t>
            </w:r>
          </w:p>
        </w:tc>
        <w:tc>
          <w:tcPr>
            <w:tcW w:w="7180" w:type="dxa"/>
            <w:vAlign w:val="bottom"/>
            <w:gridSpan w:val="6"/>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0000EE"/>
            </w:tcBorders>
            <w:gridSpan w:val="12"/>
            <w:vMerge w:val="continue"/>
          </w:tcPr>
          <w:p>
            <w:pPr>
              <w:spacing w:after="0"/>
              <w:rPr>
                <w:sz w:val="15"/>
                <w:szCs w:val="15"/>
                <w:color w:val="auto"/>
              </w:rPr>
            </w:pPr>
          </w:p>
        </w:tc>
        <w:tc>
          <w:tcPr>
            <w:tcW w:w="7180" w:type="dxa"/>
            <w:vAlign w:val="bottom"/>
            <w:gridSpan w:val="6"/>
            <w:vMerge w:val="continue"/>
          </w:tcPr>
          <w:p>
            <w:pPr>
              <w:spacing w:after="0"/>
              <w:rPr>
                <w:sz w:val="15"/>
                <w:szCs w:val="15"/>
                <w:color w:val="auto"/>
              </w:rPr>
            </w:pPr>
          </w:p>
        </w:tc>
        <w:tc>
          <w:tcPr>
            <w:tcW w:w="3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9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Separation</w:t>
            </w:r>
          </w:p>
        </w:tc>
        <w:tc>
          <w:tcPr>
            <w:tcW w:w="95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Statements</w:t>
            </w:r>
          </w:p>
        </w:tc>
        <w:tc>
          <w:tcPr>
            <w:tcW w:w="67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96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Ownership of Common Stock by Certain Beneficial Owners and Management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50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9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Combined Financial Statements</w:t>
            </w:r>
          </w:p>
        </w:tc>
        <w:tc>
          <w:tcPr>
            <w:tcW w:w="77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 the following terms to refer to the items indicated:</w:t>
      </w:r>
    </w:p>
    <w:p>
      <w:pPr>
        <w:spacing w:after="0" w:line="131" w:lineRule="exact"/>
        <w:rPr>
          <w:sz w:val="20"/>
          <w:szCs w:val="20"/>
          <w:color w:val="auto"/>
        </w:rPr>
      </w:pPr>
    </w:p>
    <w:p>
      <w:pPr>
        <w:ind w:left="108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 Business” refers to the business, operations, products, services and activities of certain of Comcast’s cable television networks, including MSNBC, CNBC, USA Network, Golf Channel, E!, SYFY and Oxygen, and complementary digital platforms, including GolfNow, Fandango, Rotten Tomatoes and SportsEngine. See “Business” for more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common stock means, together, Comcast Class A common stock and Comcast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common stock means, together, Versant Class A common stock and Versant Class B common stock.</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refers to the distribution of all of the shares of Versant common stock owned by Comcast to the holders of Comcast common stock as of the record date.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Date” means the date on which the Distribution occurs.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47" w:lineRule="auto"/>
        <w:rPr>
          <w:sz w:val="20"/>
          <w:szCs w:val="20"/>
          <w:color w:val="auto"/>
        </w:rPr>
      </w:pPr>
      <w:r>
        <w:rPr>
          <w:rFonts w:ascii="Times New Roman" w:cs="Times New Roman" w:eastAsia="Times New Roman" w:hAnsi="Times New Roman"/>
          <w:sz w:val="17"/>
          <w:szCs w:val="17"/>
          <w:color w:val="auto"/>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unaudited condensed combined financial statements for the six months ended June 30, 2025 and our audited combined financial statements for the year ended December 31, 2024 (collectively, the “combined financial statements”) and accompanying notes included elsewhere in this information statement, “Summary—Summary Combined Financial and Other Data,” “Management’s Discussion and Analysis of Financial Condition and Results of Operations” and “Unaudited Pro Forma Combined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50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w:t>
      </w:r>
    </w:p>
    <w:p>
      <w:pPr>
        <w:spacing w:after="0" w:line="67" w:lineRule="exact"/>
        <w:rPr>
          <w:sz w:val="20"/>
          <w:szCs w:val="20"/>
          <w:color w:val="auto"/>
        </w:rPr>
      </w:pPr>
    </w:p>
    <w:p>
      <w:pPr>
        <w:ind w:left="1240" w:hanging="415"/>
        <w:spacing w:after="0" w:line="272"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MSNBC is a premier destination for politics, news and opinion through informed, distinct perspectives and analysis. MSNBC operates across multiple media platforms: multichannel video programming distributors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 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77" w:lineRule="exact"/>
        <w:rPr>
          <w:rFonts w:ascii="Times New Roman" w:cs="Times New Roman" w:eastAsia="Times New Roman" w:hAnsi="Times New Roman"/>
          <w:sz w:val="17"/>
          <w:szCs w:val="17"/>
          <w:color w:val="auto"/>
        </w:rPr>
      </w:pPr>
    </w:p>
    <w:p>
      <w:pPr>
        <w:ind w:left="1240" w:right="4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95" w:lineRule="exact"/>
        <w:rPr>
          <w:sz w:val="20"/>
          <w:szCs w:val="20"/>
          <w:color w:val="auto"/>
        </w:rPr>
      </w:pPr>
    </w:p>
    <w:p>
      <w:pPr>
        <w:ind w:left="1240" w:right="240"/>
        <w:spacing w:after="0" w:line="266" w:lineRule="auto"/>
        <w:rPr>
          <w:sz w:val="20"/>
          <w:szCs w:val="20"/>
          <w:color w:val="auto"/>
        </w:rPr>
      </w:pPr>
      <w:r>
        <w:rPr>
          <w:rFonts w:ascii="Times New Roman" w:cs="Times New Roman" w:eastAsia="Times New Roman" w:hAnsi="Times New Roman"/>
          <w:sz w:val="18"/>
          <w:szCs w:val="18"/>
          <w:color w:val="auto"/>
        </w:rPr>
        <w:t>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1" w:lineRule="exact"/>
        <w:rPr>
          <w:sz w:val="20"/>
          <w:szCs w:val="20"/>
          <w:color w:val="auto"/>
        </w:rPr>
      </w:pPr>
    </w:p>
    <w:p>
      <w:pPr>
        <w:ind w:left="1240" w:right="80" w:hanging="415"/>
        <w:spacing w:after="0" w:line="261"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Open Championship and the Ryder Cup, the Premier League, college basketball and the Olympics. USA Network has been a top-five cable entertainment network each year for the past 30 years.</w:t>
      </w:r>
    </w:p>
    <w:p>
      <w:pPr>
        <w:spacing w:after="0" w:line="85" w:lineRule="exact"/>
        <w:rPr>
          <w:rFonts w:ascii="Times New Roman" w:cs="Times New Roman" w:eastAsia="Times New Roman" w:hAnsi="Times New Roman"/>
          <w:sz w:val="18"/>
          <w:szCs w:val="18"/>
          <w:color w:val="auto"/>
        </w:rPr>
      </w:pPr>
    </w:p>
    <w:p>
      <w:pPr>
        <w:ind w:left="1240" w:right="500" w:hanging="415"/>
        <w:spacing w:after="0" w:line="266"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9" w:lineRule="auto"/>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63"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85"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81"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85" w:lineRule="exact"/>
        <w:rPr>
          <w:rFonts w:ascii="Times New Roman" w:cs="Times New Roman" w:eastAsia="Times New Roman" w:hAnsi="Times New Roman"/>
          <w:sz w:val="18"/>
          <w:szCs w:val="18"/>
          <w:color w:val="auto"/>
        </w:rPr>
      </w:pPr>
    </w:p>
    <w:p>
      <w:pPr>
        <w:ind w:left="1240" w:hanging="415"/>
        <w:spacing w:after="0" w:line="230"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Fandango Media includes Rotten Tomatoes, one of the world’s most trusted sources of movie and television reviews.</w:t>
      </w:r>
    </w:p>
    <w:p>
      <w:pPr>
        <w:spacing w:after="0" w:line="169" w:lineRule="exact"/>
        <w:rPr>
          <w:rFonts w:ascii="Times New Roman" w:cs="Times New Roman" w:eastAsia="Times New Roman" w:hAnsi="Times New Roman"/>
          <w:sz w:val="18"/>
          <w:szCs w:val="18"/>
          <w:color w:val="auto"/>
        </w:rPr>
      </w:pPr>
    </w:p>
    <w:p>
      <w:pPr>
        <w:ind w:left="500" w:right="220" w:hanging="203"/>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i w:val="1"/>
          <w:iCs w:val="1"/>
          <w:color w:val="auto"/>
        </w:rPr>
        <w:t xml:space="preserve"> Source: Comscore Media Metrix Multi-Platform, July 2024 – August 2024, Desktop &amp; Mobile excluding Social Incremental, Monthly Unique Visitors, Desktop 2+ and Total Mobile 18+, [C] Fandango Sites.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07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w:t>
      </w: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Our sports programming and related content is typically licensed under multiyear contractual agreements with the relevant sports leagues, and is produced by a combination of in-house and third-party teams. Following</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64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95"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Content—Sports Programming” for more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996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95"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8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64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7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95"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(the “Distribution” and, together with the Transactions,</w:t>
      </w:r>
    </w:p>
    <w:p>
      <w:pPr>
        <w:spacing w:after="0" w:line="3" w:lineRule="exact"/>
        <w:rPr>
          <w:sz w:val="20"/>
          <w:szCs w:val="20"/>
          <w:color w:val="auto"/>
        </w:rPr>
      </w:pPr>
    </w:p>
    <w:p>
      <w:pPr>
        <w:ind w:left="300" w:right="280"/>
        <w:spacing w:after="0" w:line="253" w:lineRule="auto"/>
        <w:rPr>
          <w:sz w:val="20"/>
          <w:szCs w:val="20"/>
          <w:color w:val="auto"/>
        </w:rPr>
      </w:pPr>
      <w:r>
        <w:rPr>
          <w:rFonts w:ascii="Times New Roman" w:cs="Times New Roman" w:eastAsia="Times New Roman" w:hAnsi="Times New Roman"/>
          <w:sz w:val="18"/>
          <w:szCs w:val="18"/>
          <w:color w:val="auto"/>
        </w:rPr>
        <w:t>the “Separation”).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7" w:lineRule="exact"/>
        <w:rPr>
          <w:sz w:val="20"/>
          <w:szCs w:val="20"/>
          <w:color w:val="auto"/>
        </w:rPr>
      </w:pPr>
    </w:p>
    <w:p>
      <w:pPr>
        <w:ind w:left="1240" w:right="120" w:hanging="415"/>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Versant will seek to harness its business comprised of certain networks and complementary digital platforms to provide differentiated news, sports and entertainment content and</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15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95" w:lineRule="exact"/>
        <w:rPr>
          <w:sz w:val="20"/>
          <w:szCs w:val="20"/>
          <w:color w:val="auto"/>
        </w:rPr>
      </w:pPr>
    </w:p>
    <w:p>
      <w:pPr>
        <w:ind w:left="1240" w:right="60"/>
        <w:spacing w:after="0" w:line="261" w:lineRule="auto"/>
        <w:rPr>
          <w:sz w:val="20"/>
          <w:szCs w:val="20"/>
          <w:color w:val="auto"/>
        </w:rPr>
      </w:pPr>
      <w:r>
        <w:rPr>
          <w:rFonts w:ascii="Times New Roman" w:cs="Times New Roman" w:eastAsia="Times New Roman" w:hAnsi="Times New Roman"/>
          <w:sz w:val="18"/>
          <w:szCs w:val="18"/>
          <w:color w:val="auto"/>
        </w:rPr>
        <w:t>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1" w:lineRule="exact"/>
        <w:rPr>
          <w:sz w:val="20"/>
          <w:szCs w:val="20"/>
          <w:color w:val="auto"/>
        </w:rPr>
      </w:pPr>
    </w:p>
    <w:p>
      <w:pPr>
        <w:ind w:left="1240" w:right="20" w:hanging="415"/>
        <w:spacing w:after="0" w:line="25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87"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240" w:right="200" w:hanging="415"/>
        <w:spacing w:after="0" w:line="25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92"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The Distribution is subject to the satisfaction or waiver of certain conditions. For more information, see “Risk Factors—Spin-Related Risk Factors” and “The Separation—Conditions to the Distribution” included elsewhere in this information statement.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264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Versant was incorporated in Pennsylvania on May 1, 2025. Versant will not conduct any operations and will have no material assets or liabilities prior to the completion of the Transactions, pursuant to which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and our telephone number is        . Our Internet site will be www.versantmedia.com. Our website and the information contained therein or connected thereto is not incorporated into this information statement or the registration statement of which it forms a part.</w:t>
      </w: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00"/>
          </w:cols>
          <w:pgMar w:left="320" w:top="455" w:right="11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47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Please see “The Separation” for a more detailed description of the matters summarized below.</w:t>
      </w:r>
    </w:p>
    <w:p>
      <w:pPr>
        <w:spacing w:after="0" w:line="133"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am I receiving this document?</w:t>
      </w:r>
    </w:p>
    <w:p>
      <w:pPr>
        <w:spacing w:after="0" w:line="133" w:lineRule="exact"/>
        <w:rPr>
          <w:sz w:val="20"/>
          <w:szCs w:val="20"/>
          <w:color w:val="auto"/>
        </w:rPr>
      </w:pPr>
    </w:p>
    <w:p>
      <w:pPr>
        <w:jc w:val="both"/>
        <w:ind w:left="720" w:right="20" w:hanging="422"/>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26"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do I have to do to participate in the Separation?</w:t>
      </w:r>
    </w:p>
    <w:p>
      <w:pPr>
        <w:spacing w:after="0" w:line="133" w:lineRule="exact"/>
        <w:rPr>
          <w:sz w:val="20"/>
          <w:szCs w:val="20"/>
          <w:color w:val="auto"/>
        </w:rPr>
      </w:pPr>
    </w:p>
    <w:p>
      <w:pPr>
        <w:ind w:left="720" w:hanging="422"/>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30"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Comcast separating the Spin Business from its other businesses?</w:t>
      </w:r>
    </w:p>
    <w:p>
      <w:pPr>
        <w:spacing w:after="0" w:line="133" w:lineRule="exact"/>
        <w:rPr>
          <w:sz w:val="20"/>
          <w:szCs w:val="20"/>
          <w:color w:val="auto"/>
        </w:rPr>
      </w:pPr>
    </w:p>
    <w:p>
      <w:pPr>
        <w:jc w:val="both"/>
        <w:ind w:left="720" w:right="220" w:hanging="422"/>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22" w:lineRule="exact"/>
        <w:rPr>
          <w:sz w:val="20"/>
          <w:szCs w:val="20"/>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Versant?</w:t>
      </w:r>
    </w:p>
    <w:p>
      <w:pPr>
        <w:spacing w:after="0" w:line="133" w:lineRule="exact"/>
        <w:rPr>
          <w:sz w:val="20"/>
          <w:szCs w:val="20"/>
          <w:color w:val="auto"/>
        </w:rPr>
      </w:pPr>
    </w:p>
    <w:p>
      <w:pPr>
        <w:ind w:left="720" w:right="500" w:hanging="422"/>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a newly formed Pennsylvania corporation that will hold the Spin Business, directly or indirectly through its subsidiaries, and Versant Class A common stock will be publicly traded following the Separation.</w:t>
      </w:r>
    </w:p>
    <w:p>
      <w:pPr>
        <w:spacing w:after="0" w:line="308"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accomplish the Separation of Versant?</w:t>
      </w:r>
    </w:p>
    <w:p>
      <w:pPr>
        <w:spacing w:after="0" w:line="133" w:lineRule="exact"/>
        <w:rPr>
          <w:sz w:val="20"/>
          <w:szCs w:val="20"/>
          <w:color w:val="auto"/>
        </w:rPr>
      </w:pPr>
    </w:p>
    <w:p>
      <w:pPr>
        <w:ind w:left="720" w:right="100" w:hanging="422"/>
        <w:spacing w:after="0" w:line="281"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311" w:lineRule="exact"/>
        <w:rPr>
          <w:sz w:val="20"/>
          <w:szCs w:val="20"/>
          <w:color w:val="auto"/>
        </w:rPr>
      </w:pPr>
    </w:p>
    <w:p>
      <w:pPr>
        <w:ind w:left="720" w:hanging="422"/>
        <w:spacing w:after="0"/>
        <w:tabs>
          <w:tab w:leader="none" w:pos="7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I receive in the Distribution?</w:t>
      </w:r>
    </w:p>
    <w:p>
      <w:pPr>
        <w:spacing w:after="0" w:line="133" w:lineRule="exact"/>
        <w:rPr>
          <w:sz w:val="20"/>
          <w:szCs w:val="20"/>
          <w:color w:val="auto"/>
        </w:rPr>
      </w:pPr>
    </w:p>
    <w:p>
      <w:pPr>
        <w:ind w:left="720" w:right="140" w:hanging="422"/>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Comcast common stock as of the record date will be entitled to receive share(s) of Versant Class A common stock or Versant Class B common stock for every share(s) of Comcast Class A common stock or Comcast Class B common stock, respectively, held by them on the record date.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827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93"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does my ownership in Comcast change as a result of the Separation?</w:t>
      </w:r>
    </w:p>
    <w:p>
      <w:pPr>
        <w:spacing w:after="0" w:line="133"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proportionate interest in Comcast will not change as a result of the Separation.</w:t>
      </w:r>
    </w:p>
    <w:p>
      <w:pPr>
        <w:spacing w:after="0" w:line="372"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the record date for the Distribution?</w:t>
      </w:r>
    </w:p>
    <w:p>
      <w:pPr>
        <w:spacing w:after="0" w:line="133" w:lineRule="exact"/>
        <w:rPr>
          <w:sz w:val="20"/>
          <w:szCs w:val="20"/>
          <w:color w:val="auto"/>
        </w:rPr>
      </w:pPr>
    </w:p>
    <w:p>
      <w:pPr>
        <w:ind w:left="720" w:right="20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The record date for the Distribution is        , 2025, and ownership will be determined as of the close of business on that date. When we refer to the record date in this information statement, we are referring to that time and date.</w:t>
      </w:r>
    </w:p>
    <w:p>
      <w:pPr>
        <w:spacing w:after="0" w:line="308" w:lineRule="exact"/>
        <w:rPr>
          <w:sz w:val="20"/>
          <w:szCs w:val="20"/>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will the Distribution occur?</w:t>
      </w:r>
    </w:p>
    <w:p>
      <w:pPr>
        <w:spacing w:after="0" w:line="133"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 2025.</w:t>
      </w:r>
    </w:p>
    <w:p>
      <w:pPr>
        <w:spacing w:after="0" w:line="372" w:lineRule="exact"/>
        <w:rPr>
          <w:sz w:val="20"/>
          <w:szCs w:val="20"/>
          <w:color w:val="auto"/>
        </w:rPr>
      </w:pPr>
    </w:p>
    <w:p>
      <w:pPr>
        <w:ind w:left="720" w:right="540" w:hanging="422"/>
        <w:spacing w:after="0" w:line="284" w:lineRule="auto"/>
        <w:tabs>
          <w:tab w:leader="none" w:pos="7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 holder of shares of Comcast common stock as of the record date for the Distribution, how will shares of Versant common stock be distributed to me?</w:t>
      </w:r>
    </w:p>
    <w:p>
      <w:pPr>
        <w:spacing w:after="0" w:line="66" w:lineRule="exact"/>
        <w:rPr>
          <w:sz w:val="20"/>
          <w:szCs w:val="20"/>
          <w:color w:val="auto"/>
        </w:rPr>
      </w:pPr>
    </w:p>
    <w:p>
      <w:pPr>
        <w:ind w:left="720" w:right="120" w:hanging="422"/>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7"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no Comcast shareholder vote required to approve the Separation and its material terms?</w:t>
      </w:r>
    </w:p>
    <w:p>
      <w:pPr>
        <w:spacing w:after="0" w:line="133" w:lineRule="exact"/>
        <w:rPr>
          <w:sz w:val="20"/>
          <w:szCs w:val="20"/>
          <w:color w:val="auto"/>
        </w:rPr>
      </w:pPr>
    </w:p>
    <w:p>
      <w:pPr>
        <w:ind w:left="720" w:right="260" w:hanging="422"/>
        <w:spacing w:after="0" w:line="312" w:lineRule="auto"/>
        <w:tabs>
          <w:tab w:leader="none" w:pos="7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86" w:lineRule="exact"/>
        <w:rPr>
          <w:sz w:val="20"/>
          <w:szCs w:val="20"/>
          <w:color w:val="auto"/>
        </w:rPr>
      </w:pPr>
    </w:p>
    <w:p>
      <w:pPr>
        <w:ind w:left="720" w:hanging="422"/>
        <w:spacing w:after="0"/>
        <w:tabs>
          <w:tab w:leader="none" w:pos="7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fractional shares be treated in the Distribution?</w:t>
      </w:r>
    </w:p>
    <w:p>
      <w:pPr>
        <w:spacing w:after="0" w:line="133" w:lineRule="exact"/>
        <w:rPr>
          <w:sz w:val="20"/>
          <w:szCs w:val="20"/>
          <w:color w:val="auto"/>
        </w:rPr>
      </w:pPr>
    </w:p>
    <w:p>
      <w:pPr>
        <w:ind w:left="720" w:hanging="422"/>
        <w:spacing w:after="0" w:line="25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34" w:lineRule="exact"/>
        <w:rPr>
          <w:sz w:val="20"/>
          <w:szCs w:val="20"/>
          <w:color w:val="auto"/>
        </w:rPr>
      </w:pPr>
    </w:p>
    <w:p>
      <w:pPr>
        <w:ind w:left="720" w:hanging="422"/>
        <w:spacing w:after="0"/>
        <w:tabs>
          <w:tab w:leader="none" w:pos="7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are the U.S. federal income tax consequences to me of the Distribution?</w:t>
      </w:r>
    </w:p>
    <w:p>
      <w:pPr>
        <w:spacing w:after="0" w:line="133" w:lineRule="exact"/>
        <w:rPr>
          <w:sz w:val="20"/>
          <w:szCs w:val="20"/>
          <w:color w:val="auto"/>
        </w:rPr>
      </w:pPr>
    </w:p>
    <w:p>
      <w:pPr>
        <w:ind w:left="720" w:right="200" w:hanging="422"/>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481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95" w:lineRule="exact"/>
        <w:rPr>
          <w:sz w:val="20"/>
          <w:szCs w:val="20"/>
          <w:color w:val="auto"/>
        </w:rPr>
      </w:pPr>
    </w:p>
    <w:p>
      <w:pPr>
        <w:ind w:left="720" w:right="120"/>
        <w:spacing w:after="0" w:line="255" w:lineRule="auto"/>
        <w:rPr>
          <w:sz w:val="20"/>
          <w:szCs w:val="20"/>
          <w:color w:val="auto"/>
        </w:rPr>
      </w:pPr>
      <w:r>
        <w:rPr>
          <w:rFonts w:ascii="Times New Roman" w:cs="Times New Roman" w:eastAsia="Times New Roman" w:hAnsi="Times New Roman"/>
          <w:sz w:val="18"/>
          <w:szCs w:val="18"/>
          <w:color w:val="auto"/>
        </w:rPr>
        <w:t>of 1986, as amended (the “Code”) and a distribution to which Section 355 of the Code applies, and the distribution by Comcast of the proceeds from the Special Cash Payment (as defined below) as provided in the Separation and Distribution Agreement (the “Comcast Cash Distribution”) will qualify as money distributed to Comcast creditors or shareholders in connection with the reorganization for purposes of Section 361(b) of the Code.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35" w:lineRule="exact"/>
        <w:rPr>
          <w:sz w:val="20"/>
          <w:szCs w:val="20"/>
          <w:color w:val="auto"/>
        </w:rPr>
      </w:pPr>
    </w:p>
    <w:p>
      <w:pPr>
        <w:ind w:left="720" w:hanging="422"/>
        <w:spacing w:after="0"/>
        <w:tabs>
          <w:tab w:leader="none" w:pos="7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I determine the tax basis I will have in my Comcast shares after the Distribution and Versant shares I receive in the Distribution?</w:t>
      </w:r>
    </w:p>
    <w:p>
      <w:pPr>
        <w:spacing w:after="0" w:line="133" w:lineRule="exact"/>
        <w:rPr>
          <w:sz w:val="20"/>
          <w:szCs w:val="20"/>
          <w:color w:val="auto"/>
        </w:rPr>
      </w:pPr>
    </w:p>
    <w:p>
      <w:pPr>
        <w:ind w:left="720" w:right="200" w:hanging="422"/>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 Material U.S. Federal Income Tax Consequences of the Distribution.”</w:t>
      </w:r>
    </w:p>
    <w:p>
      <w:pPr>
        <w:spacing w:after="0" w:line="334" w:lineRule="exact"/>
        <w:rPr>
          <w:sz w:val="20"/>
          <w:szCs w:val="20"/>
          <w:color w:val="auto"/>
        </w:rPr>
      </w:pPr>
    </w:p>
    <w:p>
      <w:pPr>
        <w:ind w:left="720" w:hanging="422"/>
        <w:spacing w:after="0"/>
        <w:tabs>
          <w:tab w:leader="none" w:pos="7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Class A common stock and Versant Class A common stock trade after the Separation?</w:t>
      </w:r>
    </w:p>
    <w:p>
      <w:pPr>
        <w:spacing w:after="0" w:line="133" w:lineRule="exact"/>
        <w:rPr>
          <w:sz w:val="20"/>
          <w:szCs w:val="20"/>
          <w:color w:val="auto"/>
        </w:rPr>
      </w:pPr>
    </w:p>
    <w:p>
      <w:pPr>
        <w:ind w:left="720" w:right="60" w:hanging="422"/>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currently no public market for Versant Class A common stock. We expect to have shares of Versant Class A common stock listed on Nasdaq under the ticker symbol “VSNT.” Comcast Class A common stock will continue to trade on Nasdaq under the ticker symbol “CMCSA.” The Versant Class B common stock will not be listed on any stock exchange.</w:t>
      </w:r>
    </w:p>
    <w:p>
      <w:pPr>
        <w:spacing w:after="0" w:line="322" w:lineRule="exact"/>
        <w:rPr>
          <w:sz w:val="20"/>
          <w:szCs w:val="20"/>
          <w:color w:val="auto"/>
        </w:rPr>
      </w:pPr>
    </w:p>
    <w:p>
      <w:pPr>
        <w:ind w:left="720" w:hanging="422"/>
        <w:spacing w:after="0" w:line="284" w:lineRule="auto"/>
        <w:tabs>
          <w:tab w:leader="none" w:pos="7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I sell my shares of Comcast Class A common stock before or on the Distribution Date, will I still be entitled to receive Versant shares in the Distribution with respect to the sold shares?</w:t>
      </w:r>
    </w:p>
    <w:p>
      <w:pPr>
        <w:spacing w:after="0" w:line="66" w:lineRule="exact"/>
        <w:rPr>
          <w:sz w:val="20"/>
          <w:szCs w:val="20"/>
          <w:color w:val="auto"/>
        </w:rPr>
      </w:pPr>
    </w:p>
    <w:p>
      <w:pPr>
        <w:ind w:left="720" w:right="20" w:hanging="422"/>
        <w:spacing w:after="0" w:line="277" w:lineRule="auto"/>
        <w:tabs>
          <w:tab w:leader="none" w:pos="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59" w:lineRule="exact"/>
        <w:rPr>
          <w:rFonts w:ascii="Times New Roman" w:cs="Times New Roman" w:eastAsia="Times New Roman" w:hAnsi="Times New Roman"/>
          <w:sz w:val="17"/>
          <w:szCs w:val="17"/>
          <w:color w:val="auto"/>
        </w:rPr>
      </w:pPr>
    </w:p>
    <w:p>
      <w:pPr>
        <w:ind w:left="720"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87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93" w:lineRule="exact"/>
        <w:rPr>
          <w:sz w:val="20"/>
          <w:szCs w:val="20"/>
          <w:color w:val="auto"/>
        </w:rPr>
      </w:pPr>
    </w:p>
    <w:p>
      <w:pPr>
        <w:ind w:left="720" w:hanging="422"/>
        <w:spacing w:after="0"/>
        <w:tabs>
          <w:tab w:leader="none" w:pos="7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I receive a stock certificate for Versant shares distributed as a result of the Distribution?</w:t>
      </w:r>
    </w:p>
    <w:p>
      <w:pPr>
        <w:spacing w:after="0" w:line="133" w:lineRule="exact"/>
        <w:rPr>
          <w:sz w:val="20"/>
          <w:szCs w:val="20"/>
          <w:color w:val="auto"/>
        </w:rPr>
      </w:pPr>
    </w:p>
    <w:p>
      <w:pPr>
        <w:ind w:left="720" w:right="260" w:hanging="422"/>
        <w:spacing w:after="0" w:line="254"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who are entitled to participate in the Distribution will receive a book-entry account statement reflecting their ownership of Versant Class A common stock. We will make book-entry credits on the books of Versant for the respective shares of Versant Class A common stock that you are entitled to receive. Registered holders of Comcast Class B common stock who are entitled to participate in the Distribution will be issued share certificates representing their ownership of Versant Class B common stock. For additional information, registered shareholders in the U.S., Canada or Puerto Rico should contact Comcast’s transfer</w:t>
      </w:r>
    </w:p>
    <w:p>
      <w:pPr>
        <w:spacing w:after="0" w:line="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 See “The Separation—When and How You Will Receive the Distribution of Versant Shares.”</w:t>
      </w:r>
    </w:p>
    <w:p>
      <w:pPr>
        <w:spacing w:after="0" w:line="353" w:lineRule="exact"/>
        <w:rPr>
          <w:sz w:val="20"/>
          <w:szCs w:val="20"/>
          <w:color w:val="auto"/>
        </w:rPr>
      </w:pPr>
    </w:p>
    <w:p>
      <w:pPr>
        <w:ind w:left="720" w:hanging="422"/>
        <w:spacing w:after="0"/>
        <w:tabs>
          <w:tab w:leader="none" w:pos="72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 Comcast decide to cancel the Distribution of Versant common stock even if all the conditions have been met?</w:t>
      </w:r>
    </w:p>
    <w:p>
      <w:pPr>
        <w:spacing w:after="0" w:line="133" w:lineRule="exact"/>
        <w:rPr>
          <w:sz w:val="20"/>
          <w:szCs w:val="20"/>
          <w:color w:val="auto"/>
        </w:rPr>
      </w:pPr>
    </w:p>
    <w:p>
      <w:pPr>
        <w:ind w:left="720" w:right="700" w:hanging="422"/>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Comcast has the right to terminate, or modify the terms of, the Separation at any time prior to the Distribution, even if all of the conditions to the Distribution are satisfied.</w:t>
      </w:r>
    </w:p>
    <w:p>
      <w:pPr>
        <w:spacing w:after="0" w:line="308" w:lineRule="exact"/>
        <w:rPr>
          <w:sz w:val="20"/>
          <w:szCs w:val="20"/>
          <w:color w:val="auto"/>
        </w:rPr>
      </w:pPr>
    </w:p>
    <w:p>
      <w:pPr>
        <w:ind w:left="720" w:hanging="422"/>
        <w:spacing w:after="0"/>
        <w:tabs>
          <w:tab w:leader="none" w:pos="7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 I have dissenters’ rights?</w:t>
      </w:r>
    </w:p>
    <w:p>
      <w:pPr>
        <w:spacing w:after="0" w:line="133" w:lineRule="exact"/>
        <w:rPr>
          <w:sz w:val="20"/>
          <w:szCs w:val="20"/>
          <w:color w:val="auto"/>
        </w:rPr>
      </w:pPr>
    </w:p>
    <w:p>
      <w:pPr>
        <w:ind w:left="720" w:hanging="422"/>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Comcast shareholders do not have any dissenters’ rights in connection with the Separation.</w:t>
      </w:r>
    </w:p>
    <w:p>
      <w:pPr>
        <w:spacing w:after="0" w:line="372" w:lineRule="exact"/>
        <w:rPr>
          <w:sz w:val="20"/>
          <w:szCs w:val="20"/>
          <w:color w:val="auto"/>
        </w:rPr>
      </w:pPr>
    </w:p>
    <w:p>
      <w:pPr>
        <w:ind w:left="720" w:hanging="422"/>
        <w:spacing w:after="0"/>
        <w:tabs>
          <w:tab w:leader="none" w:pos="7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Versant incur any debt in connection with the Separation?</w:t>
      </w:r>
    </w:p>
    <w:p>
      <w:pPr>
        <w:spacing w:after="0" w:line="133" w:lineRule="exact"/>
        <w:rPr>
          <w:sz w:val="20"/>
          <w:szCs w:val="20"/>
          <w:color w:val="auto"/>
        </w:rPr>
      </w:pPr>
    </w:p>
    <w:p>
      <w:pPr>
        <w:ind w:left="720" w:right="40" w:hanging="419"/>
        <w:spacing w:after="0" w:line="257" w:lineRule="auto"/>
        <w:tabs>
          <w:tab w:leader="none" w:pos="700" w:val="left"/>
        </w:tabs>
        <w:rPr>
          <w:sz w:val="20"/>
          <w:szCs w:val="20"/>
          <w:color w:val="auto"/>
        </w:rPr>
      </w:pPr>
      <w:r>
        <w:rPr>
          <w:rFonts w:ascii="Times New Roman" w:cs="Times New Roman" w:eastAsia="Times New Roman" w:hAnsi="Times New Roman"/>
          <w:sz w:val="18"/>
          <w:szCs w:val="18"/>
          <w:color w:val="auto"/>
        </w:rPr>
        <w:t>A:</w:t>
        <w:tab/>
        <w:t>Yes. We intend to enter into new financing arrangements in anticipation of the Separation consisting of a $        million revolving credit facility (which is expected to be undrawn at the Separation) and approximately $        billion aggregate principal amount of new debt in the form of senior secured term loans and/or senior secured notes. We intend to use a portion of the net proceeds of such indebtedness to make a cash payment of approximately $        to Comcast as consideration for assets that will be contributed to us in connection with the Separation (the “Special Cash Payment”), with the remainder being used for general corporate purposes. See “Description of Material Indebtedness.”</w:t>
      </w:r>
    </w:p>
    <w:p>
      <w:pPr>
        <w:spacing w:after="0" w:line="296"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Factors” and “Description of Material Indebtedness.”</w:t>
      </w:r>
    </w:p>
    <w:p>
      <w:pPr>
        <w:spacing w:after="0" w:line="330" w:lineRule="exact"/>
        <w:rPr>
          <w:sz w:val="20"/>
          <w:szCs w:val="20"/>
          <w:color w:val="auto"/>
        </w:rPr>
      </w:pPr>
    </w:p>
    <w:p>
      <w:pPr>
        <w:ind w:left="720" w:hanging="422"/>
        <w:spacing w:after="0"/>
        <w:tabs>
          <w:tab w:leader="none" w:pos="7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Versant intend to pay cash dividends?</w:t>
      </w:r>
    </w:p>
    <w:p>
      <w:pPr>
        <w:spacing w:after="0" w:line="133" w:lineRule="exact"/>
        <w:rPr>
          <w:sz w:val="20"/>
          <w:szCs w:val="20"/>
          <w:color w:val="auto"/>
        </w:rPr>
      </w:pPr>
    </w:p>
    <w:p>
      <w:pPr>
        <w:ind w:left="720" w:right="180" w:hanging="422"/>
        <w:spacing w:after="0" w:line="261"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26" w:lineRule="exact"/>
        <w:rPr>
          <w:sz w:val="20"/>
          <w:szCs w:val="20"/>
          <w:color w:val="auto"/>
        </w:rPr>
      </w:pPr>
    </w:p>
    <w:p>
      <w:pPr>
        <w:ind w:left="720" w:hanging="422"/>
        <w:spacing w:after="0"/>
        <w:tabs>
          <w:tab w:leader="none" w:pos="7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the Separation affect the trading price of my Comcast Class A common stock?</w:t>
      </w:r>
    </w:p>
    <w:p>
      <w:pPr>
        <w:spacing w:after="0" w:line="133" w:lineRule="exact"/>
        <w:rPr>
          <w:sz w:val="20"/>
          <w:szCs w:val="20"/>
          <w:color w:val="auto"/>
        </w:rPr>
      </w:pPr>
    </w:p>
    <w:p>
      <w:pPr>
        <w:ind w:left="720" w:right="100" w:hanging="422"/>
        <w:spacing w:after="0" w:line="261"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 Distribution, the combined trading prices of Comcast Class A common stock and our Class A common stock will equal or exceed what the trading price of Comcast Class A common stock would have been in the absence of the Distribution.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6903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690360"/>
                    </a:xfrm>
                    <a:prstGeom prst="rect">
                      <a:avLst/>
                    </a:prstGeom>
                    <a:noFill/>
                  </pic:spPr>
                </pic:pic>
              </a:graphicData>
            </a:graphic>
          </wp:anchor>
        </w:drawing>
      </w:r>
    </w:p>
    <w:p>
      <w:pPr>
        <w:spacing w:after="0" w:line="293" w:lineRule="exact"/>
        <w:rPr>
          <w:sz w:val="20"/>
          <w:szCs w:val="20"/>
          <w:color w:val="auto"/>
        </w:rPr>
      </w:pPr>
    </w:p>
    <w:p>
      <w:pPr>
        <w:ind w:left="720" w:hanging="422"/>
        <w:spacing w:after="0"/>
        <w:tabs>
          <w:tab w:leader="none" w:pos="7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happen to outstanding Comcast equity compensation awards?</w:t>
      </w:r>
    </w:p>
    <w:p>
      <w:pPr>
        <w:spacing w:after="0" w:line="133" w:lineRule="exact"/>
        <w:rPr>
          <w:sz w:val="20"/>
          <w:szCs w:val="20"/>
          <w:color w:val="auto"/>
        </w:rPr>
      </w:pPr>
    </w:p>
    <w:p>
      <w:pPr>
        <w:ind w:left="720" w:right="80" w:hanging="422"/>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outstanding time-based restricted stock units (“RSUs”) in respect of Comcast Class A common stock (“Comcast RSUs”) and options to purchase Comcast Class A common stock (the “Comcast Options” and together with the Comcast RSUs, the “Comcast Equity Awards”) will be equitably adjusted in accordance with the terms of the Comcast equity incentive plans.</w:t>
      </w:r>
    </w:p>
    <w:p>
      <w:pPr>
        <w:spacing w:after="0" w:line="67"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322" w:lineRule="exact"/>
        <w:rPr>
          <w:sz w:val="20"/>
          <w:szCs w:val="20"/>
          <w:color w:val="auto"/>
        </w:rPr>
      </w:pPr>
    </w:p>
    <w:p>
      <w:pPr>
        <w:ind w:left="720" w:hanging="422"/>
        <w:spacing w:after="0"/>
        <w:tabs>
          <w:tab w:leader="none" w:pos="7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the relationship between Comcast and Versant be following the Separation?</w:t>
      </w:r>
    </w:p>
    <w:p>
      <w:pPr>
        <w:spacing w:after="0" w:line="133" w:lineRule="exact"/>
        <w:rPr>
          <w:sz w:val="20"/>
          <w:szCs w:val="20"/>
          <w:color w:val="auto"/>
        </w:rPr>
      </w:pPr>
    </w:p>
    <w:p>
      <w:pPr>
        <w:ind w:left="720" w:right="100" w:hanging="422"/>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334" w:lineRule="exact"/>
        <w:rPr>
          <w:sz w:val="20"/>
          <w:szCs w:val="20"/>
          <w:color w:val="auto"/>
        </w:rPr>
      </w:pPr>
    </w:p>
    <w:p>
      <w:pPr>
        <w:ind w:left="720" w:hanging="422"/>
        <w:spacing w:after="0"/>
        <w:tabs>
          <w:tab w:leader="none" w:pos="7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transfer agent for Versant Class A common stock?</w:t>
      </w:r>
    </w:p>
    <w:p>
      <w:pPr>
        <w:spacing w:after="0" w:line="133" w:lineRule="exact"/>
        <w:rPr>
          <w:sz w:val="20"/>
          <w:szCs w:val="20"/>
          <w:color w:val="auto"/>
        </w:rPr>
      </w:pPr>
    </w:p>
    <w:p>
      <w:pPr>
        <w:ind w:left="720" w:right="18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        will be the transfer agent for the Versant Class A common stock. You can contact        at        or by signing on to your account at        .</w:t>
      </w:r>
    </w:p>
    <w:p>
      <w:pPr>
        <w:spacing w:after="0" w:line="308" w:lineRule="exact"/>
        <w:rPr>
          <w:sz w:val="20"/>
          <w:szCs w:val="20"/>
          <w:color w:val="auto"/>
        </w:rPr>
      </w:pPr>
    </w:p>
    <w:p>
      <w:pPr>
        <w:ind w:left="720" w:hanging="422"/>
        <w:spacing w:after="0"/>
        <w:tabs>
          <w:tab w:leader="none" w:pos="7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distribution agent for the Distribution of Versant Class A common stock?</w:t>
      </w:r>
    </w:p>
    <w:p>
      <w:pPr>
        <w:spacing w:after="0" w:line="133" w:lineRule="exact"/>
        <w:rPr>
          <w:sz w:val="20"/>
          <w:szCs w:val="20"/>
          <w:color w:val="auto"/>
        </w:rPr>
      </w:pPr>
    </w:p>
    <w:p>
      <w:pPr>
        <w:ind w:left="720" w:hanging="422"/>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or Equiniti.</w:t>
      </w:r>
    </w:p>
    <w:p>
      <w:pPr>
        <w:spacing w:after="0" w:line="372" w:lineRule="exact"/>
        <w:rPr>
          <w:sz w:val="20"/>
          <w:szCs w:val="20"/>
          <w:color w:val="auto"/>
        </w:rPr>
      </w:pPr>
    </w:p>
    <w:p>
      <w:pPr>
        <w:ind w:left="720" w:hanging="422"/>
        <w:spacing w:after="0"/>
        <w:tabs>
          <w:tab w:leader="none" w:pos="7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can I contact for more information?</w:t>
      </w:r>
    </w:p>
    <w:p>
      <w:pPr>
        <w:spacing w:after="0" w:line="133" w:lineRule="exact"/>
        <w:rPr>
          <w:sz w:val="20"/>
          <w:szCs w:val="20"/>
          <w:color w:val="auto"/>
        </w:rPr>
      </w:pPr>
    </w:p>
    <w:p>
      <w:pPr>
        <w:ind w:left="720" w:hanging="42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you should contact the distribution agent:</w:t>
      </w:r>
    </w:p>
    <w:p>
      <w:pPr>
        <w:spacing w:after="0" w:line="117" w:lineRule="exact"/>
        <w:rPr>
          <w:rFonts w:ascii="Times New Roman" w:cs="Times New Roman" w:eastAsia="Times New Roman" w:hAnsi="Times New Roman"/>
          <w:sz w:val="18"/>
          <w:szCs w:val="18"/>
          <w:color w:val="auto"/>
        </w:rPr>
      </w:pPr>
    </w:p>
    <w:p>
      <w:pPr>
        <w:ind w:left="720" w:right="5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D/B/A EQ Shareowner Services P.O. Box 64854</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Minnesota 55164-0854</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Before the Separation, if you have questions relating to the transactions described herein, you should contact Comcast at: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19013-2838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(866) 281-2100</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After the Separation, if you have questions relating to the transactions described herein, you should contact Versant at: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Jordan R. Fasbender</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320" w:top="455" w:right="7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47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SEPARATION</w:t>
      </w:r>
    </w:p>
    <w:p>
      <w:pPr>
        <w:spacing w:after="0" w:line="22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Separation, including the Transactions, the Distribution and certain other related transactions.</w:t>
      </w:r>
    </w:p>
    <w:p>
      <w:pPr>
        <w:spacing w:after="0" w:line="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Distributing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Corporation (“Comcast”), a Pennsylvania corporation. After the Distribution,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Comcast will not own any shares of Versant common stock.</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Media Group, Inc. (“Versant”), a Pennsylvania corporation, is a wholly owned</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subsidiary of Comcast that, after giving effect to the Transactions, will hold, directly or</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indirectly through its subsidiaries, the assets and liabilities comprising the Spin Business.</w:t>
            </w:r>
          </w:p>
        </w:tc>
      </w:tr>
      <w:tr>
        <w:trPr>
          <w:trHeight w:val="234"/>
        </w:trPr>
        <w:tc>
          <w:tcPr>
            <w:tcW w:w="3140" w:type="dxa"/>
            <w:vAlign w:val="bottom"/>
          </w:tcPr>
          <w:p>
            <w:pPr>
              <w:spacing w:after="0"/>
              <w:rPr>
                <w:sz w:val="20"/>
                <w:szCs w:val="20"/>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After the Distribution, Versant will be an independent, publicly traded company.</w:t>
            </w: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 Structure</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is a holding company. At the time of the Distribution, it will own the shares of a</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number of subsidiaries operating the Spin Business.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 xml:space="preserve">The record date for the Distribution is on the close of business on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96"/>
              </w:rPr>
              <w:t>, 2025.</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 xml:space="preserve">The Distribution Date is 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 2025.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Securities</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Comcast will distribute 100% of the shares of Versant common stock outstanding</w:t>
            </w:r>
          </w:p>
        </w:tc>
        <w:tc>
          <w:tcPr>
            <w:tcW w:w="6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9"/>
              </w:rPr>
              <w:t>immediately prior to the Distribution.</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4"/>
                <w:szCs w:val="24"/>
                <w:color w:val="auto"/>
              </w:rPr>
            </w:pP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w w:val="93"/>
              </w:rPr>
              <w:t>Based on the approximately 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Comcast Class A common stock</w:t>
            </w:r>
          </w:p>
        </w:tc>
        <w:tc>
          <w:tcPr>
            <w:tcW w:w="6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5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5"/>
              </w:rPr>
              <w:t>   shares of Comcast Class B common stock outstanding on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r>
      <w:tr>
        <w:trPr>
          <w:trHeight w:val="216"/>
        </w:trPr>
        <w:tc>
          <w:tcPr>
            <w:tcW w:w="3140" w:type="dxa"/>
            <w:vAlign w:val="bottom"/>
          </w:tcPr>
          <w:p>
            <w:pPr>
              <w:spacing w:after="0"/>
              <w:rPr>
                <w:sz w:val="18"/>
                <w:szCs w:val="18"/>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5"/>
              </w:rPr>
              <w:t>and applying the distribution ratio of </w:t>
            </w:r>
          </w:p>
        </w:tc>
        <w:tc>
          <w:tcPr>
            <w:tcW w:w="38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         share(s) of Versant common stock for</w:t>
            </w: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w w:val="99"/>
              </w:rPr>
              <w:t>share(s) of Comcast common stock, Comcast will distribute</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shares of Versant Class A common stock and</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8"/>
              </w:rPr>
              <w:t>shares of Versant Class B common stock to Comcast shareholders.</w:t>
            </w: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Ratio</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Each of Comcast’s shareholders as of the record date will be entitled to receive 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w:t>
            </w: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share(s) of Comcast Class A common stock or Comcast Class B common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stock, respectively, held by such shareholder on the record date.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will not distribute any fractional shares of Versant common stock to Comcast</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shareholders. Instead, as soon as practicable on or after the Distribution Date, the</w:t>
            </w: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distribution agent will aggregate fractional shares of Versant Class A common stock into</w:t>
            </w:r>
          </w:p>
        </w:tc>
      </w:tr>
    </w:tbl>
    <w:p>
      <w:pPr>
        <w:ind w:left="4340"/>
        <w:spacing w:after="0" w:line="252" w:lineRule="auto"/>
        <w:rPr>
          <w:sz w:val="20"/>
          <w:szCs w:val="20"/>
          <w:color w:val="auto"/>
        </w:rPr>
      </w:pPr>
      <w:r>
        <w:rPr>
          <w:rFonts w:ascii="Times New Roman" w:cs="Times New Roman" w:eastAsia="Times New Roman" w:hAnsi="Times New Roman"/>
          <w:sz w:val="18"/>
          <w:szCs w:val="18"/>
          <w:color w:val="auto"/>
        </w:rPr>
        <w:t>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determine when, how, through which broker-dealers and at what prices to sell the aggregated fractional</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shares. Recipients of cash in lieu of fractional shares of Versant common stock will not be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entitled to any minimum sale price for the fractional shares or to any interest on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amounts of payments made in lieu of fractional shares. The receipt of cash in lieu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fractional shares generally will be taxable to the recipient shareholders for U.S. federal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income tax purposes as described in “The Separation—Material U.S. Federal Income Tax</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Distribution Method</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will be issued only by direct registration in book-entry</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form. Registration in book-entry form is a method of recording stock ownership when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physical paper share certificates are issued to shareholders, as is the case with respect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that will be distributed as part of the Distribution. Holders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of Versant Class B common stock will be issued share certificates.</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Distribution is subject to the satisfaction or waiver by Comcast of the following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conditions, as well as other conditions described in this information statement in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Separation—Conditions to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The SEC will have declared effective our registration statement on Form 10,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which this information statement is a part, no stop order suspending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effectiveness of our registration statement on Form 10 will be in effect, and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proceedings for such purpose will be pending before or threatened by the SEC, and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this information statement, or a notice of Internet availability thereof, will have been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made available to the holders of Comcast common stock as of the record date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Class A common stock to be delivered in the Distribution will have been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approved for listing on Nasdaq subject to official notice of issuance;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Comcast will have received the opinion of Davis Polk &amp; Wardwell LLP to the effect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that, for U.S. federal income tax purposes, the Distribution, together with certain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related transactions, will qualify as a “reorganization” within the meaning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Comcast creditors or shareholders in connection with the reorganization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purposes of Section 361(b) of the Code;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Any material governmental approvals and consents and any material permits,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registrations and consents from third parties, in each case, necessary to effect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Transactions or the Distribution will have been obtained;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No event or development will have occurred or exist that, in the judgment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Comcast Board, in its sole discretion, makes it inadvisable to effect the Distribution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or other transactions contemplated by the Separation and Distribution Agreement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by any of the ancillary agreements contemplated by the Separation and Distribution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Agreement.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The fulfillment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of the conditions to the Distribution will not create any obligations on Comcast’s part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effect the Distribution, and Comcast has reserved the right to abandon, modify or change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terms of the Separation, including by accelerating or delaying the timing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consummation of all or part of the Distribution, at any time prior to the Distribution Date.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Versant has applied to have its shares of Class A common stock listed on Nasdaq under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ticker symbol “VSNT.”</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Separation, the declaration and amount of any dividends to holders of our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be at the discretion of our Board and will depend upon many factors, including our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financial condition, earnings, cash flows, capital requirements of our business, covenants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associated with our debt obligations, legal requirements, regulatory constraints, industry</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practice and any other factors the Board deems relevant. For more information, see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338"/>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 with respect to the shares of Versant Class A common stock.</w:t>
            </w:r>
          </w:p>
        </w:tc>
      </w:tr>
      <w:tr>
        <w:trPr>
          <w:trHeight w:val="333"/>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 condition to the Distribution is Comcast’s receipt of the opinion of Davis Polk &amp;</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Wardwell LLP to the effect that, for U.S. federal income tax purposes, the Distribution,</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together with certain related transactions, will qualify as a “reorganization” within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meaning of Section 368(a)(1)(D) of the Code and a distribution to which Section 355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Comcast creditors or shareholders in connection with the reorganization for purposes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Section 361(b) of the Code. In that case, for U.S. federal income tax purposes,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 will be tax-free to beneficial owners of Comcast common stock, except to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extent of any cash received in lieu of fractional shares of Versant common stock. You</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should review the section entitled “The Separation—Material U.S. Federal Income Tax</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 for a discussion of the material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758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35" w:lineRule="exact"/>
        <w:rPr>
          <w:sz w:val="20"/>
          <w:szCs w:val="20"/>
          <w:color w:val="auto"/>
        </w:rPr>
      </w:pPr>
    </w:p>
    <w:p>
      <w:pPr>
        <w:ind w:left="1240" w:right="3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rebrands may result in customer confusion and disruption, leading to lower ratings and monetization.</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and/or acquire and integrate, other businesses, assets, products or technologies could harm our business, financial condition or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135" w:lineRule="exact"/>
        <w:rPr>
          <w:sz w:val="20"/>
          <w:szCs w:val="20"/>
          <w:color w:val="auto"/>
        </w:rPr>
      </w:pPr>
    </w:p>
    <w:p>
      <w:pPr>
        <w:ind w:left="1240" w:hanging="415"/>
        <w:spacing w:after="0"/>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combined financial statements and unaudited pro forma combined financial statements are not necessarily representative of the results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284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that we would have achieved as an independent, publicly traded company and may not be a reliable indicator of our future results.</w:t>
      </w:r>
    </w:p>
    <w:p>
      <w:pPr>
        <w:spacing w:after="0" w:line="131" w:lineRule="exact"/>
        <w:rPr>
          <w:sz w:val="20"/>
          <w:szCs w:val="20"/>
          <w:color w:val="auto"/>
        </w:rPr>
      </w:pPr>
    </w:p>
    <w:p>
      <w:pPr>
        <w:ind w:left="1240" w:right="2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to create the infrastructure necessary to operate as an independent public company and may experience operational disruptions in connection with the Separation.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occurs, Comcast has sole discretion to change the terms of the Separation in ways that may be unfavorable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intend to enter into new financing arrangements that could restrict our business and adversely impact our cash flows,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shareholders do not have dissenters’ rights with respect to the Separation.</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135" w:lineRule="exact"/>
        <w:rPr>
          <w:sz w:val="20"/>
          <w:szCs w:val="20"/>
          <w:color w:val="auto"/>
        </w:rPr>
      </w:pPr>
    </w:p>
    <w:p>
      <w:pPr>
        <w:ind w:left="1240" w:right="60" w:hanging="415"/>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our shares are or will be eligible for future sale, which may cause the market price of our Class A common stock to decline.</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articles of incorporation and bylaws and certain provisions of Pennsylvania law could delay or prevent a change in control of Versant.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future indebtedness and any preferred stock, and effectively subordinated to all indebtedness and preferred equity claims against our subsidiaries.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in the foreseeable future.</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320" w:top="455"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661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right="260" w:firstLine="426"/>
        <w:spacing w:after="0" w:line="254" w:lineRule="auto"/>
        <w:rPr>
          <w:sz w:val="20"/>
          <w:szCs w:val="20"/>
          <w:color w:val="auto"/>
        </w:rPr>
      </w:pPr>
      <w:r>
        <w:rPr>
          <w:rFonts w:ascii="Times New Roman" w:cs="Times New Roman" w:eastAsia="Times New Roman" w:hAnsi="Times New Roman"/>
          <w:sz w:val="18"/>
          <w:szCs w:val="18"/>
          <w:color w:val="auto"/>
        </w:rPr>
        <w:t>The following summary combined financial data of the Company should be read in conjunction with, and are qualified by reference to, the information under “Management’s Discussion and Analysis of Financial Condition and Results of Operations” and the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The combined statement of income data for the six months ended June 30, 2025 and 2024, and the combined balance sheet data as of June 30, 2025 are derived from, and qualified by reference to, the unaudited condensed combined financial statements of the Company included elsewhere in this information statement, and should be read in conjunction with those combined financial statements and notes thereto.</w:t>
      </w:r>
    </w:p>
    <w:p>
      <w:pPr>
        <w:spacing w:after="0" w:line="188"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our combined financial statements and related notes appearing at the end of this information statement.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0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6"/>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989</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Versant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669</w:t>
            </w: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w:t>
            </w:r>
          </w:p>
        </w:tc>
        <w:tc>
          <w:tcPr>
            <w:tcW w:w="58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$ 2,211</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$ 2,428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(71)</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(60)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(1,059)</w:t>
            </w:r>
          </w:p>
        </w:tc>
        <w:tc>
          <w:tcPr>
            <w:tcW w:w="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$(2,155)</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$(2,355)</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2901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11,610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10,577</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10,915</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11,677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0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21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60" w:hanging="422"/>
        <w:spacing w:after="0" w:line="281" w:lineRule="auto"/>
        <w:tabs>
          <w:tab w:leader="none" w:pos="7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22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9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The number of subscribers to our networks has decreased over time, and may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MVPDs also may elect not to enter into agreements to distribute some or all of our networks as a result of changing market dynamics and industry consolidation.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Following the Separation, our negotiating position with MVPDs may be weakened without the ability to sell our programming along with NBCU’s broadcast television networks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may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network rebrands may result in customer confusion and disruption, leading to lower ratings and monetization.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in August 2025 we announced that we are rebranding MSNBC as My Source News Opinion World (MS NOW), effective towards the end of 2025, and Versant’s sports programming will come together under the new brand USA Sports. We will also remove the Peacock logo from our other networks, platforms and products in connection with the Separation. In addition, we will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87"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user spending, including due to a deteriorating macroeconomic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98"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 Regulation.”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the Federal Communications Commission (“FCC”)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litigation or governmental investigation results could require us to pay significant amounts or lead to onerous operating procedures.</w:t>
      </w:r>
    </w:p>
    <w:p>
      <w:pPr>
        <w:spacing w:after="0" w:line="13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9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9"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5" w:lineRule="exact"/>
        <w:rPr>
          <w:sz w:val="20"/>
          <w:szCs w:val="20"/>
          <w:color w:val="auto"/>
        </w:rPr>
      </w:pPr>
    </w:p>
    <w:p>
      <w:pPr>
        <w:ind w:left="1080" w:right="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will require significant amounts of management’s time and effort, which may divert management’s attention from operating and growing our business;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we may be more susceptible to economic downturns and other adverse events than if we were still a part of Comcast;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required to separate the respective businesses could disrupt our operations.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266" w:lineRule="exact"/>
        <w:rPr>
          <w:sz w:val="20"/>
          <w:szCs w:val="20"/>
          <w:color w:val="auto"/>
        </w:rPr>
      </w:pPr>
    </w:p>
    <w:p>
      <w:pPr>
        <w:ind w:left="3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combined financial statements and unaudited pro forma combined financial statements are not necessarily representative of the results that we would have achieved as an independent, publicly traded company and may not be a reliable indicator of our future results.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information statement is not necessarily indicative of our future results of operations, financial condition or cash flows primarily because of the following factors:</w:t>
      </w:r>
    </w:p>
    <w:p>
      <w:pPr>
        <w:spacing w:after="0" w:line="89" w:lineRule="exact"/>
        <w:rPr>
          <w:sz w:val="20"/>
          <w:szCs w:val="20"/>
          <w:color w:val="auto"/>
        </w:rPr>
      </w:pPr>
    </w:p>
    <w:p>
      <w:pPr>
        <w:ind w:left="10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12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operated within Comcast’s corporate-wide cash management and centralized funding programs, and as an independent company our borrowing costs may significantly differ from Comcast’s borrowing costs;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“Unaudited Pro Forma Combined Financial Statements,” “Management’s Discussion and Analysis of Financial Condition and Results of Operations” and our combined financial statements and the notes to those statements included elsewhere in this information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operated within Comcast, and there are risks associated with the Separation.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9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will also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following the Separation, we will be subject to certain restrictions on our businesses that will prevent us from using certain trademarks to compete with certain Comcast businesses in certain international territories for a period after the expiration of the license. See “—Business Risk Factors—Our network rebrands may result in customer confusion and disruption, leading to lower ratings and monetization.”</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87"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expect to incur costs beginning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Following the effectiveness of the registration statement of which this information statement forms a part, we will be directly subject to reporting and other obligations under the Exchange Act and the rules of Nasdaq. As an independent public company, we will be required to, among other things:</w:t>
      </w:r>
    </w:p>
    <w:p>
      <w:pPr>
        <w:spacing w:after="0" w:line="45" w:lineRule="exact"/>
        <w:rPr>
          <w:sz w:val="20"/>
          <w:szCs w:val="20"/>
          <w:color w:val="auto"/>
        </w:rPr>
      </w:pPr>
    </w:p>
    <w:p>
      <w:pPr>
        <w:ind w:left="1080" w:right="1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Nasdaq.</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93"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Until the Separation occurs, Comcast has sole discretion to change the terms of the Separation in ways that may be unfavorable to us.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87" w:lineRule="exact"/>
        <w:rPr>
          <w:sz w:val="20"/>
          <w:szCs w:val="20"/>
          <w:color w:val="auto"/>
        </w:rPr>
      </w:pPr>
    </w:p>
    <w:p>
      <w:pPr>
        <w:jc w:val="both"/>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will agree to indemnify us for certain liabilities, and we will agree to indemnify Comcast for certain liabilities,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87"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intend to enter into new financing arrangements that could restrict our business and adversely impact our cash flows, business, financial condition and results of operations.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we intend to enter into new financing arrangements in anticipation of the Separation. We expect to incur approximately $        billion of new debt consisting of senior secured term loans and/or senior secured notes. We expect to use a portion of the net proceeds of such indebtedness to make the Special Cash Payment as consideration for assets that will be contributed to us in connection with the Separation, with the remainder being used for general corporate purposes. We also expect to establish a $        million revolving credit facility, which is expected to be undrawn at the time of the Separation. See “The Separation—Incurrence of Debt” and “Description of Material Indebtedness.” This level of debt could have significant consequences on our future operations, including:</w:t>
      </w:r>
    </w:p>
    <w:p>
      <w:pPr>
        <w:spacing w:after="0" w:line="93" w:lineRule="exact"/>
        <w:rPr>
          <w:sz w:val="20"/>
          <w:szCs w:val="20"/>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the terms of the indebtedness we expect to incur will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291"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66" w:lineRule="exact"/>
        <w:rPr>
          <w:sz w:val="20"/>
          <w:szCs w:val="20"/>
          <w:color w:val="auto"/>
        </w:rPr>
      </w:pPr>
    </w:p>
    <w:p>
      <w:pPr>
        <w:ind w:left="34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Separation, some of our directors and officers may have actual or potential conflicts of interest because of their equity ownership in Comcast.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Comcast and Versant shares may not equal or exceed the pre-Distribution value of Comcast shares.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Comcast Class A common stock will continue to be traded on Nasdaq. We have applied to list the shares of Versant Class A common stock on Nasdaq. We cannot assure you that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shareholders do not have dissenters’ rights with respect to the Separation.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80"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intended that the Distribution, together with certain related transactions, will qualify as a “reorganization” within the meaning of</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and the Comcast Cash Distribution will qualify as money distributed to Comcast creditors or shareholders in connection with the reorganization for purposes of Section 361(b) of the Code.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w:t>
      </w:r>
    </w:p>
    <w:p>
      <w:pPr>
        <w:spacing w:after="0" w:line="19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the Transactions and Distribution fail to qualify for the intended tax treatment, for any reason, Comcast and/or holders of Comcast common stock could be subject to substantial U.S. and/or applicable non-U.S. taxes as a result of the Separation, and we could incur significant liabilities under applicable law or as a result of the Tax Matters Agreement. See “The Separation—Material U.S. Federal Income Tax Consequences of the Distribution.”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significant restrictions on our actions following the Separation in order to avoid triggering significant tax-related liabilities.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will prohibit us from taking certain actions that could cause the Distribution and certain related transactions to fail to qualify as tax-free transactions,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discontinue the active conduct of our business (within the meaning of Section 355(b)(2) of the Code);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225"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85"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our shares are or will be eligible for future sale, which may cause the market price of our Class A common stock to decline.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Separation, we estimate that we will have outstanding an aggregate of approximately       shares of our Class A common stock (based on       shares of Comcast Class A common stock outstanding on       , 2025).</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manner of sale and notice provisions of Rule 144 under the Securities Act. We estimate that our directors and executive officers, who may be considered “affiliates” for purposes of Rule 144, will beneficially own approximately 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93"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portion of Comcast’s outstanding Class A common stock is held by index funds tied to the Standard &amp; Poor’s 500 Index and other stock indices. Based on a review of publicly available information as of         , 2025, we believe approximately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93"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6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93" w:lineRule="exact"/>
        <w:rPr>
          <w:sz w:val="20"/>
          <w:szCs w:val="20"/>
          <w:color w:val="auto"/>
        </w:rPr>
      </w:pPr>
    </w:p>
    <w:p>
      <w:pPr>
        <w:ind w:left="34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future indebtedness and any preferred stock, and effectively subordinated to all indebtedness and preferred equity claims against our subsidiaries.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in the foreseeable future.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87" w:lineRule="exact"/>
        <w:rPr>
          <w:sz w:val="20"/>
          <w:szCs w:val="20"/>
          <w:color w:val="auto"/>
        </w:rPr>
      </w:pPr>
    </w:p>
    <w:p>
      <w:pPr>
        <w:jc w:val="both"/>
        <w:ind w:left="34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 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Each of Comcast’s shareholders as of the record date will be entitled to receive       </w:t>
      </w:r>
    </w:p>
    <w:p>
      <w:pPr>
        <w:spacing w:after="0" w:line="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70"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commercial arrangements.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Separation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63" w:lineRule="exact"/>
        <w:rPr>
          <w:sz w:val="20"/>
          <w:szCs w:val="20"/>
          <w:color w:val="auto"/>
        </w:rPr>
      </w:pPr>
    </w:p>
    <w:p>
      <w:pPr>
        <w:ind w:left="1080" w:hanging="424"/>
        <w:spacing w:after="0" w:line="257"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 Versant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shareholder returns. The Spin Business generated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90" w:lineRule="exact"/>
        <w:rPr>
          <w:sz w:val="20"/>
          <w:szCs w:val="20"/>
          <w:color w:val="auto"/>
        </w:rPr>
      </w:pPr>
    </w:p>
    <w:p>
      <w:pPr>
        <w:ind w:left="1080" w:right="80" w:hanging="424"/>
        <w:spacing w:after="0" w:line="259"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6"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 Separation, including the new indebtedness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All or a portion of the proceeds from the Versant indebtedness may be distributed to Comcast in exchange for the contribution of Versant assets in the Special Cash Payment, and are expected be used by Comcast to repay existing Comcast indebtedness.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our common stock to Comcast shareholders. Instead, as soon as practicable on or after the Distribution Date, the distribution agent will</w:t>
      </w:r>
    </w:p>
    <w:p>
      <w:pPr>
        <w:ind w:left="120"/>
        <w:spacing w:after="0"/>
        <w:rPr>
          <w:sz w:val="20"/>
          <w:szCs w:val="20"/>
          <w:color w:val="auto"/>
        </w:rPr>
      </w:pPr>
      <w:r>
        <w:rPr>
          <w:rFonts w:ascii="Times New Roman" w:cs="Times New Roman" w:eastAsia="Times New Roman" w:hAnsi="Times New Roman"/>
          <w:sz w:val="18"/>
          <w:szCs w:val="18"/>
          <w:color w:val="auto"/>
        </w:rPr>
        <w:t>aggregate fractional shares of Versant Class A common stock into whole shares, sell the whole shares (or cause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 of Versant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will distribute the shares of our common stock on        , 2025 to holders of record as of the close of business on the record date for the Distribution. The Distribution is expected to be completed following the market closing on the Distribution Date. Comcast’s transfer agent and registrar,        , will serve as transfer agent and registrar for the Versant Class A common stock and as distribution agent in connection with the Distribution with respect to the Versant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77" w:lineRule="exact"/>
        <w:rPr>
          <w:sz w:val="20"/>
          <w:szCs w:val="20"/>
          <w:color w:val="auto"/>
        </w:rPr>
      </w:pPr>
    </w:p>
    <w:p>
      <w:pPr>
        <w:ind w:left="1080" w:right="200" w:hanging="424"/>
        <w:spacing w:after="0" w:line="26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If you own your shares of Comcast Class A common stock directly in book-entry form through an account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3"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7"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B common stock will be issued share certificates representing shares of Versant Class B common stock that such holders are entitled to receive.</w:t>
      </w:r>
    </w:p>
    <w:p>
      <w:pPr>
        <w:spacing w:after="0" w:line="63"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Shareholders</w:t>
      </w:r>
      <w:r>
        <w:rPr>
          <w:rFonts w:ascii="Times New Roman" w:cs="Times New Roman" w:eastAsia="Times New Roman" w:hAnsi="Times New Roman"/>
          <w:sz w:val="18"/>
          <w:szCs w:val="18"/>
          <w:color w:val="auto"/>
        </w:rPr>
        <w:t>. Many Comcast shareholders hold their shares of Comcast Class A common stock beneficially through a bank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having shares of Versant Class A common stock held in “street name,” we encourage you to contact your bank or brokerage firm.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Equity Compensation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accordance with the terms of the Comcast equity incentive plans. 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Separation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Separation, we will be an independent, publicly traded company that directly or indirectly holds the assets and liabilities comprising the Spin Business. Upon completion of the Separation, we estimate that we will have outstanding an aggregate of approximately        shares of our</w:t>
      </w: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Class A common stock and       shares of our Class B common stock (based on        shares of Comcast Class A common stock and         shares of Comcast Class B common stock outstanding on        , 2025). Additionally, we expect to have approximately        Class A shareholders of record and        Class B shareholders of record, based on the number of registered shareholders of Comcast Class A common stock</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and Comcast Class B common stock outstanding, respectively, on        , 2025. The actual number of shares to be distributed will be determined on the record date.</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consisting of a $      million revolving credit facility (which is expected to be undrawn at the Separation) and approximately $      billion aggregate principal amount of new debt in the form of senior secured term loans and/or senior secured notes. We intend to use a portion of the net proceeds of such indebtedness to make the Special Cash Payment of approximately $      as consideration for assets that will be contributed to us in connection with the Separation, with the remainder being used for general corporate purposes. See “Description of Material Indebtedness.”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 In anticipation of the Separation, we intend to enter into new financing arrangements that could restrict our business and adversely impact our results of operations, financial condition or cash flows.”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Distribution to U.S. Holders (as defined below) of Comcast common stock. This discussion is based on the Code,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8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as part of a hedge, appreciated financial position, straddle, conversion,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in a tax-deferred account, such as an individual retirement account;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acquired Comcast common stock pursuant to the exercise of options or similar derivative securities or otherwise as compensation.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which we refer to as the “Tax Opinion.” In rendering the Tax Opinion to be given as of the closing of the Separation, which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that the Distribution, together with certain related transactions, will qualify as a “reorganization” within the meaning of Section 368(a)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(1)(D) of the Code and a distribution to which Section 355 of the Code applies, and that the Transactions will qualify as transactions that are tax-free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in general,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Distribution will not result in the recognition of income, gain or loss to Comcast or 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U.S. Holders of Comcast common stock upon the receipt of our common stock in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if the Distribution, together with certain related transactions, does not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will be treated as a taxable dividend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Comcast common stock in an amount equal to the fair market value of our common stock received, to the extent of such holder’s ratable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Comcast’s earnings and profits. In addition, if the Separation does not qualify as a distribution to which Section 355 of the Code applies, Comcast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recognize significant taxable gain, which could result in significant tax to Comcast.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Treasury regulations generally require holders who own at least 5% of the total outstanding stock of Comcast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Comcast shareholder will have any dissenters’ rights in connection with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Class A Common Stock</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there is no public market for our Class A common stock. Versant has applied to have its shares of Class A common stock listed on Nasdaq under the ticker symbol “VSNT.”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Between Record Date and Distribution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8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Furthermore, beginning on        ,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the Distribution will be effective on            , 2025, the Distribution Date, provided that, among other conditions described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and Distribution Agreement, the following conditions will have been satisfied or waived by Comcast in its sole discretion:</w:t>
      </w:r>
    </w:p>
    <w:p>
      <w:pPr>
        <w:spacing w:after="0" w:line="112" w:lineRule="exact"/>
        <w:rPr>
          <w:sz w:val="20"/>
          <w:szCs w:val="20"/>
          <w:color w:val="auto"/>
        </w:rPr>
      </w:pPr>
    </w:p>
    <w:p>
      <w:pPr>
        <w:ind w:left="1080" w:right="1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Separation-related restructuring and financing transactions contemplated by the Separation and Distribution Agreement will each have been completed;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will have approved the Distribution and will not have abandoned the Distribution or terminated the Separation and Distribution Agreement at any time prior to the Distribution;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will have declared effective our registration statement on Form 10, of which this information statement is a part,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to be delivered in the Distribution will have been approved for listing on Nasdaq subject to official notice of issuance;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contemplated by the Separation and Distribution Agreement will have been executed and delivered by the parties thereto;</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(the “Tax Opinion Condition”);</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8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Comcast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67"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forms of the principal agreements described below are expected to be filed as exhibits to the registration statement of which this information statement forms a part. The following descriptions of these agreements are summaries of the material terms of these agreements.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Distribution Agreement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5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the receipt of required governmental and other consents and approvals and the satisfaction of other closing conditions, in order to accomplish the Separation, the Separation and Distribution Agreement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8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77"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81" w:lineRule="exact"/>
        <w:rPr>
          <w:sz w:val="20"/>
          <w:szCs w:val="20"/>
          <w:color w:val="auto"/>
        </w:rPr>
      </w:pPr>
    </w:p>
    <w:p>
      <w:pPr>
        <w:ind w:left="1080" w:right="2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grant Comcast a non-exclusive, worldwide, perpetual, irrevocable, fully paid-up and royalty-free license to the patents and trade secrets transferred to us in connection with the Separation in order for Comcast to continue operating its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from Comcast a non-exclusive, worldwide, perpetual, irrevocable, fully paid-up and royalty-free license to certain patents and trade secrets retained by Comcast, including those that were used in the Spin Business as of the Distribution, in order for us to continue operating the Spin Business.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will be required to cease any consumer-facing use of the brands and trademarks that are being retained by Comcast, but will have up to 12 months following the Separation to cease the internal use of those brands and trademarks. These limitations do not apply to any brands or trademarks licensed to us from Comcast for a longer duration under a separate agreement, such as our license to the CNBC brand as described in “Risk Factors—Spin-Related Risk Factors—We have historically operated within Comcast, and there are risks associated with the Separation.”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the Tax Matters Agreement will govern the rights and obligations that we and Comcast have after the Separation with respect to taxes for both pre- and post-closing periods. Under the Tax Matters 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78"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our trade or business;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our stock or other securities (including securities convertible into our stock but excluding certain compensatory arrangements);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incorporation (or other organizational documents) or taking any other action, whether through a shareholder vote or otherwise, affecting the voting rights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Arrangements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w:t>
      </w:r>
    </w:p>
    <w:p>
      <w:pPr>
        <w:spacing w:after="0" w:line="81"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use of our advertising and promotional inventory;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or use, as applicable, by Comcast and NBCUniversal of certain of our networks, content, trademarks and applications on their own and certain third-party platforms and networks, along with certain related sales, marketing and other support services;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purchase agreements for each party to exhibit certain sports programming on the other party’s networks and platforms;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similar arrangements relating to our use of certain entertainment and news content and trademark rights owned by NBCUniversal and its affiliates, as well as the use by Comcast and its affiliates of certain of our content, data and trademarks.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and “—Business Risk Factors—Our network rebrands may result in customer confusion and disruption, leading to lower ratings and monetization.”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 of Our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97"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that the SEC has declared effective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exemption from registration under the Securities Act, such as the exemption afforded by Rule 144.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an affiliate will be entitled to sell, within any three-month period, a number of shares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does not exceed the greater of:</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our Class A common stock then outstanding;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for the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any future debt or preferred securities we issue or any credit facilities we enter into. See “Risk Factors—Common Stock Risk Factors.”</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320" w:top="455" w:right="6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 on a historical and pro forma basis to give effect to the Separation and other matters, as discussed in “The Separation.”</w:t>
      </w:r>
    </w:p>
    <w:p>
      <w:pPr>
        <w:spacing w:after="0" w:line="162"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the following table together with “Management’s Discussion and Analysis of Financial Condition and Results of Operations,” “Unaudited Pro Forma Combined Financial Statements” and our combined financial statements and the related notes included elsewhere in this information statement.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June 30, 2025 and is not necessarily indicative of our future capitalization or financial condition.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We will have cash on hand in an amount to be determined at or prior to the time of the Distribution. We expect that at the time of the Distribution, we will have significant third-party indebtedness. We intend to update our financial information to reflect our post-Distribution capitalization in a subsequent amendment to this information statement.</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Indebtedness:</w:t>
      </w:r>
    </w:p>
    <w:p>
      <w:pPr>
        <w:ind w:left="480"/>
        <w:spacing w:after="0" w:line="202" w:lineRule="auto"/>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6"/>
          <w:szCs w:val="26"/>
          <w:color w:val="auto"/>
          <w:vertAlign w:val="superscript"/>
        </w:rPr>
        <w:t>(2)</w:t>
      </w:r>
    </w:p>
    <w:p>
      <w:pPr>
        <w:ind w:left="120"/>
        <w:spacing w:after="0"/>
        <w:rPr>
          <w:sz w:val="20"/>
          <w:szCs w:val="20"/>
          <w:color w:val="auto"/>
        </w:rPr>
      </w:pPr>
      <w:r>
        <w:rPr>
          <w:rFonts w:ascii="Times New Roman" w:cs="Times New Roman" w:eastAsia="Times New Roman" w:hAnsi="Times New Roman"/>
          <w:sz w:val="18"/>
          <w:szCs w:val="18"/>
          <w:color w:val="auto"/>
        </w:rPr>
        <w:t>Total indebtedness</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w:t>
      </w:r>
    </w:p>
    <w:p>
      <w:pPr>
        <w:spacing w:after="0" w:line="27" w:lineRule="exact"/>
        <w:rPr>
          <w:sz w:val="20"/>
          <w:szCs w:val="20"/>
          <w:color w:val="auto"/>
        </w:rPr>
      </w:pPr>
    </w:p>
    <w:p>
      <w:pPr>
        <w:jc w:val="right"/>
        <w:ind w:left="480"/>
        <w:spacing w:after="0" w:line="265" w:lineRule="auto"/>
        <w:rPr>
          <w:sz w:val="20"/>
          <w:szCs w:val="20"/>
          <w:color w:val="auto"/>
        </w:rPr>
      </w:pPr>
      <w:r>
        <w:rPr>
          <w:rFonts w:ascii="Times New Roman" w:cs="Times New Roman" w:eastAsia="Times New Roman" w:hAnsi="Times New Roman"/>
          <w:sz w:val="17"/>
          <w:szCs w:val="17"/>
          <w:color w:val="auto"/>
        </w:rPr>
        <w:t xml:space="preserve">Class A common stock, par value $0.01 per share;  outstanding, actual,          shares authorized,     Class B common stock, par value $0.01 per share;  outstanding, actual,          shares authorized,    </w:t>
      </w:r>
    </w:p>
    <w:p>
      <w:pPr>
        <w:ind w:left="480"/>
        <w:spacing w:after="0" w:line="181" w:lineRule="auto"/>
        <w:rPr>
          <w:sz w:val="20"/>
          <w:szCs w:val="20"/>
          <w:color w:val="auto"/>
        </w:rPr>
      </w:pPr>
      <w:r>
        <w:rPr>
          <w:rFonts w:ascii="Times New Roman" w:cs="Times New Roman" w:eastAsia="Times New Roman" w:hAnsi="Times New Roman"/>
          <w:sz w:val="17"/>
          <w:szCs w:val="17"/>
          <w:color w:val="auto"/>
        </w:rPr>
        <w:t>Net investment by Comcast</w:t>
      </w:r>
      <w:r>
        <w:rPr>
          <w:rFonts w:ascii="Times New Roman" w:cs="Times New Roman" w:eastAsia="Times New Roman" w:hAnsi="Times New Roman"/>
          <w:sz w:val="25"/>
          <w:szCs w:val="25"/>
          <w:color w:val="auto"/>
          <w:vertAlign w:val="superscript"/>
        </w:rPr>
        <w:t>(3)</w:t>
      </w:r>
    </w:p>
    <w:p>
      <w:pPr>
        <w:ind w:left="480"/>
        <w:spacing w:after="0" w:line="181" w:lineRule="auto"/>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5"/>
          <w:szCs w:val="25"/>
          <w:color w:val="auto"/>
          <w:vertAlign w:val="superscript"/>
        </w:rPr>
        <w:t>(3)</w:t>
      </w:r>
    </w:p>
    <w:p>
      <w:pPr>
        <w:spacing w:after="0" w:line="1" w:lineRule="exact"/>
        <w:rPr>
          <w:sz w:val="20"/>
          <w:szCs w:val="20"/>
          <w:color w:val="auto"/>
        </w:rPr>
      </w:pPr>
    </w:p>
    <w:p>
      <w:pPr>
        <w:ind w:left="120" w:right="160" w:firstLine="360"/>
        <w:spacing w:after="0" w:line="258" w:lineRule="auto"/>
        <w:rPr>
          <w:sz w:val="20"/>
          <w:szCs w:val="20"/>
          <w:color w:val="auto"/>
        </w:rPr>
      </w:pPr>
      <w:r>
        <w:rPr>
          <w:rFonts w:ascii="Times New Roman" w:cs="Times New Roman" w:eastAsia="Times New Roman" w:hAnsi="Times New Roman"/>
          <w:sz w:val="18"/>
          <w:szCs w:val="18"/>
          <w:color w:val="auto"/>
        </w:rPr>
        <w:t>Accumulated other comprehensive income (loss) Total Versant parent and shareholders’ equity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7620</wp:posOffset>
            </wp:positionV>
            <wp:extent cx="1671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ind w:left="4260"/>
        <w:spacing w:after="0"/>
        <w:tabs>
          <w:tab w:leader="none" w:pos="5760" w:val="left"/>
        </w:tabs>
        <w:rPr>
          <w:sz w:val="20"/>
          <w:szCs w:val="20"/>
          <w:color w:val="auto"/>
        </w:rPr>
      </w:pPr>
      <w:r>
        <w:rPr>
          <w:rFonts w:ascii="Times New Roman" w:cs="Times New Roman" w:eastAsia="Times New Roman" w:hAnsi="Times New Roman"/>
          <w:sz w:val="14"/>
          <w:szCs w:val="14"/>
          <w:b w:val="1"/>
          <w:bCs w:val="1"/>
          <w:color w:val="auto"/>
        </w:rPr>
        <w:t>Actual</w:t>
      </w:r>
      <w:r>
        <w:rPr>
          <w:sz w:val="20"/>
          <w:szCs w:val="20"/>
          <w:color w:val="auto"/>
        </w:rPr>
        <w:tab/>
      </w:r>
      <w:r>
        <w:rPr>
          <w:rFonts w:ascii="Times New Roman" w:cs="Times New Roman" w:eastAsia="Times New Roman" w:hAnsi="Times New Roman"/>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-3175</wp:posOffset>
            </wp:positionV>
            <wp:extent cx="1671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ind w:left="4380"/>
        <w:spacing w:after="0" w:line="235" w:lineRule="auto"/>
        <w:rPr>
          <w:sz w:val="20"/>
          <w:szCs w:val="20"/>
          <w:color w:val="auto"/>
        </w:rPr>
      </w:pPr>
      <w:r>
        <w:rPr>
          <w:rFonts w:ascii="Times New Roman" w:cs="Times New Roman" w:eastAsia="Times New Roman" w:hAnsi="Times New Roman"/>
          <w:sz w:val="14"/>
          <w:szCs w:val="14"/>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0</wp:posOffset>
            </wp:positionV>
            <wp:extent cx="69951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left="4140"/>
        <w:spacing w:after="0"/>
        <w:tabs>
          <w:tab w:leader="none" w:pos="4680" w:val="left"/>
          <w:tab w:leader="none" w:pos="5440" w:val="left"/>
          <w:tab w:leader="none" w:pos="57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4445</wp:posOffset>
            </wp:positionV>
            <wp:extent cx="16719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71955" cy="26035"/>
                    </a:xfrm>
                    <a:prstGeom prst="rect">
                      <a:avLst/>
                    </a:prstGeom>
                    <a:noFill/>
                  </pic:spPr>
                </pic:pic>
              </a:graphicData>
            </a:graphic>
          </wp:anchor>
        </w:drawing>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-119380</wp:posOffset>
            </wp:positionV>
            <wp:extent cx="699516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17145</wp:posOffset>
            </wp:positionV>
            <wp:extent cx="699516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59" w:lineRule="exact"/>
        <w:rPr>
          <w:sz w:val="20"/>
          <w:szCs w:val="20"/>
          <w:color w:val="auto"/>
        </w:rPr>
      </w:pPr>
    </w:p>
    <w:p>
      <w:pPr>
        <w:spacing w:after="0"/>
        <w:tabs>
          <w:tab w:leader="none" w:pos="380" w:val="left"/>
          <w:tab w:leader="none" w:pos="2280" w:val="left"/>
        </w:tabs>
        <w:rPr>
          <w:sz w:val="20"/>
          <w:szCs w:val="20"/>
          <w:color w:val="auto"/>
        </w:rPr>
      </w:pPr>
      <w:r>
        <w:rPr>
          <w:rFonts w:ascii="Times New Roman" w:cs="Times New Roman" w:eastAsia="Times New Roman" w:hAnsi="Times New Roman"/>
          <w:sz w:val="18"/>
          <w:szCs w:val="18"/>
          <w:color w:val="auto"/>
        </w:rPr>
        <w:t xml:space="preserve">    </w:t>
        <w:tab/>
        <w:t xml:space="preserve">shares authorized,       </w:t>
      </w:r>
      <w:r>
        <w:rPr>
          <w:sz w:val="20"/>
          <w:szCs w:val="20"/>
          <w:color w:val="auto"/>
        </w:rPr>
        <w:tab/>
      </w:r>
      <w:r>
        <w:rPr>
          <w:rFonts w:ascii="Times New Roman" w:cs="Times New Roman" w:eastAsia="Times New Roman" w:hAnsi="Times New Roman"/>
          <w:sz w:val="17"/>
          <w:szCs w:val="17"/>
          <w:color w:val="auto"/>
        </w:rPr>
        <w:t>shares issued and</w:t>
      </w:r>
    </w:p>
    <w:p>
      <w:pPr>
        <w:ind w:left="260" w:hanging="216"/>
        <w:spacing w:after="0" w:line="196" w:lineRule="auto"/>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and outstanding, pro forma</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0</wp:posOffset>
            </wp:positionV>
            <wp:extent cx="699516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tabs>
          <w:tab w:leader="none" w:pos="380" w:val="left"/>
          <w:tab w:leader="none" w:pos="2280" w:val="left"/>
        </w:tabs>
        <w:rPr>
          <w:sz w:val="20"/>
          <w:szCs w:val="20"/>
          <w:color w:val="auto"/>
        </w:rPr>
      </w:pPr>
      <w:r>
        <w:rPr>
          <w:rFonts w:ascii="Times New Roman" w:cs="Times New Roman" w:eastAsia="Times New Roman" w:hAnsi="Times New Roman"/>
          <w:sz w:val="18"/>
          <w:szCs w:val="18"/>
          <w:color w:val="auto"/>
        </w:rPr>
        <w:t xml:space="preserve">    </w:t>
        <w:tab/>
        <w:t xml:space="preserve">shares authorized,       </w:t>
      </w:r>
      <w:r>
        <w:rPr>
          <w:sz w:val="20"/>
          <w:szCs w:val="20"/>
          <w:color w:val="auto"/>
        </w:rPr>
        <w:tab/>
      </w:r>
      <w:r>
        <w:rPr>
          <w:rFonts w:ascii="Times New Roman" w:cs="Times New Roman" w:eastAsia="Times New Roman" w:hAnsi="Times New Roman"/>
          <w:sz w:val="17"/>
          <w:szCs w:val="17"/>
          <w:color w:val="auto"/>
        </w:rPr>
        <w:t>shares issued and</w:t>
      </w:r>
    </w:p>
    <w:p>
      <w:pPr>
        <w:ind w:left="260" w:hanging="216"/>
        <w:spacing w:after="0" w:line="180" w:lineRule="auto"/>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and outstanding, pro forma</w:t>
      </w:r>
      <w:r>
        <w:rPr>
          <w:rFonts w:ascii="Times New Roman" w:cs="Times New Roman" w:eastAsia="Times New Roman" w:hAnsi="Times New Roman"/>
          <w:sz w:val="26"/>
          <w:szCs w:val="26"/>
          <w:color w:val="auto"/>
          <w:vertAlign w:val="superscript"/>
        </w:rPr>
        <w:t>(3)</w:t>
      </w:r>
    </w:p>
    <w:tbl>
      <w:tblPr>
        <w:tblLayout w:type="fixed"/>
        <w:tblInd w:w="4300" w:type="dxa"/>
        <w:tblCellMar>
          <w:top w:w="0" w:type="dxa"/>
          <w:left w:w="0" w:type="dxa"/>
          <w:bottom w:w="0" w:type="dxa"/>
          <w:right w:w="0" w:type="dxa"/>
        </w:tblCellMar>
      </w:tblPr>
      <w:tr>
        <w:trPr>
          <w:trHeight w:val="197"/>
        </w:trPr>
        <w:tc>
          <w:tcPr>
            <w:tcW w:w="1260" w:type="dxa"/>
            <w:vAlign w:val="bottom"/>
          </w:tcPr>
          <w:p>
            <w:pPr>
              <w:jc w:val="right"/>
              <w:ind w:right="670"/>
              <w:spacing w:after="0" w:line="197" w:lineRule="exact"/>
              <w:rPr>
                <w:sz w:val="20"/>
                <w:szCs w:val="20"/>
                <w:color w:val="auto"/>
              </w:rPr>
            </w:pPr>
            <w:r>
              <w:rPr>
                <w:rFonts w:ascii="Times New Roman" w:cs="Times New Roman" w:eastAsia="Times New Roman" w:hAnsi="Times New Roman"/>
                <w:sz w:val="18"/>
                <w:szCs w:val="18"/>
                <w:color w:val="auto"/>
                <w:w w:val="96"/>
              </w:rPr>
              <w:t>10,463</w:t>
            </w:r>
          </w:p>
        </w:tc>
        <w:tc>
          <w:tcPr>
            <w:tcW w:w="1260" w:type="dxa"/>
            <w:vAlign w:val="bottom"/>
          </w:tcPr>
          <w:p>
            <w:pPr>
              <w:jc w:val="right"/>
              <w:ind w:right="10"/>
              <w:spacing w:after="0" w:line="197"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16"/>
        </w:trPr>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10,457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-410845</wp:posOffset>
            </wp:positionV>
            <wp:extent cx="6995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-2630805</wp:posOffset>
            </wp:positionH>
            <wp:positionV relativeFrom="paragraph">
              <wp:posOffset>-136525</wp:posOffset>
            </wp:positionV>
            <wp:extent cx="6995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160" w:space="100"/>
            <w:col w:w="68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660" w:type="dxa"/>
            <w:vAlign w:val="bottom"/>
          </w:tcPr>
          <w:p>
            <w:pPr>
              <w:spacing w:after="0"/>
              <w:rPr>
                <w:sz w:val="17"/>
                <w:szCs w:val="17"/>
                <w:color w:val="auto"/>
              </w:rPr>
            </w:pPr>
          </w:p>
        </w:tc>
        <w:tc>
          <w:tcPr>
            <w:tcW w:w="142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r>
      <w:tr>
        <w:trPr>
          <w:trHeight w:val="27"/>
        </w:trPr>
        <w:tc>
          <w:tcPr>
            <w:tcW w:w="12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660" w:type="dxa"/>
            <w:vAlign w:val="bottom"/>
            <w:tcBorders>
              <w:left w:val="single" w:sz="8" w:color="CCEEFF"/>
            </w:tcBorders>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10,700</w:t>
            </w: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$ 10,577</w:t>
            </w:r>
          </w:p>
        </w:tc>
        <w:tc>
          <w:tcPr>
            <w:tcW w:w="6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3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expected cash amount of $            at Separation following receipt of debt proceeds.</w:t>
      </w:r>
    </w:p>
    <w:p>
      <w:pPr>
        <w:spacing w:after="0" w:line="27" w:lineRule="exact"/>
        <w:rPr>
          <w:sz w:val="20"/>
          <w:szCs w:val="20"/>
          <w:color w:val="auto"/>
        </w:rPr>
      </w:pPr>
    </w:p>
    <w:p>
      <w:pPr>
        <w:ind w:left="540" w:right="200" w:hanging="419"/>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(2)</w:t>
        <w:tab/>
        <w:t>Reflects an estimated $        million of new long-term debt from senior secured term loans and/or senior secured notes we expect to incur in connection with the Separation, less $        million of estimated debt issuance costs.</w:t>
      </w:r>
    </w:p>
    <w:p>
      <w:pPr>
        <w:spacing w:after="0" w:line="1"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Separation, Comcast’s net investment in us will be eliminated to reflect the distribution of our common stock to Comcast’s shareholders.</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(the “pro forma financial statements”) were prepared in accordance with Article 11 of Regulation S-X and consist of unaudited pro forma combined statements of income for the six months ended June 30, 2025 and the year ended December 31, 2024 (collectively, the “pro forma statements of income”), an unaudited pro forma combined balance sheet (the “pro forma balance sheet”) as of June 30, 2025 and related notes. The pro forma financial statements reflect adjustments to our unaudited condensed combined statement of income for the six months ended June 30, 2025, our audited combined statement of income for the year ended December 31, 2024 and our unaudited condensed combined balance sheet as of June 30, 2025 (collectively, the “combined financial statements”).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statements of income give effect to the Separation and related transactions, described below, as if they had occurred on January 1, 2024, the beginning of our most recently completed fiscal year. The pro forma balance sheet gives effect to the Separation and related transactions as if they occurred as of June 30, 2025, our latest balance sheet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85" w:lineRule="exact"/>
        <w:rPr>
          <w:sz w:val="20"/>
          <w:szCs w:val="20"/>
          <w:color w:val="auto"/>
        </w:rPr>
      </w:pPr>
    </w:p>
    <w:p>
      <w:pPr>
        <w:ind w:left="1080" w:right="2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the combined financial statements;</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anticipated post-Distribution capital structure, including (i) the issuance of approximately        shares of our Class A common stock and        shares of our Class B common stock to holders of Comcast common stock in connection with the Separation and</w:t>
      </w:r>
    </w:p>
    <w:p>
      <w:pPr>
        <w:spacing w:after="0" w:line="1"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(ii) the Debt Financing Transactions (as defined below);</w:t>
      </w:r>
    </w:p>
    <w:p>
      <w:pPr>
        <w:spacing w:after="0" w:line="112" w:lineRule="exact"/>
        <w:rPr>
          <w:sz w:val="20"/>
          <w:szCs w:val="20"/>
          <w:color w:val="auto"/>
        </w:rPr>
      </w:pPr>
    </w:p>
    <w:p>
      <w:pPr>
        <w:ind w:left="1080" w:right="1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and Employee Matters Agreement, both to be entered into with Comcast in connection with the Separation;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certain other commercial agreements to be entered into with Comcast in connection with the Separation (see “The Separation—Agreements with Comcast”);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See Note 5 to the unaudited condensed combined financial statements and Note 10 to the audited combined financial statements included elsewhere in this information statement for further information.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6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7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7"/>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3,415</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g,h,j</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7"/>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7,062</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3,064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1,167</w:t>
            </w: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g,h,j</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989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6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224</w:t>
            </w:r>
          </w:p>
        </w:tc>
        <w:tc>
          <w:tcPr>
            <w:tcW w:w="4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1,841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1,843</w:t>
            </w: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62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0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6"/>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11,610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11,787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h,j</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Comcast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10,463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(10,463)</w:t>
            </w: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c,f</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10,600</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a,b,d,e,f</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10,586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138</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6"/>
              </w:rPr>
              <w:t>138</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11,610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11,787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Pro Forma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of income for the six months ended June 30, 2025 and the year ended December 31, 2024 and the unaudited pro forma combined balance sheet as of June 30, 2025 include the following adjustments: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540" w:right="6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separation charges we expect to incur through the closing of the Separation. These adjustments include estimated non-recurring expenses of $10 million recorded in selling, general and administrative expenses for the year ended December 31, 2024, and the related accrual of $10 million as of June 30, 2025 recorded in accrued expenses and other current liabilities. Actual charges that will be incurred could be different from these estimates.</w:t>
      </w:r>
    </w:p>
    <w:p>
      <w:pPr>
        <w:spacing w:after="0" w:line="85"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impacts of assets, and related liabilities and expenses, that, pursuant to the terms of the Separation and Distribution Agreement, are expected to be contributed to Versant, but were shared assets for the periods presented in the combined financial statements and therefore were excluded from the combined financial statements. These adjustments primarily relate to owned or leased operating facilities and related equipment (including the key operational hub located in Englewood Cliffs, New Jersey) and third-party agreements for content. The unaudited pro forma combined statements of income include adjustments to add related depreciation expense and costs of revenue, and remove amounts previously allocated to selling, general and administrative expenses for such shared assets. These adjustments also reflect the impact of assets and related liabilities and expenses that were historically dedicated to the Versant businesses and included in our combined financial statements, but which are expected to remain with Comcast. These adjustments primarily relate to the MSNBC and CNBC trademarks, and include adjustments to the unaudited pro forma combined statements of income to remove related depreciation and amortization expenses and add estimated costs associated with trademark license agreements between Comcast and Versant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w:t>
      </w:r>
    </w:p>
    <w:p>
      <w:pPr>
        <w:ind w:left="540" w:hanging="424"/>
        <w:spacing w:after="0" w:line="197" w:lineRule="auto"/>
        <w:tabs>
          <w:tab w:leader="none" w:pos="5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unaudited pro forma condensed combined balance sheet reflects anticipated financing arrangements (the “Debt Financing Transactions”) of</w:t>
      </w:r>
    </w:p>
    <w:p>
      <w:pPr>
        <w:spacing w:after="0" w:line="196"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approximately $        million, consisting of a $        million revolving credit facility (which is expected to be undrawn at the Separation) and approximately $        billion aggregate principal amount of new debt in the form of senior secured term loans and/or senior secured</w:t>
      </w:r>
    </w:p>
    <w:p>
      <w:pPr>
        <w:ind w:left="540" w:right="120"/>
        <w:spacing w:after="0" w:line="249" w:lineRule="auto"/>
        <w:rPr>
          <w:sz w:val="20"/>
          <w:szCs w:val="20"/>
          <w:color w:val="auto"/>
        </w:rPr>
      </w:pPr>
      <w:r>
        <w:rPr>
          <w:rFonts w:ascii="Times New Roman" w:cs="Times New Roman" w:eastAsia="Times New Roman" w:hAnsi="Times New Roman"/>
          <w:sz w:val="18"/>
          <w:szCs w:val="18"/>
          <w:color w:val="auto"/>
        </w:rPr>
        <w:t>notes, which are expected to be entered into prior to the Separation. A portion of the net proceeds of such indebtedness is expected to be used to fund the Special Cash Payment of approximately $        as consideration for assets that will be contributed to us in connection with the Separation, with the remainder being used for general corporate purposes. As a result of the Debt Financing Transactions, and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right="840"/>
        <w:spacing w:after="0" w:line="282" w:lineRule="auto"/>
        <w:rPr>
          <w:sz w:val="20"/>
          <w:szCs w:val="20"/>
          <w:color w:val="auto"/>
        </w:rPr>
      </w:pPr>
      <w:r>
        <w:rPr>
          <w:rFonts w:ascii="Times New Roman" w:cs="Times New Roman" w:eastAsia="Times New Roman" w:hAnsi="Times New Roman"/>
          <w:sz w:val="18"/>
          <w:szCs w:val="18"/>
          <w:color w:val="auto"/>
        </w:rPr>
        <w:t>the terms of the Separation and Distribution Agreement, Versant is expected to have approximately $        million in cash and cash equivalents upon completion of the Distribution.</w:t>
      </w:r>
    </w:p>
    <w:p>
      <w:pPr>
        <w:spacing w:after="0" w:line="54"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The initial interest rate on the issued debt is expected to range from approximately        % to        % and pro forma interest was calculated using a rate of        %, which represents the midpoint of the range. The unaudited pro forma combined statements of income reflect estimated interest expense of $        million and $        million, for the six months ended June 30, 2025 and the year ended December 31,</w:t>
      </w:r>
    </w:p>
    <w:p>
      <w:pPr>
        <w:spacing w:after="0" w:line="1" w:lineRule="exact"/>
        <w:rPr>
          <w:sz w:val="20"/>
          <w:szCs w:val="20"/>
          <w:color w:val="auto"/>
        </w:rPr>
      </w:pPr>
    </w:p>
    <w:p>
      <w:pPr>
        <w:ind w:left="560" w:right="340"/>
        <w:spacing w:after="0" w:line="255" w:lineRule="auto"/>
        <w:rPr>
          <w:sz w:val="20"/>
          <w:szCs w:val="20"/>
          <w:color w:val="auto"/>
        </w:rPr>
      </w:pPr>
      <w:r>
        <w:rPr>
          <w:rFonts w:ascii="Times New Roman" w:cs="Times New Roman" w:eastAsia="Times New Roman" w:hAnsi="Times New Roman"/>
          <w:sz w:val="18"/>
          <w:szCs w:val="18"/>
          <w:color w:val="auto"/>
        </w:rPr>
        <w:t>2024, respectively. Interest expense was calculated assuming constant debt levels throughout the periods. A hypothetical 1/8% change to the interest rate would change interest expense by $        million and $        million for the six months ended June 30, 2025 and the year ended December 31, 2024, respectively.</w:t>
      </w:r>
    </w:p>
    <w:p>
      <w:pPr>
        <w:spacing w:after="0" w:line="91" w:lineRule="exact"/>
        <w:rPr>
          <w:sz w:val="20"/>
          <w:szCs w:val="20"/>
          <w:color w:val="auto"/>
        </w:rPr>
      </w:pPr>
    </w:p>
    <w:p>
      <w:pPr>
        <w:ind w:left="540" w:right="20" w:hanging="424"/>
        <w:spacing w:after="0" w:line="28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Pro Forma Transactions and the pro forma adjustments using an estimated income tax rate of 26% for the six months ended June 30, 2025 and the year ended December 31, 2024,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40" w:right="20"/>
        <w:spacing w:after="0" w:line="266" w:lineRule="auto"/>
        <w:rPr>
          <w:sz w:val="20"/>
          <w:szCs w:val="20"/>
          <w:color w:val="auto"/>
        </w:rPr>
      </w:pPr>
      <w:r>
        <w:rPr>
          <w:rFonts w:ascii="Times New Roman" w:cs="Times New Roman" w:eastAsia="Times New Roman" w:hAnsi="Times New Roman"/>
          <w:sz w:val="18"/>
          <w:szCs w:val="18"/>
          <w:color w:val="auto"/>
        </w:rPr>
        <w:t>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81" w:lineRule="exact"/>
        <w:rPr>
          <w:sz w:val="20"/>
          <w:szCs w:val="20"/>
          <w:color w:val="auto"/>
        </w:rPr>
      </w:pPr>
    </w:p>
    <w:p>
      <w:pPr>
        <w:ind w:left="540" w:right="140" w:hanging="424"/>
        <w:spacing w:after="0" w:line="266"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$58 million of obligations related to certain employee plans expected to be transferred from Comcast to Versant prior to the Separation pursuant to the terms of the Employee Matters Agreement. This adjustment also reflects $45 million of employee-related obligations included in our combined financial statements, but which are expected to be retained by Comcast pursuant to the terms of the Employee Matters Agreement.</w:t>
      </w:r>
    </w:p>
    <w:p>
      <w:pPr>
        <w:spacing w:after="0" w:line="81" w:lineRule="exact"/>
        <w:rPr>
          <w:rFonts w:ascii="Times New Roman" w:cs="Times New Roman" w:eastAsia="Times New Roman" w:hAnsi="Times New Roman"/>
          <w:sz w:val="18"/>
          <w:szCs w:val="18"/>
          <w:color w:val="auto"/>
        </w:rPr>
      </w:pPr>
    </w:p>
    <w:p>
      <w:pPr>
        <w:ind w:left="540" w:right="260" w:hanging="424"/>
        <w:spacing w:after="0" w:line="257"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shares of our Class A common stock with a par value of $0.01 per share and Class B common stock with a par value of $0.01 per share pursuant to the Separation and Distribution Agreement and the related reclassification of Comcast’s net investment in our Company. We have assumed the number of outstanding shares of our Class A common stock and Class B common stock based on shares of</w:t>
      </w:r>
    </w:p>
    <w:p>
      <w:pPr>
        <w:spacing w:after="0" w:line="1"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Comcast common stock outstanding, on the basis of the distribution ratio of        share(s) of our common stock distributed for every share of Comcast common stock, and using approximately         shares of Comcast Class A common stock and        shares of Comcast Class B common stock outstanding as of        , 2025. The actual number of shares issued will not be known until the record date for the distribution.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540" w:hanging="424"/>
        <w:spacing w:after="0" w:line="25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effects of commercial arrangements that Versant and Comcast will enter into in connection with the Separation described under “The Separation—Agreements with Comcast—Certain Commercial Arrangements.” Included in the pro forma combined statements of income for the six months ended June 30, 2025 and the year ended December 31, 2024 are adjustments for the differences in costs for these agreements, primarily related to the commercial services agreement for the sale and use of our advertising and promotional inventory compared to previously allocated costs, including adjustments to costs of revenue of $(5) million and $(7) million, respectively, and selling, general, and administrative expenses of $87 million and $208 million, respectively.</w:t>
      </w:r>
    </w:p>
    <w:p>
      <w:pPr>
        <w:spacing w:after="0" w:line="92"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charges we expect to incur within one year of the Separation to establish Versant as an independent standalone company. These charges primarily relate to systems costs and vendor fees totaling $1 million and $19 million for the six months ended June 30, 2025 and the year ended December 31, 2024, respectively, recorded in selling, general and administrative expenses, and the related accrual of $15 million, as of June 30, 2025, recorded in accrued expenses and other current liabilities. Actual charges that will be incurred could be different from these estimates.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as described above (d).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agreements for facilities that have been entered into or will be entered into prior to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135"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did not have common shares outstanding in the combined financial statements. The weighted average number of shares used to compute</w:t>
      </w:r>
    </w:p>
    <w:p>
      <w:pPr>
        <w:spacing w:after="0" w:line="27" w:lineRule="exact"/>
        <w:rPr>
          <w:sz w:val="20"/>
          <w:szCs w:val="20"/>
          <w:color w:val="auto"/>
        </w:rPr>
      </w:pPr>
    </w:p>
    <w:p>
      <w:pPr>
        <w:ind w:left="540" w:right="180"/>
        <w:spacing w:after="0" w:line="250" w:lineRule="auto"/>
        <w:rPr>
          <w:sz w:val="20"/>
          <w:szCs w:val="20"/>
          <w:color w:val="auto"/>
        </w:rPr>
      </w:pPr>
      <w:r>
        <w:rPr>
          <w:rFonts w:ascii="Times New Roman" w:cs="Times New Roman" w:eastAsia="Times New Roman" w:hAnsi="Times New Roman"/>
          <w:sz w:val="18"/>
          <w:szCs w:val="18"/>
          <w:color w:val="auto"/>
        </w:rPr>
        <w:t>pro forma basic earnings per share for the six months ended June 30, 2025 is based on the distribution ratio of         share(s) of our common stock distributed for every share of Comcast common stock, and using approximately         shares of Comcast Class A common stock and</w:t>
      </w:r>
    </w:p>
    <w:p>
      <w:pPr>
        <w:spacing w:after="0" w:line="1"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        shares of Comcast Class B common stock outstanding as of June 30, 2025. The weighted average number of shares used to compute pro forma basic earnings per share for the year ended December 31, 2024 is based on the distribution ratio of        share(s) of our common stock distributed for every share of Comcast common stock, and using approximately        shares of Comcast Class A common stock and        shares of Comcast Class B common stock outstanding as of December 31, 2024.</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administrative and support functions. We received the benefit of economies of scale as a business unit or division as part of Comcast’s broader corporate organization and our combined financial statements included allocations related to the costs of these functions; however, in establishing these independent support functions, the expenses may significantly differ from the prior amounts allocated.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 stand-alone public company, we expect to incur certain dis-synergies and incremental public company costs, or higher costs in addition to those included as transaction accounting and autonomous entity adjustments noted above. These costs primarily include the recurring and ongoing costs required to operate new functions required for a public company such as external reporting, internal audit, treasury, investor relations, board of directors, stock administration, and expanding the services of existing functions such as information technology, finance, supply chain, human resources, legal, tax, facilities, branding, security, government relations, community outreach and insurance.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estimated that we would have incurred approximately $87 million of additional expenses (including costs related to personnel of approximately $27 million and vendor and other costs of approximately $60 million) for the six months ended June 30, 2025 and approximately $233 million of additional expenses (including costs related to personnel of approximately $100 million and vendor and other costs of $134 million) for the year ended December 31, 2024.</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costs each function will require to operate Versant as a stand-alone public company as compared to the relevant allocated costs recorded within the combined financial statements.</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These estimates are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our operations.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8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17"/>
        </w:trPr>
        <w:tc>
          <w:tcPr>
            <w:tcW w:w="122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4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5"/>
                <w:szCs w:val="25"/>
                <w:color w:val="auto"/>
                <w:vertAlign w:val="superscript"/>
              </w:rPr>
              <w:t>*</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1,230</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(233)</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value to key constituents: the viewing audience, paying subscribers, advertisers, distributors and licensing counterparties. We generate revenue primarily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distributing our networks, selling advertising across our brands, providing services through our digital platforms and content licensing.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six months ended June 30, 2025, we had revenue of $3.4 billion, net income attributable to Versant of $0.7 billion and Adjusted EBITDA of $1.4 billion.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billion. For reconciliations of Adjusted EBITDA to net income attributable to Versant, the most directly comparable financial measure prepared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GAAP, see “—Non-GAAP Financial Measures.”</w:t>
      </w:r>
    </w:p>
    <w:p>
      <w:pPr>
        <w:spacing w:after="0" w:line="20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key factors that impact our business include the following:</w:t>
      </w:r>
    </w:p>
    <w:p>
      <w:pPr>
        <w:spacing w:after="0" w:line="127" w:lineRule="exact"/>
        <w:rPr>
          <w:sz w:val="20"/>
          <w:szCs w:val="20"/>
          <w:color w:val="auto"/>
        </w:rPr>
      </w:pPr>
    </w:p>
    <w:p>
      <w:pPr>
        <w:ind w:left="1080" w:right="120" w:hanging="424"/>
        <w:spacing w:after="0" w:line="259"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Demand for Cable Television</w:t>
      </w:r>
      <w:r>
        <w:rPr>
          <w:rFonts w:ascii="Times New Roman" w:cs="Times New Roman" w:eastAsia="Times New Roman" w:hAnsi="Times New Roman"/>
          <w:sz w:val="18"/>
          <w:szCs w:val="18"/>
          <w:color w:val="auto"/>
        </w:rPr>
        <w:t>. The amount of revenue we earn from MVPD distribution has declined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080" w:hanging="424"/>
        <w:spacing w:after="0" w:line="25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We derive significant revenue from selling advertising on our networks, and have experienced in recent years,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of Digital Platforms</w:t>
      </w:r>
      <w:r>
        <w:rPr>
          <w:rFonts w:ascii="Times New Roman" w:cs="Times New Roman" w:eastAsia="Times New Roman" w:hAnsi="Times New Roman"/>
          <w:sz w:val="18"/>
          <w:szCs w:val="18"/>
          <w:color w:val="auto"/>
        </w:rPr>
        <w:t>. Our digital platforms generate revenue from selling advertising, providing services directly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for Programming</w:t>
      </w:r>
      <w:r>
        <w:rPr>
          <w:rFonts w:ascii="Times New Roman" w:cs="Times New Roman" w:eastAsia="Times New Roman" w:hAnsi="Times New Roman"/>
          <w:sz w:val="18"/>
          <w:szCs w:val="18"/>
          <w:color w:val="auto"/>
        </w:rPr>
        <w:t>. The market for programming has been, and we expect will continue to be, very competitive. In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Macroeconomic Conditions</w:t>
      </w:r>
      <w:r>
        <w:rPr>
          <w:rFonts w:ascii="Times New Roman" w:cs="Times New Roman" w:eastAsia="Times New Roman" w:hAnsi="Times New Roman"/>
          <w:sz w:val="18"/>
          <w:szCs w:val="18"/>
          <w:color w:val="auto"/>
        </w:rPr>
        <w:t>. A substantial portion of our revenue is impacted by consumer spending patterns,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Value and Reputation</w:t>
      </w:r>
      <w:r>
        <w:rPr>
          <w:rFonts w:ascii="Times New Roman" w:cs="Times New Roman" w:eastAsia="Times New Roman" w:hAnsi="Times New Roman"/>
          <w:sz w:val="18"/>
          <w:szCs w:val="18"/>
          <w:color w:val="auto"/>
        </w:rPr>
        <w:t>. Our brand image, awareness and reputation strengthen our relationship with our audiences and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incur expenditures that are higher than historical allocations that were allocated pro rata based on revenue, which may have an impact on our profitability and operating cash flows.</w:t>
      </w:r>
    </w:p>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“Risk Factors” in this information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 combined financial statements included elsewhere in this information statement,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GAAP and pursuant to the rules and regulations of the SEC.</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audited combined balance sheets were based on assessments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55"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5 to the unaudited condensed combined financial statements and Note 10 to the audited combined financial statements included elsewhere in this information statement).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combined financial statements are considered related party transactions. See Note 5 to the unaudited condensed combined financial statements and Note 10 to the audited combined financial statements included elsewhere in this information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6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1,708</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1,808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$3,415</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$3,626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1,354</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662</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1,305</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502</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(18.4)</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910</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1,081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908</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670</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669</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803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EBITDA(a)</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1,442</w:t>
            </w:r>
          </w:p>
        </w:tc>
        <w:tc>
          <w:tcPr>
            <w:tcW w:w="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1,575</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
        </w:trPr>
        <w:tc>
          <w:tcPr>
            <w:tcW w:w="60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4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1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$7,062</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$7,445</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$7,834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3,161</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1,271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992</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2,410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(591)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1,363</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1,539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EBITDA(a)</w:t>
            </w: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2,837</w:t>
            </w:r>
          </w:p>
        </w:tc>
        <w:tc>
          <w:tcPr>
            <w:tcW w:w="4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3,060</w:t>
            </w:r>
          </w:p>
        </w:tc>
        <w:tc>
          <w:tcPr>
            <w:tcW w:w="2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3,402</w:t>
            </w:r>
          </w:p>
        </w:tc>
        <w:tc>
          <w:tcPr>
            <w:tcW w:w="46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7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0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7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$1,017</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$1,066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$2,103</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2,227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931</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202</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370</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1,708</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1,808</w:t>
            </w:r>
          </w:p>
        </w:tc>
        <w:tc>
          <w:tcPr>
            <w:tcW w:w="34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3,415</w:t>
            </w:r>
          </w:p>
        </w:tc>
        <w:tc>
          <w:tcPr>
            <w:tcW w:w="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3,626</w:t>
            </w:r>
          </w:p>
        </w:tc>
        <w:tc>
          <w:tcPr>
            <w:tcW w:w="4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8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0"/>
                <w:szCs w:val="10"/>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18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$4,325</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$4,632</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$4,802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1,865</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734</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8.3</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10.9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7,062</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7,445</w:t>
            </w:r>
          </w:p>
        </w:tc>
        <w:tc>
          <w:tcPr>
            <w:tcW w:w="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7,834</w:t>
            </w: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w:t>
            </w:r>
          </w:p>
        </w:tc>
        <w:tc>
          <w:tcPr>
            <w:tcW w:w="180" w:type="dxa"/>
            <w:vAlign w:val="bottom"/>
            <w:vMerge w:val="continue"/>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Linear distribution revenue continued to decrease for the three and six months ended June 30, 2025 due to declines in the number of subscribers of 8% for both periods, partially offset by contractual rate increases.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Linear distribution revenue decreased in 2024 and 2023 due to declines in the number of subscribers of 8% for both periods, partially offset by contractual rate increases. We expect to experience continued declines in the number of subscribers and linear distribution revenue, as further discussed in “—Key Factors Affecting Our Business.”</w:t>
      </w:r>
    </w:p>
    <w:p>
      <w:pPr>
        <w:spacing w:after="0" w:line="17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for the three and six months ended June 30, 2025 primarily due to decreases at our networks as a result of ratings declines of 16% and 18%, respectively. Ratings in 2025 continued to be negatively impacted by trends in linear advertising, and experienced further declines following the presidential inauguration.</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ratings declines at our networks and continued shifts toward digital advertising in future periods, and these trends are further discussed in “—Key Factors Affecting Our Business.”</w:t>
      </w:r>
    </w:p>
    <w:p>
      <w:pPr>
        <w:spacing w:after="0" w:line="15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Platforms revenue increased for the three and six months ended June 30, 2025 primarily due to increased transactional volumes, primarily related to services provided to golf courses, including an increased number of courses using our on-site payment facilitation services. Revenue for the three months ended June 30, 2025 also increased due to an increase in movie tickets purchases through our platform resulting from underlying box office performance.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8"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streaming services and other platforms, licensing audio feeds of our programming and original podcasts to digital platforms and other products and services.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Content licensing and other revenue decreased for the three months ended June 30, 2025 primarily due to timing of content licensing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4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5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$1,120</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$1,218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26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w:t>
            </w:r>
          </w:p>
        </w:tc>
        <w:tc>
          <w:tcPr>
            <w:tcW w:w="140" w:type="dxa"/>
            <w:vAlign w:val="bottom"/>
            <w:vMerge w:val="continue"/>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1,354</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1,436</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13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$2,606</w:t>
            </w:r>
          </w:p>
        </w:tc>
        <w:tc>
          <w:tcPr>
            <w:tcW w:w="3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$2,724</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$2,749</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412</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3,064</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3,154</w:t>
            </w: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42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costs, production overhead and on-air talent costs.</w:t>
      </w:r>
    </w:p>
    <w:p>
      <w:pPr>
        <w:spacing w:after="0" w:line="15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decreased for the three and six months ended June 30, 2025 primarily due to lower costs associated with sports programming.</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timing of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w:t>
      </w:r>
    </w:p>
    <w:p>
      <w:pPr>
        <w:spacing w:after="0" w:line="179"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available to consumers and payment processing fees, and other platform and customer support costs.</w:t>
      </w:r>
    </w:p>
    <w:p>
      <w:pPr>
        <w:spacing w:after="0" w:line="15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for the three and six months ended June 30, 2025 primarily due to higher transactional volumes related to our digital platforms.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costs of revenue increased in 2024 and 2023 primarily due to higher transactional volumes related to our digital platforms.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six months ended June 30, 2025 primarily due to transaction and transaction-related costs associated with the Separation, which totaled $32 million and $44 million for the three and six months ended June 30, 2025, respectively.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 and 2023 primarily due to a decrease in allocated costs from Comcast. As discussed in “—Key Factors Affecting Our Business,” Note 5 to the unaudited condensed combined financial statements and Note 10 to the audited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 television networks, as well as depreciation of property and equipment. Depreciation and amortization expense remained consistent for the three and six months ended June 30, 2025 and 2024, as well as in 2024 and 2023. See Note 7 to the audited combined financial statements for additional information on our intangible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Investment and other income (loss), net in 2022 resulted primarily from an impairment of a nonmarketable equity security. See Note 5 to the audited combined financial statements for additional information on our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26.2% for both the three and six months ended June 30, 2025 and 25.9% for both the three and six months ended June 30, 2024. Our effective income tax rate was 25.9%, 25.6% and 25.2% in 2024, 2023 and 2022, respectively.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decreases in income tax expense for the three and six months ended 2025, and the years ended December 31, 2024 and 2023 were primarily due to decreases in income before income taxes.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8 to the audited combined financial statements for additional information on our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6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86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803</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6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747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3"/>
              </w:rPr>
              <w:t>1,442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1,575</w:t>
            </w:r>
          </w:p>
        </w:tc>
      </w:tr>
      <w:tr>
        <w:trPr>
          <w:trHeight w:val="20"/>
        </w:trPr>
        <w:tc>
          <w:tcPr>
            <w:tcW w:w="1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right="140" w:hanging="424"/>
        <w:spacing w:after="0" w:line="258"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7"/>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3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5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5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$1,539</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left w:val="single" w:sz="8" w:color="CCEEFF"/>
            </w:tcBorders>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2,837</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3,402</w:t>
            </w:r>
          </w:p>
        </w:tc>
        <w:tc>
          <w:tcPr>
            <w:tcW w:w="120" w:type="dxa"/>
            <w:vAlign w:val="bottom"/>
            <w:tcBorders>
              <w:left w:val="single" w:sz="8" w:color="CCEEFF"/>
            </w:tcBorders>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2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which are related to certain transaction costs associated with the Separation in 2024. See Note 2 to the audited combined financial statements.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246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24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$ 1,113</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$ 1,084</w:t>
            </w: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(77)</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(28)</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(39)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$(1,040)</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$(1,059)</w:t>
            </w: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(2,355)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392"/>
        </w:trPr>
        <w:tc>
          <w:tcPr>
            <w:tcW w:w="6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42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11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540" w:type="dxa"/>
            <w:vAlign w:val="bottom"/>
            <w:gridSpan w:val="3"/>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6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        23.4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operating activities. However, we have operated within Comcast’s cash management structure, which uses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We expect to incur approximately $        of new debt. See “Description of Material Indebtedness.”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six months ended June 30, 2025 primarily due to an increase from changes in operating assets and liabilities, partially offset by a decline in net income caused by decreasing revenue as described above. The increase resulting from changes in operating assets and liabilities was primarily due to decreases in current and noncurrent receivables, net and other operating assets and liabilities.</w:t>
      </w:r>
    </w:p>
    <w:p>
      <w:pPr>
        <w:spacing w:after="0" w:line="1" w:lineRule="exact"/>
        <w:rPr>
          <w:sz w:val="20"/>
          <w:szCs w:val="20"/>
          <w:color w:val="auto"/>
        </w:rPr>
      </w:pPr>
    </w:p>
    <w:p>
      <w:pPr>
        <w:jc w:val="both"/>
        <w:ind w:left="120" w:right="220"/>
        <w:spacing w:after="0" w:line="260" w:lineRule="auto"/>
        <w:rPr>
          <w:sz w:val="20"/>
          <w:szCs w:val="20"/>
          <w:color w:val="auto"/>
        </w:rPr>
      </w:pPr>
      <w:r>
        <w:rPr>
          <w:rFonts w:ascii="Times New Roman" w:cs="Times New Roman" w:eastAsia="Times New Roman" w:hAnsi="Times New Roman"/>
          <w:sz w:val="18"/>
          <w:szCs w:val="18"/>
          <w:color w:val="auto"/>
        </w:rPr>
        <w:t>Operating assets and liabilities in our combined statements of cash flows generally fluctuate based on the timing of amortization and related payments for our content costs and the timing of collections of receivables.</w:t>
      </w:r>
    </w:p>
    <w:p>
      <w:pPr>
        <w:spacing w:after="0" w:line="18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gain on investment activity. The decrease resulting from changes in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operating assets and liabilities in 2024 was primarily due to a decrease in content costs, net, partially offset by an increase in current and noncurrent receivables, net. The increase resulting from changes in operating assets and liabilities in 2023 was primarily due to increases in content costs, net and current and noncurrent receivables, net, partially offset by a decrease in other operating assets and liabilities.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described in Notes 1 and 5 to the unaudited condensed combined financial statements,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capital expenditures, which increased for the six months ended June 30, 2025 as a result of transaction-related capital spending for facilities and IT systems, and were consistent for the years ended December 31, 2024, 2023 and 2022. Other investing activities included net payments to Comcast pursuant to loans associated with its centralized cash management programs, and net loan receipts in 2022. See Note 5 to our unaudited condensed combined financial statements and Note 10 to our audited combined financial statements for additional information on these related party loans.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decreased primarily due to changes in net parent investment, which primarily resulted from increased cash generated from operating activities and swept to Comcast during the periods, partially offset by increased capital expenditures funded through Comcast’s centralized cash management program.</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8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5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Beyond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6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the next</w:t>
            </w: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next 12</w:t>
            </w:r>
          </w:p>
        </w:tc>
        <w:tc>
          <w:tcPr>
            <w:tcW w:w="56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 Our programming and production costs include significant amounts related to content contracts shared with Comcast. These contracts, which primarily related to multiyear sports rights agreements, are not included in the amounts presented above as we are not the primary obligor under the contract. As a result, following the Separation we expect to have significant additional contractual obligations. See Note 4 and Note 10 to our audited combined financial statements for additional information on programming and production costs and related party transactions, respectively.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expect to enter into new financing arrangements in anticipation of the Separation.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discussed in Note 2 to the unaudited condensed combined financial statements and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combined financial statements.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the date of Comcast’s most recent annual goodwill impairment assessment.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 Following Versant’s change in chief operating decision maker in 2025 (see Note 1 to our unaudited combined financial statements), we reassessed our reporting units and concluded that the estimated fair value of the Versant reporting units substantially exceeded their carrying value and no impairment was required.</w:t>
      </w:r>
    </w:p>
    <w:p>
      <w:pPr>
        <w:spacing w:after="0" w:line="18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5"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8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21"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83"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Versant is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 Agreements with Comcast” for additional information regarding these 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 Our networks were collectively watched by an average audience of over 60 million unique viewers each week in 2024, with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MSNBC, to be rebranded as My Source News Opinion World (MS NOW)</w:t>
      </w:r>
    </w:p>
    <w:p>
      <w:pPr>
        <w:spacing w:after="0" w:line="135" w:lineRule="exact"/>
        <w:rPr>
          <w:sz w:val="20"/>
          <w:szCs w:val="20"/>
          <w:color w:val="auto"/>
        </w:rPr>
      </w:pPr>
    </w:p>
    <w:p>
      <w:pPr>
        <w:ind w:left="1080" w:right="100" w:hanging="424"/>
        <w:spacing w:after="0" w:line="258"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is a premier destination for politics, news and opinion through informed, distinct perspectives and analysis. MSNBC operates across multiple media platforms: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85" w:lineRule="exact"/>
        <w:rPr>
          <w:sz w:val="20"/>
          <w:szCs w:val="20"/>
          <w:color w:val="auto"/>
        </w:rPr>
      </w:pPr>
    </w:p>
    <w:p>
      <w:pPr>
        <w:ind w:left="1080" w:right="40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saw one of its largest audiences on record in 2024, finishing the year as the number two network across all cable television networks according to Nielsen for the seventh consecutive year. For 2022-2024, MSNBC was the only top-20 cable network with two consecutive years of audience gains.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has rapidly grown its digital audience in recent years, including through MSNBC.com and the MSNBC mobile app, averaging</w:t>
      </w:r>
    </w:p>
    <w:p>
      <w:pPr>
        <w:spacing w:after="0" w:line="27" w:lineRule="exact"/>
        <w:rPr>
          <w:rFonts w:ascii="Times New Roman" w:cs="Times New Roman" w:eastAsia="Times New Roman" w:hAnsi="Times New Roman"/>
          <w:sz w:val="18"/>
          <w:szCs w:val="18"/>
          <w:color w:val="auto"/>
        </w:rPr>
      </w:pPr>
    </w:p>
    <w:p>
      <w:pPr>
        <w:ind w:left="108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monthly unique visitors in 2024. Additionally, in 2024, MSNBC was the number one news brand across all of YouTube and the number one cable news brand on TikTok. MSNBC generated nearly 160 million total downloads across its audio portfolio.</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CNBC</w:t>
      </w:r>
    </w:p>
    <w:p>
      <w:pPr>
        <w:spacing w:after="0" w:line="135" w:lineRule="exact"/>
        <w:rPr>
          <w:sz w:val="20"/>
          <w:szCs w:val="20"/>
          <w:color w:val="auto"/>
        </w:rPr>
      </w:pPr>
    </w:p>
    <w:p>
      <w:pPr>
        <w:ind w:left="1080" w:right="120" w:hanging="424"/>
        <w:spacing w:after="0" w:line="261"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85"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has expanded its audience through branded products, including direct-to-consumer streaming services, investing club, podcasts, conferences and other live events. CNBC.com has the number one business news website based on total minutes of audience usage for four consecutive years, according to comScore.</w:t>
      </w:r>
      <w:r>
        <w:rPr>
          <w:rFonts w:ascii="Times New Roman" w:cs="Times New Roman" w:eastAsia="Times New Roman" w:hAnsi="Times New Roman"/>
          <w:sz w:val="26"/>
          <w:szCs w:val="26"/>
          <w:color w:val="auto"/>
          <w:vertAlign w:val="superscript"/>
        </w:rPr>
        <w:t>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 Network</w:t>
      </w:r>
    </w:p>
    <w:p>
      <w:pPr>
        <w:spacing w:after="0" w:line="135" w:lineRule="exact"/>
        <w:rPr>
          <w:sz w:val="20"/>
          <w:szCs w:val="20"/>
          <w:color w:val="auto"/>
        </w:rPr>
      </w:pPr>
    </w:p>
    <w:p>
      <w:pPr>
        <w:ind w:left="1080" w:right="2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Open Championship and the Ryder Cup, the Premier League, college basketball and the Olympics.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has been a top-five cable entertainment network each year for the past 30 years. USA Network ended 2024 as the number eight network across all cable television networks according to Nielsen.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220" w:hanging="224"/>
        <w:spacing w:after="0" w:line="209" w:lineRule="auto"/>
        <w:tabs>
          <w:tab w:leader="none" w:pos="340"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January 2021—December 2024, Desktop &amp; Mobile excluding Social Incremental, Total Minutes, Desktop 2+ and Total Mobile 13+, News/Information—Business/Finance News Category showing domains only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24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Network’s extensive content library consists of a wide variety of on-demand films and television shows that are generally licensed under long-term contracts with major studios.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 Channel</w:t>
      </w:r>
    </w:p>
    <w:p>
      <w:pPr>
        <w:spacing w:after="0" w:line="135" w:lineRule="exact"/>
        <w:rPr>
          <w:sz w:val="20"/>
          <w:szCs w:val="20"/>
          <w:color w:val="auto"/>
        </w:rPr>
      </w:pPr>
    </w:p>
    <w:p>
      <w:pPr>
        <w:ind w:left="1080" w:right="100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13"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celebrated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10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GolfNow</w:t>
      </w:r>
    </w:p>
    <w:p>
      <w:pPr>
        <w:spacing w:after="0" w:line="135" w:lineRule="exact"/>
        <w:rPr>
          <w:sz w:val="20"/>
          <w:szCs w:val="20"/>
          <w:color w:val="auto"/>
        </w:rPr>
      </w:pPr>
    </w:p>
    <w:p>
      <w:pPr>
        <w:ind w:left="1080" w:right="4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67"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SportsEngine</w:t>
      </w:r>
    </w:p>
    <w:p>
      <w:pPr>
        <w:spacing w:after="0" w:line="135" w:lineRule="exact"/>
        <w:rPr>
          <w:sz w:val="20"/>
          <w:szCs w:val="20"/>
          <w:color w:val="auto"/>
        </w:rPr>
      </w:pPr>
    </w:p>
    <w:p>
      <w:pPr>
        <w:ind w:left="1080" w:right="280" w:hanging="424"/>
        <w:spacing w:after="0" w:line="261"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has expanded into youth sports subscription video streaming, providing off-location access to youth sports competition, and also offers and facilitates background screenings for coaches and volunteers.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platforms have millions of touchpoints with parents and families each year and those users are also consumers of its diverse portfolio of sports, entertainment and news products.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w:t>
      </w:r>
    </w:p>
    <w:p>
      <w:pPr>
        <w:spacing w:after="0" w:line="135" w:lineRule="exact"/>
        <w:rPr>
          <w:sz w:val="20"/>
          <w:szCs w:val="20"/>
          <w:color w:val="auto"/>
        </w:rPr>
      </w:pPr>
    </w:p>
    <w:p>
      <w:pPr>
        <w:ind w:left="1080" w:right="42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one of the largest shares of millennial and Gen Z audiences across comparable networks.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30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News Digital’s in-house original production studio and 24/7 news team create engaging news content and easy-to-watch, shareable programming that continues to generate conversation and community.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SYFY</w:t>
      </w:r>
    </w:p>
    <w:p>
      <w:pPr>
        <w:spacing w:after="0" w:line="135" w:lineRule="exact"/>
        <w:rPr>
          <w:sz w:val="20"/>
          <w:szCs w:val="20"/>
          <w:color w:val="auto"/>
        </w:rPr>
      </w:pPr>
    </w:p>
    <w:p>
      <w:pPr>
        <w:ind w:left="1080" w:right="6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provides content on a multiplatform basis through SYFY’s network and related digital services.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home to popular horror and science fiction programming such as The Twilight Zone and originals including SurrealEstate, The Ark and Revival.</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Oxygen True Crime</w:t>
      </w:r>
    </w:p>
    <w:p>
      <w:pPr>
        <w:spacing w:after="0" w:line="135" w:lineRule="exact"/>
        <w:rPr>
          <w:sz w:val="20"/>
          <w:szCs w:val="20"/>
          <w:color w:val="auto"/>
        </w:rPr>
      </w:pPr>
    </w:p>
    <w:p>
      <w:pPr>
        <w:ind w:left="1080" w:right="16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was the second most-viewed true crime network in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Fandango Media</w:t>
      </w:r>
    </w:p>
    <w:p>
      <w:pPr>
        <w:spacing w:after="0" w:line="135" w:lineRule="exact"/>
        <w:rPr>
          <w:sz w:val="20"/>
          <w:szCs w:val="20"/>
          <w:color w:val="auto"/>
        </w:rPr>
      </w:pPr>
    </w:p>
    <w:p>
      <w:pPr>
        <w:jc w:val="both"/>
        <w:ind w:left="1080" w:right="220" w:hanging="424"/>
        <w:spacing w:after="0" w:line="26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w:t>
      </w:r>
      <w:r>
        <w:rPr>
          <w:rFonts w:ascii="Times New Roman" w:cs="Times New Roman" w:eastAsia="Times New Roman" w:hAnsi="Times New Roman"/>
          <w:sz w:val="26"/>
          <w:szCs w:val="26"/>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9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 as of December 31,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50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5000" w:type="dxa"/>
            <w:vAlign w:val="bottom"/>
          </w:tcPr>
          <w:p>
            <w:pPr>
              <w:spacing w:after="0"/>
              <w:rPr>
                <w:sz w:val="15"/>
                <w:szCs w:val="15"/>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(mm) (a)</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MSNBC</w:t>
            </w:r>
          </w:p>
        </w:tc>
        <w:tc>
          <w:tcPr>
            <w:tcW w:w="50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CNBC</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Network</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Golf Channel</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SYFY</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Oxygen True Crime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85725</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2520" w:right="280" w:hanging="649"/>
        <w:spacing w:after="0" w:line="282" w:lineRule="auto"/>
        <w:tabs>
          <w:tab w:leader="none" w:pos="2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data is based on information from Nielsen as of December 31, 2024 using its Cable Coverage Universe Estimates report and dynamic ad insertion estimates.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3" w:lineRule="exact"/>
        <w:rPr>
          <w:sz w:val="20"/>
          <w:szCs w:val="20"/>
          <w:color w:val="auto"/>
        </w:rPr>
      </w:pPr>
    </w:p>
    <w:p>
      <w:pPr>
        <w:ind w:left="340" w:right="460" w:hanging="224"/>
        <w:spacing w:after="0" w:line="209" w:lineRule="auto"/>
        <w:tabs>
          <w:tab w:leader="none" w:pos="340" w:val="left"/>
        </w:tabs>
        <w:numPr>
          <w:ilvl w:val="0"/>
          <w:numId w:val="1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July 2024 – August 2024, Desktop &amp; Mobile excluding Social Incremental, Monthly Unique Visitors, Desktop 2+ and Total Mobile 18+, [C] Fandango Sites.</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40"/>
          </w:cols>
          <w:pgMar w:left="320" w:top="455"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2540" w:right="140"/>
        <w:spacing w:after="0" w:line="289" w:lineRule="auto"/>
        <w:rPr>
          <w:sz w:val="20"/>
          <w:szCs w:val="20"/>
          <w:color w:val="auto"/>
        </w:rPr>
      </w:pPr>
      <w:r>
        <w:rPr>
          <w:rFonts w:ascii="Times New Roman" w:cs="Times New Roman" w:eastAsia="Times New Roman" w:hAnsi="Times New Roman"/>
          <w:sz w:val="17"/>
          <w:szCs w:val="17"/>
          <w:color w:val="auto"/>
        </w:rPr>
        <w:t>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right="560" w:firstLine="440"/>
        <w:spacing w:after="0" w:line="281" w:lineRule="auto"/>
        <w:rPr>
          <w:sz w:val="20"/>
          <w:szCs w:val="20"/>
          <w:color w:val="auto"/>
        </w:rPr>
      </w:pPr>
      <w:r>
        <w:rPr>
          <w:rFonts w:ascii="Times New Roman" w:cs="Times New Roman" w:eastAsia="Times New Roman" w:hAnsi="Times New Roman"/>
          <w:sz w:val="17"/>
          <w:szCs w:val="17"/>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technical and production staff to provide quality news programming. This model is designed to enable in-depth reporting and political analysis while streamlining production costs.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a summary of certain significant sports programming and related content that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and in August 2025, we announced that Versant’s sports programming will come together under the new brand, USA Sports.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Television Rights</w:t>
            </w:r>
            <w:r>
              <w:rPr>
                <w:rFonts w:ascii="Times New Roman" w:cs="Times New Roman" w:eastAsia="Times New Roman" w:hAnsi="Times New Roman"/>
                <w:sz w:val="10"/>
                <w:szCs w:val="10"/>
                <w:b w:val="1"/>
                <w:bCs w:val="1"/>
                <w:color w:val="auto"/>
              </w:rPr>
              <w:t>(a)</w:t>
            </w:r>
          </w:p>
        </w:tc>
        <w:tc>
          <w:tcPr>
            <w:tcW w:w="7500" w:type="dxa"/>
            <w:vAlign w:val="bottom"/>
          </w:tcPr>
          <w:p>
            <w:pPr>
              <w:spacing w:after="0"/>
              <w:rPr>
                <w:sz w:val="16"/>
                <w:szCs w:val="16"/>
                <w:color w:val="auto"/>
              </w:rPr>
            </w:pPr>
          </w:p>
        </w:tc>
        <w:tc>
          <w:tcPr>
            <w:tcW w:w="23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Premier League</w:t>
            </w:r>
          </w:p>
        </w:tc>
        <w:tc>
          <w:tcPr>
            <w:tcW w:w="23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2027-28 season</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PGA Tour, Open Championship, Ryder Cup</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2028 and 2032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2028-29 season</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NASCAR</w:t>
            </w:r>
            <w:r>
              <w:rPr>
                <w:rFonts w:ascii="Times New Roman" w:cs="Times New Roman" w:eastAsia="Times New Roman" w:hAnsi="Times New Roman"/>
                <w:sz w:val="25"/>
                <w:szCs w:val="25"/>
                <w:color w:val="auto"/>
                <w:vertAlign w:val="superscript"/>
              </w:rPr>
              <w:t>(b)</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r>
      <w:tr>
        <w:trPr>
          <w:trHeight w:val="35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WNBA</w:t>
            </w:r>
            <w:r>
              <w:rPr>
                <w:rFonts w:ascii="Times New Roman" w:cs="Times New Roman" w:eastAsia="Times New Roman" w:hAnsi="Times New Roman"/>
                <w:sz w:val="26"/>
                <w:szCs w:val="26"/>
                <w:color w:val="auto"/>
                <w:vertAlign w:val="superscript"/>
              </w:rPr>
              <w:t>(c)</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2036 season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560" w:hanging="424"/>
        <w:spacing w:after="0" w:line="261"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rights agreements generally provided rights across both NBCUniversal and the Company and the audited combined statements of income included allocations of costs related to these contracts.</w:t>
      </w:r>
    </w:p>
    <w:p>
      <w:pPr>
        <w:ind w:left="540" w:right="74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unilateral right by the other party (i.e., the licensor) to the agreement, under certain circumstances, to shorten the term of the agreement by one year.</w:t>
      </w:r>
    </w:p>
    <w:p>
      <w:pPr>
        <w:ind w:left="540" w:right="300" w:hanging="424"/>
        <w:spacing w:after="0" w:line="26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WNBA season, includes the rights to produce and distribute a specified number of WNBA regular season and playoff games, including certain games from three WNBA Finals series over the term of the agreement.</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is the most followed pop culture news brand on social platforms.</w:t>
      </w:r>
    </w:p>
    <w:p>
      <w:pPr>
        <w:spacing w:after="0" w:line="16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62"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55"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FCC regulations restrict cable operator-affiliated cable networks from certain discriminatory practices with respect to distribution by MVPDs.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 2025, we had approximately  full-time and part-time employees calculated on a full-time equivalent basis. Approximately  % of our employees were located in over 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organization, such as a union, works council or employee association. Our Company has been built on a foundation of respect, integrity and trust, and we are committed to creating and fostering a work environment that promotes those values.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6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Business Risk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4 to our unaudited condensed combined financial statements and Note 9 to our audited combined financial statements for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Following the Separation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the date of this information statement, regarding certain individuals who are expected to serve as our executive officers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be the Chief Executive Officer of Versant. Mr. Lazarus has served in various roles at NBCUniversal since 2011,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Anand M. Kini </w:t>
      </w:r>
      <w:r>
        <w:rPr>
          <w:rFonts w:ascii="Times New Roman" w:cs="Times New Roman" w:eastAsia="Times New Roman" w:hAnsi="Times New Roman"/>
          <w:sz w:val="18"/>
          <w:szCs w:val="18"/>
          <w:color w:val="auto"/>
        </w:rPr>
        <w:t>will be the Chief Financial Officer and Chief Operating Officer of Versant. Mr. Kini 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Strategy, Comcast Corporation since 2011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Jordan R. Fasbender </w:t>
      </w:r>
      <w:r>
        <w:rPr>
          <w:rFonts w:ascii="Times New Roman" w:cs="Times New Roman" w:eastAsia="Times New Roman" w:hAnsi="Times New Roman"/>
          <w:sz w:val="18"/>
          <w:szCs w:val="18"/>
          <w:color w:val="auto"/>
        </w:rPr>
        <w:t>will be the General Counsel and Corporate Secretary of Versant. Ms. Fasbender served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Following the Separation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individuals are expected to serve as members of our Board following the Separation.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65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Novak</w:t>
            </w:r>
          </w:p>
        </w:tc>
        <w:tc>
          <w:tcPr>
            <w:tcW w:w="24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Eun</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16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95</w:t>
            </w:r>
          </w:p>
        </w:tc>
      </w:tr>
    </w:tbl>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serve on the Board of Directors. For Mr. Lazarus’ biography, see “—Executive Officers Following the Separation” above.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Lazarus’ qualifications for election include his service as Chief Executive Officer of Versant and his previous service in various leadership roles at NBCUniversal since 2011.</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Novak </w:t>
      </w:r>
      <w:r>
        <w:rPr>
          <w:rFonts w:ascii="Times New Roman" w:cs="Times New Roman" w:eastAsia="Times New Roman" w:hAnsi="Times New Roman"/>
          <w:sz w:val="18"/>
          <w:szCs w:val="18"/>
          <w:color w:val="auto"/>
        </w:rPr>
        <w:t>will be the Chairman of our Board. Mr. Novak has served as a director of Comcast Corporation since 2016. Prior to that, Mr. Novak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Chief Executive Officer of YUM! Brands, Inc. from 2000 to 2014, the Chairman of its board of directors from 2001 to 2014 and the Executive Chairman of its board of directors from 2015 to 2016. Mr. Novak is the founder of David Novak Leadership, Inc., which provides online leadership training to transform managers into confident, capable engaging leaders, and currently serves on the board of directors of Lift-a-Life Novak Family Foundation.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Rebecca Campbell </w:t>
      </w:r>
      <w:r>
        <w:rPr>
          <w:rFonts w:ascii="Times New Roman" w:cs="Times New Roman" w:eastAsia="Times New Roman" w:hAnsi="Times New Roman"/>
          <w:sz w:val="18"/>
          <w:szCs w:val="18"/>
          <w:color w:val="auto"/>
        </w:rPr>
        <w:t>will serve on the Board of Directors. Mrs. Campbell was appointed Interim Chief Executive Officer of Meow Wolf,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arts and entertainment company, in 2025 and has served on the company’s board of directors since 2024. Mrs. Campbell spent over 25 years at The Walt Disney Company, a multinational entertainment and media company, where she held a range of senior leadership roles across its international and direct-to-consumer businesses. From 2020 to 2023, Mrs. Campbell served as Chairman of International Operations and Direct-to-Consumer at Disney, where she was responsible for global operations and all facets of the company’s Direct-to-Consumer portfolio. From 2019 to 2020, she was President of Disneyland Resort, overseeing two theme parks, three resort hotels, and Downtown Disney, while leading a team of 31,000 cast members. From 2018 to 2019, she was based in London as President of Europe, Middle East &amp; Africa. From 2010 to 2018, she served as President of the ABC Owned Television Stations &amp; ABC Daytime Television. Mrs. Campbell also served on the board of directors of Broadcast Music, Inc. (BMI) from 2015 to 2024. Additionally, she has been involved with Big Brothers Big Sisters of Greater Los Angeles since 2016,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Creighton Condon </w:t>
      </w:r>
      <w:r>
        <w:rPr>
          <w:rFonts w:ascii="Times New Roman" w:cs="Times New Roman" w:eastAsia="Times New Roman" w:hAnsi="Times New Roman"/>
          <w:sz w:val="18"/>
          <w:szCs w:val="18"/>
          <w:color w:val="auto"/>
        </w:rPr>
        <w:t>will serve on the Board of Directors. Mr. Condon is Of Counsel at the global law firm of Allen Overy Shearman Sterling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position he has held since 2024. He previously was a Partner of Shearman &amp; Sterling LLP from 1991 to 2023, and served as its Senior Partner from 2012 to 2018, European Managing Partner from 2008 to 2012 and Global Mergers and Acquisitions Practice Group Leader from 2012 until being elected the Senior Partner of the firm. He advises clients on mergers, acquisitions, divestitures and joint ventures, and counsels boards of directors and special committees on corporate governance matters, change of control transactions, shareholder activism and complex structural issues.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5"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Michael Conway </w:t>
      </w:r>
      <w:r>
        <w:rPr>
          <w:rFonts w:ascii="Times New Roman" w:cs="Times New Roman" w:eastAsia="Times New Roman" w:hAnsi="Times New Roman"/>
          <w:sz w:val="17"/>
          <w:szCs w:val="17"/>
          <w:color w:val="auto"/>
        </w:rPr>
        <w:t>will serve on the Board of Directors. Mr. Conway is the former Chief Executive Officer of Starbucks North America, a position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held until his retirement in 2024. Previously, he served in a variety of executive roles at Starbucks Corporation, a publicly traded multinational coffee house and specialty coffee retailer, including Group President, Starbucks International and Global Channel Development from 2021 to 2024, Executive Vice President and President, Starbucks International Licensed Markets from 2020 to 2021, Executive Vice President and President, Starbucks Canada from 2018 to 2020, Executive Vice President and President, Licensed Stores, U.S. and Latin America from 2016 to 2018 and Executive Vice President and President, Global Channel Development from 2013 to 2016, responsible for all commercial and business strategy functions for global grocery and foodservice and expanding into emerging international markets. Prior to joining Starbucks, Mr. Conway worked at Johnson &amp; Johnson from 2004 to 2013 and worked at the Campbell Soup Company from 1994 to 2004. Mr. Conway is a member of the board of directors of McCormick &amp; Company, where he is currently member of the nominating and corporate governance committee and served on the audit committee from 2015-2022.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1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Eun </w:t>
      </w:r>
      <w:r>
        <w:rPr>
          <w:rFonts w:ascii="Times New Roman" w:cs="Times New Roman" w:eastAsia="Times New Roman" w:hAnsi="Times New Roman"/>
          <w:sz w:val="18"/>
          <w:szCs w:val="18"/>
          <w:color w:val="auto"/>
        </w:rPr>
        <w:t>will serve on the Board of Directors. Mr. Eun is currently a Founding Advisor of Kanza AI, a generative AI platform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wellness, and medicine, and the Co-founder of Alakai Group, LLC, an investment firm. Prior to Alakai, Mr. Eun served as Executive Vice Chairman of Archegos Capital Management LP, a family investment office, in 2021 and served as a Venture Partner of Valo Ventures, a venture capital investment firm, from 2021 to 2023. From 2012 to 2020, Mr. Eun was President and Chief Innovation Officer of Samsung Electronics, where he founded Samsung NEXT, the company’s innovation arm focused on startup investments, M&amp;A, and new business creation. Earlier in his career, he held senior leadership roles at Google, AOL, Time Warner and NBC. Since 2023, Mr. Eun has served as a member of the board of directors of Howard Hughes Holdings Inc., a publicly traded real estate development company, where he is Chair of the technology committee and a member of the audit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 Hassell </w:t>
      </w:r>
      <w:r>
        <w:rPr>
          <w:rFonts w:ascii="Times New Roman" w:cs="Times New Roman" w:eastAsia="Times New Roman" w:hAnsi="Times New Roman"/>
          <w:sz w:val="18"/>
          <w:szCs w:val="18"/>
          <w:color w:val="auto"/>
        </w:rPr>
        <w:t>will serve on the Board of Directors. Mr. Hassell is the Former Chairman and Chief Executive Officer of The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Mellon Corporation (BNY). He had direct responsibility for oversight of the company’s broad range of banking and investment services businesses, as well as operations and technology. He was named to BNY’s executive committee in 1994 and named president and elected to its board of directors in 1998. In 2011, Mr. Hassell was named Chairman and CEO of BNY. Mr. Hassell served as a director on the board of Comcast Corporation from 2008 until 2025 and Metlife, Inc. from 2018 until 2024. Mr. Hassell previously served as a trustee of Duke University and currently serves as a member of the board of directors of the Duke University Health System. Over a career spanning more than decades at BNY, Mr. Hassell developed deep expertise in 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Mahoney </w:t>
      </w:r>
      <w:r>
        <w:rPr>
          <w:rFonts w:ascii="Times New Roman" w:cs="Times New Roman" w:eastAsia="Times New Roman" w:hAnsi="Times New Roman"/>
          <w:sz w:val="18"/>
          <w:szCs w:val="18"/>
          <w:color w:val="auto"/>
        </w:rPr>
        <w:t>will serve on the Board of Directors. Mr. Mahoney is the current Chairman and Chief Executive Officer of Peter Millar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apparel company, which is a division of Richemont S.A., a position he has held since 2005. Prior to his tenure at Peter Millar, Mr. Mahoney served in leadership and executive positions at Polo Ralph Lauren. Mr. Mahoney is on the board of directors of Fleet Feet, a running-inspired company. He has served on the board of The First Tee of the Triangle, a non-profit that focuses 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fostering and developing positive life skills in young men and women through golf. He served on the board of directors of Wake County Boys &amp; Girls Clubs, which helps local youth reach their full potential through after-school and summer programs. He also served as a trustee on the board of St. Mary’s School, an all-girls boarding and day school in Raleigh, North Carolina.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17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Maritza Montiel </w:t>
      </w:r>
      <w:r>
        <w:rPr>
          <w:rFonts w:ascii="Times New Roman" w:cs="Times New Roman" w:eastAsia="Times New Roman" w:hAnsi="Times New Roman"/>
          <w:sz w:val="18"/>
          <w:szCs w:val="18"/>
          <w:color w:val="auto"/>
        </w:rPr>
        <w:t>will serve on the Board of Directors. Ms. Montiel served for 39 years at Deloitte &amp; Touche LLP, the multinational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before retiring in 2014. Her most recent position was as Deputy Chief Executive Officer and Vice Chairman of the firm’s U.S. business. As Deputy Chief Executive Officer, Ms. Montiel led a variety of strategic initiatives including the transformation of the Federal Government Services Practice. She was also a member of the Deloitte US and Global Board of Directors. Ms. Montiel is a member of the board of directors of McCormick &amp; Company, where she formerly chaired the audit committee, and Royal Caribbean Cruises Ltd., where she serves on the audit committee and the compensation committee. She also served as a member of the board of directors of Comcast Corporation from 2018 to 2024 and AptarGroup, Inc. from 2015 until 2023, where she served on the audit committee.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185" w:lineRule="exact"/>
        <w:rPr>
          <w:sz w:val="20"/>
          <w:szCs w:val="20"/>
          <w:color w:val="auto"/>
        </w:rPr>
      </w:pPr>
    </w:p>
    <w:p>
      <w:pPr>
        <w:jc w:val="both"/>
        <w:ind w:left="120" w:right="2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Leonard Potter </w:t>
      </w:r>
      <w:r>
        <w:rPr>
          <w:rFonts w:ascii="Times New Roman" w:cs="Times New Roman" w:eastAsia="Times New Roman" w:hAnsi="Times New Roman"/>
          <w:sz w:val="17"/>
          <w:szCs w:val="17"/>
          <w:color w:val="auto"/>
        </w:rPr>
        <w:t>will serve on the Board of Directors. Mr. Potter founded Wildcat Capital Management, LLC, a registered investment advisor,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2011, and continues to serve as its President and Chief Investment Officer. In 2017, Mr. Potter also co-founded Vida Ventures, a biotech venture fund management company, and continues to serve as a senior managing director and senior advisor to its affiliated funds. From 2002 through 2009, Mr.</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Potter was a Managing Director—Private Equity at Soros Fund Management LLC where he served as co-head of its private equity group. Earlier in his career, Mr. Potter spent ten years as an attorney specializing in mergers, acquisitions, corporate governance and corporate finance at Morgan, Lewis &amp; Bockius LLP, and at Willkie Farr &amp; Gallagher LLP. Mr. Potter has served and continues to serve as a director on a number of boards of public and private companies, including Hilton Grand Vacations, Inc., where he serves as chairman of its board of directors and its nominating and corporate governance committee, and SLR Investment Corp.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is expected to consist of ten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will consist of ten members. Our Board expects to determine that each of David Novak, Rebecca S. Campbell, Creighton Cordon, Michael A. Conway, David Eun, Gerald L. Hassell, W. Scott Mahoney, Maritza Montiel and Leonard A. Potter is independent under the rules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 determining independence, the Board will consider whether a director has any relationship that would interfere with such director’s exercise of independent judgment in carrying out the responsibilities of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completion of the Separation, our Board will have an Audit Committee, a Compensation Committee and a Governance Committee, each of which will operate under written charters approved by the full Board. We intend to comply with the listing requirements and other rules and regulations of Nasdaq, as amended or modified from time to time, with respect to each of these committees and each of these committees will be comprised exclusively of independent directors. The charters of all the Committees will be posted on our website after the Separation.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300" w:firstLine="44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expected to be        ,        and        .        is expected to be the Chair of our Audit Committee. We expect that each member of our Audit Committee will meet the requirements for independence under the current Nasdaq listing standards and SEC rules and regulations. We expect that all the members of our Audit Committee will be financially sophisticated. In addition, we expect to determine that 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94"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auditors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permissible non-audit services to be provided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our annual and quarterly statements prior to filing with the SEC;</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to shareholders annually for inclusion in our proxy statement.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expected to be        ,        and        .        is expected to be the Chair of the Compensation Committee. We expect that each member of the Compensation Committee will meet the requirements for independence under the current Nasdaq listing standards and SEC rules and regulations. The responsibilities of the Compensation Committee will be more fully described in the Compensation Committee Charter and will include, among other duties:</w:t>
      </w:r>
    </w:p>
    <w:p>
      <w:pPr>
        <w:spacing w:after="0" w:line="85" w:lineRule="exact"/>
        <w:rPr>
          <w:sz w:val="20"/>
          <w:szCs w:val="20"/>
          <w:color w:val="auto"/>
        </w:rPr>
      </w:pPr>
    </w:p>
    <w:p>
      <w:pPr>
        <w:ind w:left="1080" w:right="10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and benefits plans and policies generally, including reviewing and approving any equity-based compensation plans and executive incentive compensation plans;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61"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our Board compensation for our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programs and strategies related to human capital management, including with respect to talent recruitment, development and retention, employee engagement and workforce composition.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on executive compensation and reviewing the Compensation Discussion and Analysis disclosure that, in each case, are required to be included in our proxy statement;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assessing whether any risks in our compensation and practices for our employees are reasonably likely to have a material adverse effect on Versant;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Governance Committee are expected to be         ,         and         .         is expected to be the Chair of our Governance Committee. We expect that each member of the Governance Committee will meet the requirements for independence under the current Nasdaq listing standards. The responsibilities of the Governance Committee will be more fully described in our Governance Committee Charter and will include, among other duties:</w:t>
      </w:r>
    </w:p>
    <w:p>
      <w:pPr>
        <w:spacing w:after="0" w:line="85" w:lineRule="exact"/>
        <w:rPr>
          <w:sz w:val="20"/>
          <w:szCs w:val="20"/>
          <w:color w:val="auto"/>
        </w:rPr>
      </w:pPr>
    </w:p>
    <w:p>
      <w:pPr>
        <w:ind w:left="1080" w:right="24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criteria for membership for our Board and its committees and recommending individuals for membership on our Board and directors for appointment to the committees of our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size and responsibilities of our Board and its committees;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Corporate Governance Guidelines and Code of Conduct and periodically reviewing and reassessing the adequacy of such Corporate Governance Guidelines and Code of Conduct;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including a review of any recommendations or issues that arise with respect to our Board or committee nominees or membership, the Board performance, corporate governance or any other matters that the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our Board will adopt a Code of Conduct that will apply to all of our employees, officers and directors. Upon completion of the Separation, the full text of our Code of Conduct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60"/>
          </w:cols>
          <w:pgMar w:left="320" w:top="455"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information statement, we have identified the following individuals who we expect will be our “named executive officers” or “NEOs”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6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80"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Executive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anticipation of the Separation, our Board will adopt a written charter for the Compensation Committee that establishes, among other things, the Compensation Committee’s purpose and its responsibilities with respect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expect that an outside compensation consultant will advise on the design of compensation programs for Versant in connection with the Separation.</w:t>
      </w:r>
    </w:p>
    <w:p>
      <w:pPr>
        <w:spacing w:after="0" w:line="162"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our Compensation Committee will engage an independent compensation consultant to advise on compensation program design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it is anticipated that each of Messrs. Lazarus and Kini and Ms. Fasbender will enter into a new employment agreement with Versant Media, LLC, a newly formed company that is currently a wholly-owned subsidiary of Comcast but will become a wholly-owned subsidiary of Versant effective on the Distribution Date. The employment agreements for Messrs. Lazarus and Kini and Ms. Fasbender will become effective on the Distribution Date. It is anticipated that these agreements will provide for an initial term of employment of four years (or, in the case of Mr. Kini, five years) from the Distribution Date.</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Each of the NEO’s employment agreements will provide for the payment of a base salary as specified in the employment agreement. The NEOs will also be eligible to receive an annual performance bonus equal to a percentage of their respective base salaries for the applicable year. The agreements will also provide for annual equity awards under our long-term incentive plan, as well as an initial equity award with respect to Versant common stock.</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their employment agreements, our NEOs will agree not to solicit our employees or exclusive service providers for one year after termination of their employment for any reason. Each will also agree to maintain the confidentiality of our information and not to use such information, except for our benefit, at all times during and after their employment with us. In the case of Messrs. Lazarus and Kini (but not Ms. Fasbender), in the event an NEO’s employment is terminated for “cause” or if an NEO resigns from employment without “good reason” (each as defined in the NEO’s agreement), Messrs. Lazarus and Kini will agree not to compete with us for one year after termination of their employment.</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an NEO’s employment is terminated by us without cause or by the NEO for “good reason,” subject to an NEO’s timely execution and non-revocation of a release of claims, such NEO will be entitled to the following benefits:</w:t>
      </w:r>
    </w:p>
    <w:p>
      <w:pPr>
        <w:spacing w:after="0" w:line="67"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base salary payments for two years following the NEO’s termination date;</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NEO’s target bonus for two years following the NEO’s termination date (with the amount of any annual bonus for the year in which the two-year anniversary of the NEO’s termination date occurs prorated), payable at such time as bonuses are generally paid to employees;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unvested equity outstanding as of the NEO’s termination date for two years following the NEO’s termination date;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benefit plans and programs available to similarly-situated employees for two years following the NEO’s termination date; and</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all Converted Versant RSUs as well as all Comcast RSUs that are scheduled to vest during the period between the Distribution Date and March 3, 2026.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Upon Separation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including Comcast Equity Awards held by our NEOs, will be equitably adjusted in accordance with the terms of the Comcast equity incentive plans. Specifically, we intend that, in connection with the Separation, outstanding Comcast Equity Awards will generally be adjusted as follows:</w:t>
      </w:r>
    </w:p>
    <w:p>
      <w:pPr>
        <w:spacing w:after="0" w:line="81" w:lineRule="exact"/>
        <w:rPr>
          <w:sz w:val="20"/>
          <w:szCs w:val="20"/>
          <w:color w:val="auto"/>
        </w:rPr>
      </w:pPr>
    </w:p>
    <w:p>
      <w:pPr>
        <w:ind w:left="1080" w:right="40" w:hanging="424"/>
        <w:spacing w:after="0" w:line="253"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line="253"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of           , 2025, Versant Participants held Comcast RSUs with respect to approximately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Clawbacks and Other Remedies for Potential Misconduct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Separation, Versant will adopt a clawback policy as required under stock exchange listing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Prohibitions on Hedging and Pledging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Omnibus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Separation, we intend to adopt the Omnibus Plan, subject to approval of our Board and Comcast, as our sole stockholder.</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Omnibus Plan is to promote our ability to recruit and retain employees and other eligible service providers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 growth and profitability of the Company by providing the incentive of long-term awards for continued employment or other service and the attainment of performance objectives.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Omnibus Plan will be administered by the Compensation Committee or any other committee or subcommittee that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(including prospective employees who have accepted offers of employment), nonemployee directors and other advisors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r>
        <w:rPr>
          <w:rFonts w:ascii="Times New Roman" w:cs="Times New Roman" w:eastAsia="Times New Roman" w:hAnsi="Times New Roman"/>
          <w:sz w:val="18"/>
          <w:szCs w:val="18"/>
          <w:color w:val="auto"/>
        </w:rPr>
        <w:t>. Subject to adjustment as described below and except for “substitute awards” (i.e., awards granted in assumption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substitution of awards previously granted by an acquired company), the maximum number of shares of Versant Class A common stock available for issuance under the Omnibus Plan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will be equal to        % of the total outstanding shares of Versant Class A common stock on a fully-diluted basis as of the Distribution Date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w:t>
      </w:r>
    </w:p>
    <w:p>
      <w:pPr>
        <w:spacing w:after="0" w:line="183"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3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of certain corporate transactions or events affecting the shares, or of changes in applicable laws, regulations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Summary of Award Types</w:t>
      </w:r>
      <w:r>
        <w:rPr>
          <w:rFonts w:ascii="Times New Roman" w:cs="Times New Roman" w:eastAsia="Times New Roman" w:hAnsi="Times New Roman"/>
          <w:sz w:val="18"/>
          <w:szCs w:val="18"/>
          <w:color w:val="auto"/>
        </w:rPr>
        <w:t>. The Omnibus Plan permits the grant of nonqualified stock options and ISOs (“stock options”),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(“SARs”), restricted stock, restricted stock units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Omnibus Plan also provides for the grant of replacement awards granted in replacement for Comcast Equity Awards that are forfeited by certain service providers who transfer to Versant following the Distribution Date pursuant to the Employee Matters Agreement. The terms and conditions of the Omnibus Plan will apply to Converted Versant RSUs and replacement awards only to the extent that such terms and conditions are not inconsistent with the terms of the Employee Matters Agreement and the terms of the applicable Converted Versant RSUs and replacement awards, as contemplated by the Employee Matters Agreement.</w:t>
      </w:r>
    </w:p>
    <w:p>
      <w:pPr>
        <w:spacing w:after="0" w:line="18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payment of dividends, dividend equivalents or other distributions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Under the Omnibus Plan, in the event of a “change in control” (as such term will be defined under the Omnibus Plan)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take any one or more of the following actions, as described in more detail in the Omnibus Plan:</w:t>
      </w:r>
    </w:p>
    <w:p>
      <w:pPr>
        <w:spacing w:after="0" w:line="112"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continuation, assumption, substitution or replacement of an award;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subject to performance-related vesting conditions, determine the level of attainment of the applicable performance conditions;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award in consideration for a payment (subject to the terms and conditions of the Omnibus Plan), including cancelling any underwater stock options or SARs for no consideration.</w:t>
      </w:r>
    </w:p>
    <w:p>
      <w:pPr>
        <w:spacing w:after="0" w:line="158" w:lineRule="exact"/>
        <w:rPr>
          <w:sz w:val="20"/>
          <w:szCs w:val="20"/>
          <w:color w:val="auto"/>
        </w:rPr>
      </w:pPr>
    </w:p>
    <w:p>
      <w:pPr>
        <w:jc w:val="both"/>
        <w:ind w:left="120" w:right="2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Transferability of Awards</w:t>
      </w:r>
      <w:r>
        <w:rPr>
          <w:rFonts w:ascii="Times New Roman" w:cs="Times New Roman" w:eastAsia="Times New Roman" w:hAnsi="Times New Roman"/>
          <w:sz w:val="17"/>
          <w:szCs w:val="17"/>
          <w:color w:val="auto"/>
        </w:rPr>
        <w:t>. No award will be transferable by a participant other than by will or to the participant’s designated beneficiaries,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53"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Awards granted under the Omnibus Plan will be subject to any clawback or recoupment arrangement or policy we have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clawback policy adopted to comply with the SEC’s recent clawback rules implementing Section 10D of the Exchange Act.</w:t>
      </w:r>
    </w:p>
    <w:p>
      <w:pPr>
        <w:spacing w:after="0" w:line="155"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Repricing</w:t>
      </w:r>
      <w:r>
        <w:rPr>
          <w:rFonts w:ascii="Times New Roman" w:cs="Times New Roman" w:eastAsia="Times New Roman" w:hAnsi="Times New Roman"/>
          <w:sz w:val="17"/>
          <w:szCs w:val="17"/>
          <w:color w:val="auto"/>
        </w:rPr>
        <w:t>. Except in the event of certain corporate transactions (as described above), the Administrator may not, without shareholder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reprice any previously granted “underwater” stock option, SAR or similar award, including by cancellation and regrant or any other method.</w:t>
      </w:r>
    </w:p>
    <w:p>
      <w:pPr>
        <w:spacing w:after="0" w:line="13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Omnibus Plan</w:t>
      </w:r>
      <w:r>
        <w:rPr>
          <w:rFonts w:ascii="Times New Roman" w:cs="Times New Roman" w:eastAsia="Times New Roman" w:hAnsi="Times New Roman"/>
          <w:sz w:val="18"/>
          <w:szCs w:val="18"/>
          <w:color w:val="auto"/>
        </w:rPr>
        <w:t>. Except to the extent prohibited by applicable law and unless otherwise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85" w:lineRule="exact"/>
        <w:rPr>
          <w:sz w:val="20"/>
          <w:szCs w:val="20"/>
          <w:color w:val="auto"/>
        </w:rPr>
      </w:pPr>
    </w:p>
    <w:p>
      <w:pPr>
        <w:jc w:val="center"/>
        <w:ind w:left="88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Term of the Omnibus Plan</w:t>
      </w:r>
      <w:r>
        <w:rPr>
          <w:rFonts w:ascii="Times New Roman" w:cs="Times New Roman" w:eastAsia="Times New Roman" w:hAnsi="Times New Roman"/>
          <w:sz w:val="18"/>
          <w:szCs w:val="18"/>
          <w:color w:val="auto"/>
        </w:rPr>
        <w:t>. The Omnibus Plan will terminate on the tenth anniversary of its effective date, unless earlier terminated by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three fiscal years or currently proposed,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had or will have a direct or indirect material interest.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of Directors Structure,” “Management—Compensation of Directors” and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from Comcast</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 Agreements with Comcast” for information regarding these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current business of Comcast, we engage in related party transactions with Comcast. Those transactions are described in more detail in Note 10 to the accompanying audited combined financial statements and Note 5 to the accompanying unaudited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COMMON STOCK BY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After the Separation, Comcast will not directly or indirectly own any of our common stock.</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 2025 (the “Reference Date”) by (i) persons beneficially owning more than five percent (5%) of any class at the time of Distribution and (ii) each director and executive officer of the Company.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 2025. The table is based upon an assumption that, for every        share(s) of Comcast Class A common stock or Comcast Class B common stock held by such persons, they will receive        share(s) of Versant Class A common stock or Versant Class B common stock, respectively.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Amount Beneficially 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 of Class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A</w:t>
            </w:r>
          </w:p>
        </w:tc>
        <w:tc>
          <w:tcPr>
            <w:tcW w:w="52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David Eun</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Novak</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540" w:right="100" w:hanging="424"/>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share(s) of</w:t>
      </w:r>
    </w:p>
    <w:tbl>
      <w:tblPr>
        <w:tblLayout w:type="fixed"/>
        <w:tblInd w:w="120" w:type="dxa"/>
        <w:tblCellMar>
          <w:top w:w="0" w:type="dxa"/>
          <w:left w:w="0" w:type="dxa"/>
          <w:bottom w:w="0" w:type="dxa"/>
          <w:right w:w="0" w:type="dxa"/>
        </w:tblCellMar>
      </w:tblPr>
      <w:tr>
        <w:trPr>
          <w:trHeight w:val="199"/>
        </w:trPr>
        <w:tc>
          <w:tcPr>
            <w:tcW w:w="802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 xml:space="preserve">Comcast Class A common stock or Comcast Class B common stock held by such persons, they will receive    </w:t>
            </w:r>
          </w:p>
        </w:tc>
        <w:tc>
          <w:tcPr>
            <w:tcW w:w="3000" w:type="dxa"/>
            <w:vAlign w:val="bottom"/>
            <w:gridSpan w:val="3"/>
          </w:tcPr>
          <w:p>
            <w:pPr>
              <w:ind w:left="80"/>
              <w:spacing w:after="0" w:line="200" w:lineRule="exact"/>
              <w:rPr>
                <w:sz w:val="20"/>
                <w:szCs w:val="20"/>
                <w:color w:val="auto"/>
              </w:rPr>
            </w:pPr>
            <w:r>
              <w:rPr>
                <w:rFonts w:ascii="Times New Roman" w:cs="Times New Roman" w:eastAsia="Times New Roman" w:hAnsi="Times New Roman"/>
                <w:sz w:val="18"/>
                <w:szCs w:val="18"/>
                <w:color w:val="auto"/>
              </w:rPr>
              <w:t>      share(s) of Versant Class A</w:t>
            </w:r>
          </w:p>
        </w:tc>
        <w:tc>
          <w:tcPr>
            <w:tcW w:w="0" w:type="dxa"/>
            <w:vAlign w:val="bottom"/>
          </w:tcPr>
          <w:p>
            <w:pPr>
              <w:spacing w:after="0"/>
              <w:rPr>
                <w:sz w:val="1"/>
                <w:szCs w:val="1"/>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or Versant Class B common stock, respectively.</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VOTING CLASS</w:t>
            </w:r>
          </w:p>
        </w:tc>
        <w:tc>
          <w:tcPr>
            <w:tcW w:w="2760" w:type="dxa"/>
            <w:vAlign w:val="bottom"/>
            <w:gridSpan w:val="2"/>
            <w:vMerge w:val="continue"/>
          </w:tcPr>
          <w:p>
            <w:pPr>
              <w:spacing w:after="0"/>
              <w:rPr>
                <w:sz w:val="12"/>
                <w:szCs w:val="12"/>
                <w:color w:val="auto"/>
              </w:rPr>
            </w:pP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Brian L. Roberts</w:t>
            </w:r>
          </w:p>
        </w:tc>
        <w:tc>
          <w:tcPr>
            <w:tcW w:w="2160" w:type="dxa"/>
            <w:vAlign w:val="bottom"/>
          </w:tcPr>
          <w:p>
            <w:pPr>
              <w:spacing w:after="0"/>
              <w:rPr>
                <w:sz w:val="18"/>
                <w:szCs w:val="18"/>
                <w:color w:val="auto"/>
              </w:rPr>
            </w:pPr>
          </w:p>
        </w:tc>
        <w:tc>
          <w:tcPr>
            <w:tcW w:w="300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 PA 19103</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8"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consisting of a $        million revolving credit facility (which is expected to be undrawn at the Separation) and approximately $        billion aggregate principal amount of new debt in the form of senior secured term loans and/or senior secured notes. We intend to use a portion of the net proceeds of such indebtedness to make the Special Cash Payment of approximately $            as consideration for assets that will be contributed to us in connection with the Separation, with the remainder being used for general corporate purposes. We undertake to update the disclosure in this section in a subsequent amendment of this information statement once the terms of such indebtedness are reasonably known.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Upon completion of the Separation, we will have two classes of common stock outstanding: Class A common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$0.01 per share, and Class B common stock, par value $0.01 per share. Under our articles of incorporation, there are authorized       shares of Class A common stock,      shares of Class B common stock and      shares of preferred stock.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As a general matter, on all matters submitted for a vote to holders of all classes of our voting stock, holders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preferential rights of any preferred stock then outstanding, holders of our Class A common stock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8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Class B common stock</w:t>
      </w:r>
      <w:r>
        <w:rPr>
          <w:rFonts w:ascii="Times New Roman" w:cs="Times New Roman" w:eastAsia="Times New Roman" w:hAnsi="Times New Roman"/>
          <w:sz w:val="18"/>
          <w:szCs w:val="18"/>
          <w:color w:val="auto"/>
        </w:rPr>
        <w:t>. The Class B common stock is convertible share for share into Class A common stock,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Approval rights</w:t>
      </w:r>
      <w:r>
        <w:rPr>
          <w:rFonts w:ascii="Times New Roman" w:cs="Times New Roman" w:eastAsia="Times New Roman" w:hAnsi="Times New Roman"/>
          <w:sz w:val="18"/>
          <w:szCs w:val="18"/>
          <w:color w:val="auto"/>
        </w:rPr>
        <w:t>. Except as required by law, holders of Class A common stock have no specific approval rights over any corporate actions.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B common stock have an approval right over (1) any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Preferences on liquidation</w:t>
      </w:r>
      <w:r>
        <w:rPr>
          <w:rFonts w:ascii="Times New Roman" w:cs="Times New Roman" w:eastAsia="Times New Roman" w:hAnsi="Times New Roman"/>
          <w:sz w:val="18"/>
          <w:szCs w:val="18"/>
          <w:color w:val="auto"/>
        </w:rPr>
        <w:t>. In the event of our liquidation, dissolution or winding-up, either voluntary or involuntary,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Mergers, consolidations, etc. </w:t>
      </w:r>
      <w:r>
        <w:rPr>
          <w:rFonts w:ascii="Times New Roman" w:cs="Times New Roman" w:eastAsia="Times New Roman" w:hAnsi="Times New Roman"/>
          <w:sz w:val="18"/>
          <w:szCs w:val="18"/>
          <w:color w:val="auto"/>
        </w:rPr>
        <w:t>Our articles of incorporation provide that if in a transaction such as a merger, consolidation, share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holders of Class A common stock and Class B common stock do not have any preemptive rights to acquire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any securities we may issue. We have been advised that the Class A common stock is exempt from existing Pennsylvania personal property tax.</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The Class B common stock is convertible on a share-for-share basis into Class A common stock. After the consummation of the Separation, if Mr. Roberts were to convert the Class B common stock he beneficially owns into Class A common stock, he would beneficially own approximately        % of the Class A common stock that would be outstanding after the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have the authority to issue up to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Board of Directors will initially consist of ten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annually by the shareholders at each annual meeting of shareholders for a term expiring at the next annual meeting of shareholders. See “Management—Board of Directors Following the Separation.”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Shareholder Action by Written Consent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special meetings of shareholders may be called by our Board of Directors and not by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articles of incorporation, including the approval by the Board of Directors noted above, our bylaws grant our shareholders the power to alter, amend or repeal our bylaws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 and Proposals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of the meeting is first announced by Versant. For the purposes of these advance notice provisions of our bylaws, the first anniversary date of our 2025 annual meeting will be deemed to be   ,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Versant’s articles of incorporation,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Some of the provisions of our articles of incorporation and bylaws (as described above), including the rights of holders of our Class B common stock, could make the following more difficult:</w:t>
      </w:r>
    </w:p>
    <w:p>
      <w:pPr>
        <w:spacing w:after="0" w:line="67"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control of us by means of a proxy contest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Anti-Takeover Statutes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of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tabs>
          <w:tab w:leader="none" w:pos="8460" w:val="left"/>
        </w:tabs>
        <w:rPr>
          <w:sz w:val="20"/>
          <w:szCs w:val="20"/>
          <w:color w:val="auto"/>
        </w:rPr>
      </w:pPr>
      <w:r>
        <w:rPr>
          <w:rFonts w:ascii="Times New Roman" w:cs="Times New Roman" w:eastAsia="Times New Roman" w:hAnsi="Times New Roman"/>
          <w:sz w:val="18"/>
          <w:szCs w:val="18"/>
          <w:color w:val="auto"/>
        </w:rPr>
        <w:t xml:space="preserve">The transfer agent and registrar for our Class A common stock is            . Its telephone number is          </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Versant has applied to have its shares of Class A common stock listed on Nasdaq under the ticker symbol “VSNT.”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1"/>
            <w:vMerge w:val="restart"/>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Income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 for the years ended 2024, 2023 and 2022</w:t>
            </w:r>
          </w:p>
        </w:tc>
        <w:tc>
          <w:tcPr>
            <w:tcW w:w="40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49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Equity for the years ended 2024, 2023 and 2022</w:t>
            </w:r>
          </w:p>
        </w:tc>
        <w:tc>
          <w:tcPr>
            <w:tcW w:w="442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53"/>
        </w:trPr>
        <w:tc>
          <w:tcPr>
            <w:tcW w:w="2940" w:type="dxa"/>
            <w:vAlign w:val="bottom"/>
            <w:tcBorders>
              <w:top w:val="single" w:sz="8" w:color="0000EE"/>
            </w:tcBorders>
          </w:tcPr>
          <w:p>
            <w:pPr>
              <w:spacing w:after="0"/>
              <w:rPr>
                <w:sz w:val="24"/>
                <w:szCs w:val="24"/>
                <w:color w:val="auto"/>
              </w:rPr>
            </w:pPr>
          </w:p>
        </w:tc>
        <w:tc>
          <w:tcPr>
            <w:tcW w:w="7620" w:type="dxa"/>
            <w:vAlign w:val="bottom"/>
            <w:gridSpan w:val="1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 and 2024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Combined Statements of Income for the three and six months ended June 30, 2025 and 2024</w:t>
            </w:r>
          </w:p>
        </w:tc>
        <w:tc>
          <w:tcPr>
            <w:tcW w:w="306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7500" w:type="dxa"/>
            <w:vAlign w:val="bottom"/>
            <w:tcBorders>
              <w:bottom w:val="single" w:sz="8" w:color="0000EE"/>
            </w:tcBorders>
            <w:gridSpan w:val="11"/>
            <w:vMerge w:val="continue"/>
          </w:tcPr>
          <w:p>
            <w:pPr>
              <w:spacing w:after="0"/>
              <w:rPr>
                <w:sz w:val="14"/>
                <w:szCs w:val="14"/>
                <w:color w:val="auto"/>
              </w:rPr>
            </w:pPr>
          </w:p>
        </w:tc>
        <w:tc>
          <w:tcPr>
            <w:tcW w:w="3060" w:type="dxa"/>
            <w:vAlign w:val="bottom"/>
            <w:gridSpan w:val="3"/>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 for the three and six months ended June 30, 2025 and 2024</w:t>
            </w:r>
          </w:p>
        </w:tc>
        <w:tc>
          <w:tcPr>
            <w:tcW w:w="18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Cash Flows for the six months ended June 30, 2025 and 2024</w:t>
            </w:r>
          </w:p>
        </w:tc>
        <w:tc>
          <w:tcPr>
            <w:tcW w:w="34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Balance Sheets as of June 30, 2025 and December 31, 2024</w:t>
            </w:r>
          </w:p>
        </w:tc>
        <w:tc>
          <w:tcPr>
            <w:tcW w:w="462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Equity for the three and six months ended June 30, 2025 and 2024</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82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22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20" w:type="dxa"/>
            <w:vAlign w:val="bottom"/>
            <w:gridSpan w:val="9"/>
          </w:tcPr>
          <w:p>
            <w:pPr>
              <w:jc w:val="center"/>
              <w:ind w:right="490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right="2360" w:firstLine="2427"/>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Comcast Corporation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7 to the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81" w:lineRule="exact"/>
        <w:rPr>
          <w:sz w:val="20"/>
          <w:szCs w:val="20"/>
          <w:color w:val="auto"/>
        </w:rPr>
      </w:pPr>
    </w:p>
    <w:p>
      <w:pPr>
        <w:ind w:left="1080" w:right="14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(a)</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$1.26 billion, $1.34 billion and $1.39 billion for 2024, 2023 and 2022, respectively.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$1.42 billion, $1.42 billion and $1.43 billion for 2024, 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1,541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1,779</w:t>
            </w:r>
          </w:p>
        </w:tc>
      </w:tr>
      <w:tr>
        <w:trPr>
          <w:trHeight w:val="20"/>
        </w:trPr>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(2,492)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(2,355)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(2,486)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11,560</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11,677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13,078</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10,805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12,373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12,480</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totaled $82 million, $105 million and $140 million in 2024, 2023 and 2022, respectively, included in selling, general and administrative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 The levels of the hierarchy are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7,445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7,834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55" w:right="5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7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 in Allowance for</w:t>
            </w: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3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6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40" w:type="dxa"/>
            <w:vAlign w:val="bottom"/>
            <w:gridSpan w:val="2"/>
          </w:tcPr>
          <w:p>
            <w:pPr>
              <w:jc w:val="right"/>
              <w:ind w:right="2462"/>
              <w:spacing w:after="0"/>
              <w:rPr>
                <w:sz w:val="20"/>
                <w:szCs w:val="20"/>
                <w:color w:val="auto"/>
              </w:rPr>
            </w:pPr>
            <w:r>
              <w:rPr>
                <w:rFonts w:ascii="Times New Roman" w:cs="Times New Roman" w:eastAsia="Times New Roman" w:hAnsi="Times New Roman"/>
                <w:sz w:val="18"/>
                <w:szCs w:val="18"/>
                <w:color w:val="auto"/>
              </w:rPr>
              <w:t>F-14</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$519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639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706</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content costs recorded in our combined balance sheets as of December 31,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40" w:type="dxa"/>
            <w:vAlign w:val="bottom"/>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2024 totaling $335 million.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fair value of the investment, then the fair value is not estimated. We record the changes in value from observable events and impairments to investment and other income (loss), net.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36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20" w:type="dxa"/>
            <w:vAlign w:val="bottom"/>
          </w:tcPr>
          <w:p>
            <w:pPr>
              <w:spacing w:after="0"/>
              <w:rPr>
                <w:sz w:val="13"/>
                <w:szCs w:val="13"/>
                <w:color w:val="auto"/>
              </w:rPr>
            </w:pPr>
          </w:p>
        </w:tc>
        <w:tc>
          <w:tcPr>
            <w:tcW w:w="14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8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0" w:type="dxa"/>
            <w:vAlign w:val="bottom"/>
            <w:gridSpan w:val="2"/>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3 - 16 years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8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8 - 35 years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$63 million, $67 million and $61 million for the years ended December 31, 2024, 2023 and 2022, respectively.</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2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5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as of</w:t>
            </w: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center"/>
              <w:ind w:left="35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(7,477)</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other</w:t>
            </w:r>
          </w:p>
        </w:tc>
        <w:tc>
          <w:tcPr>
            <w:tcW w:w="1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$926 million, $924 million and $931 million for the years ended December 31, 2024, 2023 and 2022, respectively.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0"/>
        </w:trPr>
        <w:tc>
          <w:tcPr>
            <w:tcW w:w="6680" w:type="dxa"/>
            <w:vAlign w:val="bottom"/>
            <w:tcBorders>
              <w:top w:val="single" w:sz="8" w:color="CCEEFF"/>
            </w:tcBorders>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1,843</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$ 472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7"/>
              </w:rPr>
              <w:t>(145)</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8"/>
              </w:rPr>
              <w:t>$ 478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478</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591</w:t>
            </w:r>
          </w:p>
        </w:tc>
        <w:tc>
          <w:tcPr>
            <w:tcW w:w="12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6"/>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5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Sales to related parties were $1.26 billion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$1.34 billion and $1.39 billion during the years ended December 31, 2024, 2023 and 2022, respectively.</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due for these transactions were $208 million and $219 million as of December 31, 2024 and 2023, respectively.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76"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$35 million and $18 million as of December 31, 2024 and 2023, respectively. Our payable balances pursuant to these contracts are presented in accrued expenses and other current liabilities in the combined balance sheets and totaled $12 million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$266 million, $277 million and $259 million in 2024, 2023 and 2022, respectively.</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$870 million, $910 million and $897 million in 2024,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Pr>
          <w:p>
            <w:pPr>
              <w:spacing w:after="0"/>
              <w:rPr>
                <w:sz w:val="10"/>
                <w:szCs w:val="10"/>
                <w:color w:val="auto"/>
              </w:rPr>
            </w:pPr>
          </w:p>
        </w:tc>
        <w:tc>
          <w:tcPr>
            <w:tcW w:w="660" w:type="dxa"/>
            <w:vAlign w:val="bottom"/>
            <w:gridSpan w:val="2"/>
          </w:tcPr>
          <w:p>
            <w:pPr>
              <w:jc w:val="center"/>
              <w:ind w:right="4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18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color w:val="auto"/>
                <w:vertAlign w:val="superscript"/>
              </w:rPr>
              <w:t>(a)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3,415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3,626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1,436</w:t>
            </w: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1,081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1,081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500" w:hanging="424"/>
        <w:spacing w:after="0" w:line="261"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$276 million and $313 million for the three months ended June 30, 2025 and 2024, respectively, and $573 million and $645 million for the six months ended June 30, 2025 and 2024, respectively.</w:t>
      </w:r>
    </w:p>
    <w:p>
      <w:pPr>
        <w:ind w:left="540" w:right="500" w:hanging="424"/>
        <w:spacing w:after="0" w:line="26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$273 million and $337 million for the three months ended June 30, 2025 and 2024, respectively, and $505 million and $592 million for the six months ended June 30, 2025 and 2024,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52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Pr>
          <w:p>
            <w:pPr>
              <w:spacing w:after="0"/>
              <w:rPr>
                <w:sz w:val="10"/>
                <w:szCs w:val="10"/>
                <w:color w:val="auto"/>
              </w:rPr>
            </w:pPr>
          </w:p>
        </w:tc>
        <w:tc>
          <w:tcPr>
            <w:tcW w:w="380" w:type="dxa"/>
            <w:vAlign w:val="bottom"/>
            <w:gridSpan w:val="2"/>
          </w:tcPr>
          <w:p>
            <w:pPr>
              <w:jc w:val="center"/>
              <w:ind w:right="2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center"/>
              <w:ind w:right="159"/>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52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(expense) benefit: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304</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802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F-24</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1,084</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(1,028)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(1,041)</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(1,040)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(1,059)</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F-25</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1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142"/>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1,265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$428 and $404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$8,577 and $8,118</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7,732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11,610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10,463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102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10,457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10,577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10,915</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11,610</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12,049</w:t>
            </w: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F-26</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10,723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2"/>
              </w:rPr>
              <w:t>11,465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10,805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11,336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11,336</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120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115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11,443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11,443</w:t>
            </w: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Condensed Combined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around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condensed combined financial statements, the Versant businesses were operated as part of Comcast’s Media segment. The condensed combined financial statements have been derived from Comcast’s historical accounting records as if Versant operations had been conducted independently from Comcast, and reflect the assets, liabilities, revenues and expenses of the Company on a historical cost basis. The condensed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Accordingly, certain information related to our significant accounting policies and footnote disclosures normally included in financial statements prepared in accordance with U.S. GAAP have been condensed or omitted. These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combined balance sheets include assets and liabilities specifically attributable to the Company and certain assets and liabilities held by Comcast but specifically identifiable or otherwise attributable to our business. Assets and liabilities included in our audited condensed combined balance sheets were based on an assessment as of 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condensed combined balance sheets may be included in the Separation. Comcast’s third-party debt and related interest expense have not been attributed to the Company because the borrowings are not specifically identifiable to the Company and the Company is not the legal obligor. The condensed combined financial statements reflect noncontrolling interests for certain subsidiaries included in the condensed combined financial statements, in which a third party has a minority ownership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statements of income include all revenues and costs directly attributable to our business, including costs related to production activities that use centralized Comcast operations and directly charged to us based on usage. The condensed combined statements of income also include allocations of costs for administrative functions and services performed on our behalf by other centralized functions within Comcast and allocations of costs for the use of shared assets (see Note 5). These expenses have been allocated on a pro rata basis using an applicable measure of revenue. All allocations and estimates reflected in the condensed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condensed combined financial statements. The total net effect of the deemed settlement of these transactions is included in net Parent investment and the net effect of changes in net Parent investment is presented in financing activities in the condensed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condensed combined financial statements and are considered related party transactions. See Note 5 for more information.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combined financial statements, with further details included throughout the footnotes, including certain of our significant operating expenses in Note 3.</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$ 1,017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1,066</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$2,103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489</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814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398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$ 1,708</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1,808</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3,415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amount of future revenue to be earned related to fixed price contracts with advertisers in excess of one year totaled $280 million as of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June 30, 2025, which will be recognized over the next 6 years. The amount of future revenue to be earned related to fixed pricing under existing third-party content licensing agreements is $10 million as of June 30, 2025. The majority of this revenue will be recognized within two years.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Pr>
          <w:p>
            <w:pPr>
              <w:spacing w:after="0"/>
              <w:rPr>
                <w:sz w:val="15"/>
                <w:szCs w:val="15"/>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$1,273</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1,265</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1,245</w:t>
            </w:r>
          </w:p>
        </w:tc>
      </w:tr>
      <w:tr>
        <w:trPr>
          <w:trHeight w:val="20"/>
        </w:trPr>
        <w:tc>
          <w:tcPr>
            <w:tcW w:w="6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June 30, 2025 and December 31, 2024, our ten largest multichannel video provider customers accounted for approximately 49% and 55% of our total accounts receivable, respectively. Refer to Note 5 for revenue and accounts receivable information related to distribution and other arrangements with Comcast.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gift card liability for our movie ticket platform was $44 million and $53 million, respectively, including $31 million and $37 million in accrued expenses and other current liabilities, respectively, with the remainder presented in other noncurrent liabilities. Revenue recorded related to breakage on these gift cards was $1 million and $2 million for the three months ended June 30, 2025 and 2024, and $7 million and $6 million for the six months ended June 30, 2025 and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Costs of 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00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1,354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F-30</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5" w:right="6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tcBorders>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w:t>
            </w:r>
          </w:p>
        </w:tc>
        <w:tc>
          <w:tcPr>
            <w:tcW w:w="84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1,120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1,218</w:t>
            </w: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Capitalized Content Costs</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2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to related parties were $276 million and $313 million during the three months ended June 30, 2025 and 2024, respectively, and $573 million and $645 million during the six months ended June 30, 2025 and 2024, respectively. Accounts receivable due for these transactions were $120 million and $208 million as of June 30, 2025 and December 31, 2024,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Costs of revenue from related parties were $193 million and $264 million for the three months ended June 30, 2025 and 2024, respectively,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$354 million and $447 million for the six months ended June 30, 2025 and 2024, respectively. Capitalized content costs related to these costs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$277 million and $286 million as of June 30, 2025 and December 31, 2024, respectively. Content obligations related to these costs were $78 million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$112 million as of June 30, 2025 and December 31, 2024, respectively.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$2 million and $2 million for the three months ended June 30, 2025 and 2024 respectively, and $5 million and $6 million for the six months ended June 30, 2025 and 2024, respectively, and are presented in selling, general and administrative expenses. Amounts payable for these transactions were not material as of June 30, 2025 or December 31, 2024.</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related party loan balances associated with the participation of certain of our subsidiaries in Comcast’s centralized cash management programs. Our receivable balances pursuant to these contracts are presented in other current assets in the condensed combined balance sheets and totaled $49 million and $35 million as of June 30, 2025 and December 31, 2024, respectively. Our payable balances pursuant to these contracts are presented in accrued expenses and other current liabilities in the condensed combined balance sheets and totaled $12 million as of December 31, 2024. Activity related to loans receivable and payable is presented in the condensed combined statements of cash flows in other investing and other financing activities, respectively.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condensed combined statement of income and are reflected in the condensed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cost of revenue for these services were $79 million and $73 million for three months ended June 30, 2025 and 2024 respectively, and $152 million and $145 million for the six months ended June 30, 2025 and 2024, respectively.</w:t>
      </w:r>
    </w:p>
    <w:p>
      <w:pPr>
        <w:spacing w:after="0" w:line="162"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Amounts recorded in selling, general and administrative expenses for these services were $223 million and $242 million for the three months ended June 30, 2025 and 2024, respectively, and $459 million and $490 million for the six months ended June 30, 2025 and 2024,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Supplemental Financial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Approximately $16 million and $27 million of costs incurred by Comcast related to the Separation have been included in selling, general and administrative expenses in our combined statements of income for the three and six months ended June 30, 2025, respectively. These costs include legal, consulting, advisory and audit fees that will directly benefit the Versant business as a stand-alone company, or for which the Versant business is the legal obligor.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August 29, 2025,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lowerLetter"/>
      <w:start w:val="1"/>
    </w:lvl>
  </w:abstractNum>
  <w:abstractNum w:abstractNumId="1">
    <w:nsid w:val="98A3148"/>
    <w:multiLevelType w:val="hybridMultilevel"/>
    <w:lvl w:ilvl="0">
      <w:lvlJc w:val="left"/>
      <w:lvlText w:val="(%1)"/>
      <w:numFmt w:val="lowerLetter"/>
      <w:start w:val="2"/>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1"/>
      <w:numFmt w:val="decimal"/>
      <w:start w:val="1"/>
    </w:lvl>
    <w:lvl w:ilvl="1">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1:"/>
      <w:numFmt w:val="upperLetter"/>
      <w:start w:val="17"/>
    </w:lvl>
  </w:abstractNum>
  <w:abstractNum w:abstractNumId="8">
    <w:nsid w:val="5DC79EA8"/>
    <w:multiLevelType w:val="hybridMultilevel"/>
    <w:lvl w:ilvl="0">
      <w:lvlJc w:val="left"/>
      <w:lvlText w:val="%1:"/>
      <w:numFmt w:val="upperLetter"/>
      <w:start w:val="1"/>
    </w:lvl>
  </w:abstractNum>
  <w:abstractNum w:abstractNumId="9">
    <w:nsid w:val="540A471C"/>
    <w:multiLevelType w:val="hybridMultilevel"/>
    <w:lvl w:ilvl="0">
      <w:lvlJc w:val="left"/>
      <w:lvlText w:val="%1:"/>
      <w:numFmt w:val="upperLetter"/>
      <w:start w:val="17"/>
    </w:lvl>
  </w:abstractNum>
  <w:abstractNum w:abstractNumId="10">
    <w:nsid w:val="7BD3EE7B"/>
    <w:multiLevelType w:val="hybridMultilevel"/>
    <w:lvl w:ilvl="0">
      <w:lvlJc w:val="left"/>
      <w:lvlText w:val="%1:"/>
      <w:numFmt w:val="upperLetter"/>
      <w:start w:val="1"/>
    </w:lvl>
  </w:abstractNum>
  <w:abstractNum w:abstractNumId="11">
    <w:nsid w:val="51D9C564"/>
    <w:multiLevelType w:val="hybridMultilevel"/>
    <w:lvl w:ilvl="0">
      <w:lvlJc w:val="left"/>
      <w:lvlText w:val="%1:"/>
      <w:numFmt w:val="upperLetter"/>
      <w:start w:val="17"/>
    </w:lvl>
  </w:abstractNum>
  <w:abstractNum w:abstractNumId="12">
    <w:nsid w:val="613EFDC5"/>
    <w:multiLevelType w:val="hybridMultilevel"/>
    <w:lvl w:ilvl="0">
      <w:lvlJc w:val="left"/>
      <w:lvlText w:val="%1:"/>
      <w:numFmt w:val="upperLetter"/>
      <w:start w:val="1"/>
    </w:lvl>
  </w:abstractNum>
  <w:abstractNum w:abstractNumId="13">
    <w:nsid w:val="BF72B14"/>
    <w:multiLevelType w:val="hybridMultilevel"/>
    <w:lvl w:ilvl="0">
      <w:lvlJc w:val="left"/>
      <w:lvlText w:val="%1:"/>
      <w:numFmt w:val="upperLetter"/>
      <w:start w:val="17"/>
    </w:lvl>
  </w:abstractNum>
  <w:abstractNum w:abstractNumId="14">
    <w:nsid w:val="11447B73"/>
    <w:multiLevelType w:val="hybridMultilevel"/>
    <w:lvl w:ilvl="0">
      <w:lvlJc w:val="left"/>
      <w:lvlText w:val="%1:"/>
      <w:numFmt w:val="upperLetter"/>
      <w:start w:val="1"/>
    </w:lvl>
  </w:abstractNum>
  <w:abstractNum w:abstractNumId="15">
    <w:nsid w:val="42963E5A"/>
    <w:multiLevelType w:val="hybridMultilevel"/>
    <w:lvl w:ilvl="0">
      <w:lvlJc w:val="left"/>
      <w:lvlText w:val="%1:"/>
      <w:numFmt w:val="upperLetter"/>
      <w:start w:val="17"/>
    </w:lvl>
  </w:abstractNum>
  <w:abstractNum w:abstractNumId="16">
    <w:nsid w:val="A0382C5"/>
    <w:multiLevelType w:val="hybridMultilevel"/>
    <w:lvl w:ilvl="0">
      <w:lvlJc w:val="left"/>
      <w:lvlText w:val="%1:"/>
      <w:numFmt w:val="upperLetter"/>
      <w:start w:val="1"/>
    </w:lvl>
  </w:abstractNum>
  <w:abstractNum w:abstractNumId="17">
    <w:nsid w:val="8F2B15E"/>
    <w:multiLevelType w:val="hybridMultilevel"/>
    <w:lvl w:ilvl="0">
      <w:lvlJc w:val="left"/>
      <w:lvlText w:val="%1:"/>
      <w:numFmt w:val="upperLetter"/>
      <w:start w:val="17"/>
    </w:lvl>
  </w:abstractNum>
  <w:abstractNum w:abstractNumId="18">
    <w:nsid w:val="1A32234B"/>
    <w:multiLevelType w:val="hybridMultilevel"/>
    <w:lvl w:ilvl="0">
      <w:lvlJc w:val="left"/>
      <w:lvlText w:val="%1:"/>
      <w:numFmt w:val="upperLetter"/>
      <w:start w:val="1"/>
    </w:lvl>
  </w:abstractNum>
  <w:abstractNum w:abstractNumId="19">
    <w:nsid w:val="3B0FD379"/>
    <w:multiLevelType w:val="hybridMultilevel"/>
    <w:lvl w:ilvl="0">
      <w:lvlJc w:val="left"/>
      <w:lvlText w:val="%1:"/>
      <w:numFmt w:val="upperLetter"/>
      <w:start w:val="17"/>
    </w:lvl>
  </w:abstractNum>
  <w:abstractNum w:abstractNumId="20">
    <w:nsid w:val="68EB2F63"/>
    <w:multiLevelType w:val="hybridMultilevel"/>
    <w:lvl w:ilvl="0">
      <w:lvlJc w:val="left"/>
      <w:lvlText w:val="%1:"/>
      <w:numFmt w:val="upperLetter"/>
      <w:start w:val="1"/>
    </w:lvl>
  </w:abstractNum>
  <w:abstractNum w:abstractNumId="21">
    <w:nsid w:val="4962813B"/>
    <w:multiLevelType w:val="hybridMultilevel"/>
    <w:lvl w:ilvl="0">
      <w:lvlJc w:val="left"/>
      <w:lvlText w:val="%1:"/>
      <w:numFmt w:val="upperLetter"/>
      <w:start w:val="17"/>
    </w:lvl>
  </w:abstractNum>
  <w:abstractNum w:abstractNumId="22">
    <w:nsid w:val="60B6DF70"/>
    <w:multiLevelType w:val="hybridMultilevel"/>
    <w:lvl w:ilvl="0">
      <w:lvlJc w:val="left"/>
      <w:lvlText w:val="%1:"/>
      <w:numFmt w:val="upperLetter"/>
      <w:start w:val="17"/>
    </w:lvl>
  </w:abstractNum>
  <w:abstractNum w:abstractNumId="23">
    <w:nsid w:val="6A5EE64"/>
    <w:multiLevelType w:val="hybridMultilevel"/>
    <w:lvl w:ilvl="0">
      <w:lvlJc w:val="left"/>
      <w:lvlText w:val="%1:"/>
      <w:numFmt w:val="upperLetter"/>
      <w:start w:val="1"/>
    </w:lvl>
  </w:abstractNum>
  <w:abstractNum w:abstractNumId="24">
    <w:nsid w:val="14330624"/>
    <w:multiLevelType w:val="hybridMultilevel"/>
    <w:lvl w:ilvl="0">
      <w:lvlJc w:val="left"/>
      <w:lvlText w:val="%1:"/>
      <w:numFmt w:val="upperLetter"/>
      <w:start w:val="17"/>
    </w:lvl>
  </w:abstractNum>
  <w:abstractNum w:abstractNumId="25">
    <w:nsid w:val="7FFFCA11"/>
    <w:multiLevelType w:val="hybridMultilevel"/>
    <w:lvl w:ilvl="0">
      <w:lvlJc w:val="left"/>
      <w:lvlText w:val="%1:"/>
      <w:numFmt w:val="upperLetter"/>
      <w:start w:val="1"/>
    </w:lvl>
  </w:abstractNum>
  <w:abstractNum w:abstractNumId="26">
    <w:nsid w:val="1A27709E"/>
    <w:multiLevelType w:val="hybridMultilevel"/>
    <w:lvl w:ilvl="0">
      <w:lvlJc w:val="left"/>
      <w:lvlText w:val="%1:"/>
      <w:numFmt w:val="upperLetter"/>
      <w:start w:val="17"/>
    </w:lvl>
  </w:abstractNum>
  <w:abstractNum w:abstractNumId="27">
    <w:nsid w:val="71EA1109"/>
    <w:multiLevelType w:val="hybridMultilevel"/>
    <w:lvl w:ilvl="0">
      <w:lvlJc w:val="left"/>
      <w:lvlText w:val="%1:"/>
      <w:numFmt w:val="upperLetter"/>
      <w:start w:val="1"/>
    </w:lvl>
  </w:abstractNum>
  <w:abstractNum w:abstractNumId="28">
    <w:nsid w:val="100F59DC"/>
    <w:multiLevelType w:val="hybridMultilevel"/>
    <w:lvl w:ilvl="0">
      <w:lvlJc w:val="left"/>
      <w:lvlText w:val="%1:"/>
      <w:numFmt w:val="upperLetter"/>
      <w:start w:val="17"/>
    </w:lvl>
  </w:abstractNum>
  <w:abstractNum w:abstractNumId="29">
    <w:nsid w:val="7FB7E0AA"/>
    <w:multiLevelType w:val="hybridMultilevel"/>
    <w:lvl w:ilvl="0">
      <w:lvlJc w:val="left"/>
      <w:lvlText w:val="%1:"/>
      <w:numFmt w:val="upperLetter"/>
      <w:start w:val="1"/>
    </w:lvl>
  </w:abstractNum>
  <w:abstractNum w:abstractNumId="30">
    <w:nsid w:val="6EB5BD4"/>
    <w:multiLevelType w:val="hybridMultilevel"/>
    <w:lvl w:ilvl="0">
      <w:lvlJc w:val="left"/>
      <w:lvlText w:val="%1:"/>
      <w:numFmt w:val="upperLetter"/>
      <w:start w:val="17"/>
    </w:lvl>
  </w:abstractNum>
  <w:abstractNum w:abstractNumId="31">
    <w:nsid w:val="6F6DD9AC"/>
    <w:multiLevelType w:val="hybridMultilevel"/>
    <w:lvl w:ilvl="0">
      <w:lvlJc w:val="left"/>
      <w:lvlText w:val="%1:"/>
      <w:numFmt w:val="upperLetter"/>
      <w:start w:val="1"/>
    </w:lvl>
  </w:abstractNum>
  <w:abstractNum w:abstractNumId="32">
    <w:nsid w:val="94211F2"/>
    <w:multiLevelType w:val="hybridMultilevel"/>
    <w:lvl w:ilvl="0">
      <w:lvlJc w:val="left"/>
      <w:lvlText w:val="%1:"/>
      <w:numFmt w:val="upperLetter"/>
      <w:start w:val="17"/>
    </w:lvl>
  </w:abstractNum>
  <w:abstractNum w:abstractNumId="33">
    <w:nsid w:val="885E1B"/>
    <w:multiLevelType w:val="hybridMultilevel"/>
    <w:lvl w:ilvl="0">
      <w:lvlJc w:val="left"/>
      <w:lvlText w:val="%1:"/>
      <w:numFmt w:val="upperLetter"/>
      <w:start w:val="1"/>
    </w:lvl>
  </w:abstractNum>
  <w:abstractNum w:abstractNumId="34">
    <w:nsid w:val="76272110"/>
    <w:multiLevelType w:val="hybridMultilevel"/>
    <w:lvl w:ilvl="0">
      <w:lvlJc w:val="left"/>
      <w:lvlText w:val="%1:"/>
      <w:numFmt w:val="upperLetter"/>
      <w:start w:val="17"/>
    </w:lvl>
  </w:abstractNum>
  <w:abstractNum w:abstractNumId="35">
    <w:nsid w:val="4C04A8AF"/>
    <w:multiLevelType w:val="hybridMultilevel"/>
    <w:lvl w:ilvl="0">
      <w:lvlJc w:val="left"/>
      <w:lvlText w:val="%1:"/>
      <w:numFmt w:val="upperLetter"/>
      <w:start w:val="1"/>
    </w:lvl>
  </w:abstractNum>
  <w:abstractNum w:abstractNumId="36">
    <w:nsid w:val="1716703B"/>
    <w:multiLevelType w:val="hybridMultilevel"/>
    <w:lvl w:ilvl="0">
      <w:lvlJc w:val="left"/>
      <w:lvlText w:val="%1:"/>
      <w:numFmt w:val="upperLetter"/>
      <w:start w:val="17"/>
    </w:lvl>
  </w:abstractNum>
  <w:abstractNum w:abstractNumId="37">
    <w:nsid w:val="14E17E33"/>
    <w:multiLevelType w:val="hybridMultilevel"/>
    <w:lvl w:ilvl="0">
      <w:lvlJc w:val="left"/>
      <w:lvlText w:val="%1:"/>
      <w:numFmt w:val="upperLetter"/>
      <w:start w:val="1"/>
    </w:lvl>
  </w:abstractNum>
  <w:abstractNum w:abstractNumId="38">
    <w:nsid w:val="3222E7CD"/>
    <w:multiLevelType w:val="hybridMultilevel"/>
    <w:lvl w:ilvl="0">
      <w:lvlJc w:val="left"/>
      <w:lvlText w:val="%1:"/>
      <w:numFmt w:val="upperLetter"/>
      <w:start w:val="17"/>
    </w:lvl>
  </w:abstractNum>
  <w:abstractNum w:abstractNumId="39">
    <w:nsid w:val="74DE0EE3"/>
    <w:multiLevelType w:val="hybridMultilevel"/>
    <w:lvl w:ilvl="0">
      <w:lvlJc w:val="left"/>
      <w:lvlText w:val="%1:"/>
      <w:numFmt w:val="upperLetter"/>
      <w:start w:val="1"/>
    </w:lvl>
  </w:abstractNum>
  <w:abstractNum w:abstractNumId="40">
    <w:nsid w:val="68EBC550"/>
    <w:multiLevelType w:val="hybridMultilevel"/>
    <w:lvl w:ilvl="0">
      <w:lvlJc w:val="left"/>
      <w:lvlText w:val="%1:"/>
      <w:numFmt w:val="upperLetter"/>
      <w:start w:val="17"/>
    </w:lvl>
  </w:abstractNum>
  <w:abstractNum w:abstractNumId="41">
    <w:nsid w:val="2DF6D648"/>
    <w:multiLevelType w:val="hybridMultilevel"/>
    <w:lvl w:ilvl="0">
      <w:lvlJc w:val="left"/>
      <w:lvlText w:val="%1:"/>
      <w:numFmt w:val="upperLetter"/>
      <w:start w:val="1"/>
    </w:lvl>
  </w:abstractNum>
  <w:abstractNum w:abstractNumId="42">
    <w:nsid w:val="46B7D447"/>
    <w:multiLevelType w:val="hybridMultilevel"/>
    <w:lvl w:ilvl="0">
      <w:lvlJc w:val="left"/>
      <w:lvlText w:val="%1:"/>
      <w:numFmt w:val="upperLetter"/>
      <w:start w:val="17"/>
    </w:lvl>
  </w:abstractNum>
  <w:abstractNum w:abstractNumId="43">
    <w:nsid w:val="4A2AC315"/>
    <w:multiLevelType w:val="hybridMultilevel"/>
    <w:lvl w:ilvl="0">
      <w:lvlJc w:val="left"/>
      <w:lvlText w:val="%1:"/>
      <w:numFmt w:val="upperLetter"/>
      <w:start w:val="1"/>
    </w:lvl>
  </w:abstractNum>
  <w:abstractNum w:abstractNumId="44">
    <w:nsid w:val="39EE015C"/>
    <w:multiLevelType w:val="hybridMultilevel"/>
    <w:lvl w:ilvl="0">
      <w:lvlJc w:val="left"/>
      <w:lvlText w:val="%1:"/>
      <w:numFmt w:val="upperLetter"/>
      <w:start w:val="17"/>
    </w:lvl>
  </w:abstractNum>
  <w:abstractNum w:abstractNumId="45">
    <w:nsid w:val="57FC4FBB"/>
    <w:multiLevelType w:val="hybridMultilevel"/>
    <w:lvl w:ilvl="0">
      <w:lvlJc w:val="left"/>
      <w:lvlText w:val="%1:"/>
      <w:numFmt w:val="upperLetter"/>
      <w:start w:val="17"/>
    </w:lvl>
  </w:abstractNum>
  <w:abstractNum w:abstractNumId="46">
    <w:nsid w:val="CC1016F"/>
    <w:multiLevelType w:val="hybridMultilevel"/>
    <w:lvl w:ilvl="0">
      <w:lvlJc w:val="left"/>
      <w:lvlText w:val="%1:"/>
      <w:numFmt w:val="upperLetter"/>
      <w:start w:val="1"/>
    </w:lvl>
  </w:abstractNum>
  <w:abstractNum w:abstractNumId="47">
    <w:nsid w:val="43F18422"/>
    <w:multiLevelType w:val="hybridMultilevel"/>
    <w:lvl w:ilvl="0">
      <w:lvlJc w:val="left"/>
      <w:lvlText w:val="%1:"/>
      <w:numFmt w:val="upperLetter"/>
      <w:start w:val="17"/>
    </w:lvl>
  </w:abstractNum>
  <w:abstractNum w:abstractNumId="48">
    <w:nsid w:val="60EF0119"/>
    <w:multiLevelType w:val="hybridMultilevel"/>
    <w:lvl w:ilvl="0">
      <w:lvlJc w:val="left"/>
      <w:lvlText w:val="%1:"/>
      <w:numFmt w:val="upperLetter"/>
      <w:start w:val="1"/>
    </w:lvl>
  </w:abstractNum>
  <w:abstractNum w:abstractNumId="49">
    <w:nsid w:val="26F324BA"/>
    <w:multiLevelType w:val="hybridMultilevel"/>
    <w:lvl w:ilvl="0">
      <w:lvlJc w:val="left"/>
      <w:lvlText w:val="%1:"/>
      <w:numFmt w:val="upperLetter"/>
      <w:start w:val="17"/>
    </w:lvl>
  </w:abstractNum>
  <w:abstractNum w:abstractNumId="50">
    <w:nsid w:val="7F01579B"/>
    <w:multiLevelType w:val="hybridMultilevel"/>
    <w:lvl w:ilvl="0">
      <w:lvlJc w:val="left"/>
      <w:lvlText w:val="%1:"/>
      <w:numFmt w:val="upperLetter"/>
      <w:start w:val="1"/>
    </w:lvl>
  </w:abstractNum>
  <w:abstractNum w:abstractNumId="51">
    <w:nsid w:val="49DA307D"/>
    <w:multiLevelType w:val="hybridMultilevel"/>
    <w:lvl w:ilvl="0">
      <w:lvlJc w:val="left"/>
      <w:lvlText w:val="%1:"/>
      <w:numFmt w:val="upperLetter"/>
      <w:start w:val="17"/>
    </w:lvl>
  </w:abstractNum>
  <w:abstractNum w:abstractNumId="52">
    <w:nsid w:val="7055A5F5"/>
    <w:multiLevelType w:val="hybridMultilevel"/>
    <w:lvl w:ilvl="0">
      <w:lvlJc w:val="left"/>
      <w:lvlText w:val="%1:"/>
      <w:numFmt w:val="upperLetter"/>
      <w:start w:val="1"/>
    </w:lvl>
  </w:abstractNum>
  <w:abstractNum w:abstractNumId="53">
    <w:nsid w:val="5FB8370B"/>
    <w:multiLevelType w:val="hybridMultilevel"/>
    <w:lvl w:ilvl="0">
      <w:lvlJc w:val="left"/>
      <w:lvlText w:val="%1:"/>
      <w:numFmt w:val="upperLetter"/>
      <w:start w:val="17"/>
    </w:lvl>
  </w:abstractNum>
  <w:abstractNum w:abstractNumId="54">
    <w:nsid w:val="50801EE1"/>
    <w:multiLevelType w:val="hybridMultilevel"/>
    <w:lvl w:ilvl="0">
      <w:lvlJc w:val="left"/>
      <w:lvlText w:val="%1:"/>
      <w:numFmt w:val="upperLetter"/>
      <w:start w:val="17"/>
    </w:lvl>
  </w:abstractNum>
  <w:abstractNum w:abstractNumId="55">
    <w:nsid w:val="488AC1A"/>
    <w:multiLevelType w:val="hybridMultilevel"/>
    <w:lvl w:ilvl="0">
      <w:lvlJc w:val="left"/>
      <w:lvlText w:val="%1:"/>
      <w:numFmt w:val="upperLetter"/>
      <w:start w:val="1"/>
    </w:lvl>
  </w:abstractNum>
  <w:abstractNum w:abstractNumId="56">
    <w:nsid w:val="5FB8011C"/>
    <w:multiLevelType w:val="hybridMultilevel"/>
    <w:lvl w:ilvl="0">
      <w:lvlJc w:val="left"/>
      <w:lvlText w:val="%1:"/>
      <w:numFmt w:val="upperLetter"/>
      <w:start w:val="17"/>
    </w:lvl>
  </w:abstractNum>
  <w:abstractNum w:abstractNumId="57">
    <w:nsid w:val="6AA78F7F"/>
    <w:multiLevelType w:val="hybridMultilevel"/>
    <w:lvl w:ilvl="0">
      <w:lvlJc w:val="left"/>
      <w:lvlText w:val="%1:"/>
      <w:numFmt w:val="upperLetter"/>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
      <w:numFmt w:val="bullet"/>
      <w:start w:val="1"/>
    </w:lvl>
  </w:abstractNum>
  <w:abstractNum w:abstractNumId="90">
    <w:nsid w:val="4BD8591A"/>
    <w:multiLevelType w:val="hybridMultilevel"/>
    <w:lvl w:ilvl="0">
      <w:lvlJc w:val="left"/>
      <w:lvlText w:val=" "/>
      <w:numFmt w:val="bullet"/>
      <w:start w:val="1"/>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1)"/>
      <w:numFmt w:val="decimal"/>
      <w:start w:val="3"/>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1)"/>
      <w:numFmt w:val="lowerLetter"/>
      <w:start w:val="1"/>
    </w:lvl>
  </w:abstractNum>
  <w:abstractNum w:abstractNumId="96">
    <w:nsid w:val="69E373"/>
    <w:multiLevelType w:val="hybridMultilevel"/>
    <w:lvl w:ilvl="0">
      <w:lvlJc w:val="left"/>
      <w:lvlText w:val="(%1)"/>
      <w:numFmt w:val="lowerLetter"/>
      <w:start w:val="4"/>
    </w:lvl>
  </w:abstractNum>
  <w:abstractNum w:abstractNumId="97">
    <w:nsid w:val="2C27173B"/>
    <w:multiLevelType w:val="hybridMultilevel"/>
    <w:lvl w:ilvl="0">
      <w:lvlJc w:val="left"/>
      <w:lvlText w:val="(%1)"/>
      <w:numFmt w:val="lowerLetter"/>
      <w:start w:val="5"/>
    </w:lvl>
  </w:abstractNum>
  <w:abstractNum w:abstractNumId="98">
    <w:nsid w:val="4C9B0904"/>
    <w:multiLevelType w:val="hybridMultilevel"/>
    <w:lvl w:ilvl="0">
      <w:lvlJc w:val="left"/>
      <w:lvlText w:val="(%1)"/>
      <w:numFmt w:val="lowerLetter"/>
      <w:start w:val="7"/>
    </w:lvl>
  </w:abstractNum>
  <w:abstractNum w:abstractNumId="99">
    <w:nsid w:val="6AA7B75C"/>
    <w:multiLevelType w:val="hybridMultilevel"/>
    <w:lvl w:ilvl="0">
      <w:lvlJc w:val="left"/>
      <w:lvlText w:val="(%1)"/>
      <w:numFmt w:val="lowerLetter"/>
      <w:start w:val="1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1"/>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2"/>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3"/>
      <w:numFmt w:val="bullet"/>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1)"/>
      <w:numFmt w:val="decimal"/>
      <w:start w:val="1"/>
    </w:lvl>
  </w:abstractNum>
  <w:abstractNum w:abstractNumId="132">
    <w:nsid w:val="2E48F044"/>
    <w:multiLevelType w:val="hybridMultilevel"/>
    <w:lvl w:ilvl="0">
      <w:lvlJc w:val="left"/>
      <w:lvlText w:val="(%1)"/>
      <w:numFmt w:val="decimal"/>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1)"/>
      <w:numFmt w:val="decimal"/>
      <w:start w:val="2"/>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2025-09-18T23:12:35Z</dcterms:created>
  <dcterms:modified xsi:type="dcterms:W3CDTF">2025-09-18T23:12:35Z</dcterms:modified>
</cp:coreProperties>
</file>