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1143000</wp:posOffset>
            </wp:positionV>
            <wp:extent cx="713232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5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7"/>
          <w:szCs w:val="27"/>
          <w:b w:val="1"/>
          <w:bCs w:val="1"/>
          <w:color w:val="auto"/>
        </w:rPr>
        <w:t>WASHINGTON, D.C. 20549</w:t>
      </w:r>
    </w:p>
    <w:p>
      <w:pPr>
        <w:spacing w:after="0" w:line="3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7"/>
          <w:szCs w:val="27"/>
          <w:b w:val="1"/>
          <w:bCs w:val="1"/>
          <w:color w:val="auto"/>
        </w:rPr>
        <w:t>CURRENT REPORT</w:t>
      </w:r>
    </w:p>
    <w:p>
      <w:pPr>
        <w:spacing w:after="0" w:line="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7"/>
          <w:szCs w:val="27"/>
          <w:b w:val="1"/>
          <w:bCs w:val="1"/>
          <w:color w:val="auto"/>
        </w:rPr>
        <w:t>Pursuant to Section 13 or 15(d) of the</w:t>
      </w:r>
    </w:p>
    <w:p>
      <w:pPr>
        <w:spacing w:after="0" w:line="5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7"/>
          <w:szCs w:val="27"/>
          <w:b w:val="1"/>
          <w:bCs w:val="1"/>
          <w:color w:val="auto"/>
        </w:rPr>
        <w:t>Securities Exchange Act of 1934</w:t>
      </w:r>
    </w:p>
    <w:p>
      <w:pPr>
        <w:spacing w:after="0" w:line="6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June 25, 2026</w:t>
      </w:r>
    </w:p>
    <w:p>
      <w:pPr>
        <w:spacing w:after="0" w:line="29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Versant Media Group, Inc.</w:t>
      </w:r>
    </w:p>
    <w:p>
      <w:pPr>
        <w:spacing w:after="0" w:line="97"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color w:val="auto"/>
        </w:rPr>
        <w:t>(Exact Name of Registrant</w:t>
      </w:r>
    </w:p>
    <w:p>
      <w:pPr>
        <w:spacing w:after="0" w:line="17"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color w:val="auto"/>
        </w:rPr>
        <w:t>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300"/>
        <w:spacing w:after="0"/>
        <w:tabs>
          <w:tab w:leader="none" w:pos="5200" w:val="left"/>
          <w:tab w:leader="none" w:pos="8980" w:val="left"/>
        </w:tabs>
        <w:rPr>
          <w:sz w:val="20"/>
          <w:szCs w:val="20"/>
          <w:color w:val="auto"/>
        </w:rPr>
      </w:pPr>
      <w:r>
        <w:rPr>
          <w:rFonts w:ascii="Times New Roman" w:cs="Times New Roman" w:eastAsia="Times New Roman" w:hAnsi="Times New Roman"/>
          <w:sz w:val="18"/>
          <w:szCs w:val="18"/>
          <w:b w:val="1"/>
          <w:bCs w:val="1"/>
          <w:color w:val="auto"/>
        </w:rPr>
        <w:t>Pennsylvania</w:t>
      </w:r>
      <w:r>
        <w:rPr>
          <w:sz w:val="20"/>
          <w:szCs w:val="20"/>
          <w:color w:val="auto"/>
        </w:rPr>
        <w:tab/>
      </w:r>
      <w:r>
        <w:rPr>
          <w:rFonts w:ascii="Times New Roman" w:cs="Times New Roman" w:eastAsia="Times New Roman" w:hAnsi="Times New Roman"/>
          <w:sz w:val="18"/>
          <w:szCs w:val="18"/>
          <w:b w:val="1"/>
          <w:bCs w:val="1"/>
          <w:color w:val="auto"/>
        </w:rPr>
        <w:t>001-42856</w:t>
      </w:r>
      <w:r>
        <w:rPr>
          <w:sz w:val="20"/>
          <w:szCs w:val="20"/>
          <w:color w:val="auto"/>
        </w:rPr>
        <w:tab/>
      </w:r>
      <w:r>
        <w:rPr>
          <w:rFonts w:ascii="Times New Roman" w:cs="Times New Roman" w:eastAsia="Times New Roman" w:hAnsi="Times New Roman"/>
          <w:sz w:val="18"/>
          <w:szCs w:val="18"/>
          <w:b w:val="1"/>
          <w:bCs w:val="1"/>
          <w:color w:val="auto"/>
        </w:rPr>
        <w:t>39-2087186</w:t>
      </w:r>
    </w:p>
    <w:p>
      <w:pPr>
        <w:spacing w:after="0" w:line="31" w:lineRule="exact"/>
        <w:rPr>
          <w:sz w:val="24"/>
          <w:szCs w:val="24"/>
          <w:color w:val="auto"/>
        </w:rPr>
      </w:pPr>
    </w:p>
    <w:p>
      <w:pPr>
        <w:ind w:left="520"/>
        <w:spacing w:after="0"/>
        <w:tabs>
          <w:tab w:leader="none" w:pos="4800" w:val="left"/>
          <w:tab w:leader="none" w:pos="8420" w:val="left"/>
        </w:tabs>
        <w:rPr>
          <w:sz w:val="20"/>
          <w:szCs w:val="20"/>
          <w:color w:val="auto"/>
        </w:rPr>
      </w:pPr>
      <w:r>
        <w:rPr>
          <w:rFonts w:ascii="Times New Roman" w:cs="Times New Roman" w:eastAsia="Times New Roman" w:hAnsi="Times New Roman"/>
          <w:sz w:val="14"/>
          <w:szCs w:val="14"/>
          <w:color w:val="auto"/>
        </w:rPr>
        <w:t>(State or Other Jurisdiction of Incorporation)</w:t>
      </w:r>
      <w:r>
        <w:rPr>
          <w:sz w:val="20"/>
          <w:szCs w:val="20"/>
          <w:color w:val="auto"/>
        </w:rPr>
        <w:tab/>
      </w:r>
      <w:r>
        <w:rPr>
          <w:rFonts w:ascii="Times New Roman" w:cs="Times New Roman" w:eastAsia="Times New Roman" w:hAnsi="Times New Roman"/>
          <w:sz w:val="14"/>
          <w:szCs w:val="14"/>
          <w:color w:val="auto"/>
        </w:rPr>
        <w:t>(Commission File Number)</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3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229 West 43rd Street</w:t>
      </w:r>
    </w:p>
    <w:p>
      <w:pPr>
        <w:sectPr>
          <w:pgSz w:w="11900" w:h="16838" w:orient="portrait"/>
          <w:cols w:equalWidth="0" w:num="1">
            <w:col w:w="11060"/>
          </w:cols>
          <w:pgMar w:left="320" w:top="1440" w:right="519" w:bottom="1440" w:gutter="0" w:footer="0" w:header="0"/>
        </w:sectPr>
      </w:pPr>
    </w:p>
    <w:p>
      <w:pPr>
        <w:spacing w:after="0" w:line="77" w:lineRule="exact"/>
        <w:rPr>
          <w:sz w:val="24"/>
          <w:szCs w:val="24"/>
          <w:color w:val="auto"/>
        </w:rPr>
      </w:pPr>
    </w:p>
    <w:p>
      <w:pPr>
        <w:jc w:val="center"/>
        <w:ind w:right="478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63"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366" w:lineRule="exact"/>
        <w:rPr>
          <w:sz w:val="24"/>
          <w:szCs w:val="24"/>
          <w:color w:val="auto"/>
        </w:rPr>
      </w:pPr>
    </w:p>
    <w:p>
      <w:pPr>
        <w:jc w:val="center"/>
        <w:ind w:left="284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(646) 832-1000</w:t>
      </w:r>
    </w:p>
    <w:p>
      <w:pPr>
        <w:spacing w:after="0" w:line="61" w:lineRule="exact"/>
        <w:rPr>
          <w:sz w:val="24"/>
          <w:szCs w:val="24"/>
          <w:color w:val="auto"/>
        </w:rPr>
      </w:pPr>
    </w:p>
    <w:p>
      <w:pPr>
        <w:jc w:val="center"/>
        <w:ind w:left="284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10036</w:t>
      </w:r>
    </w:p>
    <w:p>
      <w:pPr>
        <w:spacing w:after="0" w:line="31"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color w:val="auto"/>
        </w:rPr>
        <w:t>(Zip Code)</w:t>
      </w:r>
    </w:p>
    <w:p>
      <w:pPr>
        <w:spacing w:after="0" w:line="973" w:lineRule="exact"/>
        <w:rPr>
          <w:sz w:val="24"/>
          <w:szCs w:val="24"/>
          <w:color w:val="auto"/>
        </w:rPr>
      </w:pPr>
    </w:p>
    <w:p>
      <w:pPr>
        <w:sectPr>
          <w:pgSz w:w="11900" w:h="16838" w:orient="portrait"/>
          <w:cols w:equalWidth="0" w:num="2">
            <w:col w:w="8400" w:space="720"/>
            <w:col w:w="1940"/>
          </w:cols>
          <w:pgMar w:left="320" w:top="1440" w:right="519" w:bottom="1440" w:gutter="0" w:footer="0" w:header="0"/>
          <w:type w:val="continuous"/>
        </w:sectPr>
      </w:pP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55"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49"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47" w:lineRule="exact"/>
        <w:rPr>
          <w:rFonts w:ascii="MS PGothic" w:cs="MS PGothic" w:eastAsia="MS PGothic" w:hAnsi="MS PGothic"/>
          <w:sz w:val="14"/>
          <w:szCs w:val="14"/>
          <w:color w:val="auto"/>
        </w:rPr>
      </w:pPr>
    </w:p>
    <w:p>
      <w:pPr>
        <w:ind w:left="280" w:hanging="272"/>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55" w:lineRule="exact"/>
        <w:rPr>
          <w:rFonts w:ascii="MS PGothic" w:cs="MS PGothic" w:eastAsia="MS PGothic" w:hAnsi="MS PGothic"/>
          <w:sz w:val="14"/>
          <w:szCs w:val="14"/>
          <w:color w:val="auto"/>
        </w:rPr>
      </w:pPr>
    </w:p>
    <w:p>
      <w:pPr>
        <w:ind w:left="100" w:right="4340" w:hanging="92"/>
        <w:spacing w:after="0" w:line="320" w:lineRule="auto"/>
        <w:tabs>
          <w:tab w:leader="none" w:pos="293"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394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080" w:type="dxa"/>
            <w:vAlign w:val="bottom"/>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9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182"/>
        </w:trPr>
        <w:tc>
          <w:tcPr>
            <w:tcW w:w="3940" w:type="dxa"/>
            <w:vAlign w:val="bottom"/>
          </w:tcPr>
          <w:p>
            <w:pPr>
              <w:jc w:val="center"/>
              <w:ind w:right="308"/>
              <w:spacing w:after="0"/>
              <w:rPr>
                <w:sz w:val="20"/>
                <w:szCs w:val="20"/>
                <w:color w:val="auto"/>
              </w:rPr>
            </w:pPr>
            <w:r>
              <w:rPr>
                <w:rFonts w:ascii="Times New Roman" w:cs="Times New Roman" w:eastAsia="Times New Roman" w:hAnsi="Times New Roman"/>
                <w:sz w:val="14"/>
                <w:szCs w:val="14"/>
                <w:color w:val="auto"/>
              </w:rPr>
              <w:t>Class A Common Stock, $0.01 par value</w:t>
            </w:r>
          </w:p>
        </w:tc>
        <w:tc>
          <w:tcPr>
            <w:tcW w:w="296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VSNT</w:t>
            </w:r>
          </w:p>
        </w:tc>
        <w:tc>
          <w:tcPr>
            <w:tcW w:w="408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86" w:lineRule="exact"/>
        <w:rPr>
          <w:sz w:val="24"/>
          <w:szCs w:val="24"/>
          <w:color w:val="auto"/>
        </w:rPr>
      </w:pPr>
    </w:p>
    <w:p>
      <w:pPr>
        <w:ind w:right="160"/>
        <w:spacing w:after="0" w:line="34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6" w:lineRule="exact"/>
        <w:rPr>
          <w:sz w:val="24"/>
          <w:szCs w:val="24"/>
          <w:color w:val="auto"/>
        </w:rPr>
      </w:pPr>
    </w:p>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81" w:lineRule="exact"/>
        <w:rPr>
          <w:sz w:val="24"/>
          <w:szCs w:val="24"/>
          <w:color w:val="auto"/>
        </w:rPr>
      </w:pPr>
    </w:p>
    <w:p>
      <w:pPr>
        <w:ind w:right="380"/>
        <w:spacing w:after="0" w:line="21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880110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40" w:right="51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97"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June 25, 2026, Versant Media Group, Inc. (the “Company”) held its 2026 Annual Meeting of Shareholders to consider and vote on the four proposals set forth below, each of which is described in detail in the Company’s Definitive Proxy Statement on Schedule 14A filed with the Securities and Exchange Commission on April 23, 2026, as supplemented by the Company’s definitive additional materials on Schedule 14A filed with the SEC on June 11, 2026 (together with the additional materials, the “Proxy Statement”). The results of the voting on such matters are set forth below:</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 The following nominees were elected to serve on the Company’s Board of Directors until the Company’s 2027 Annual Meeting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until their respective successors are duly elected and qualified, based on the following votes:</w:t>
      </w:r>
    </w:p>
    <w:p>
      <w:pPr>
        <w:spacing w:after="0" w:line="304" w:lineRule="exact"/>
        <w:rPr>
          <w:sz w:val="20"/>
          <w:szCs w:val="20"/>
          <w:color w:val="auto"/>
        </w:rPr>
      </w:pPr>
    </w:p>
    <w:tbl>
      <w:tblPr>
        <w:tblLayout w:type="fixed"/>
        <w:tblInd w:w="670" w:type="dxa"/>
        <w:tblCellMar>
          <w:top w:w="0" w:type="dxa"/>
          <w:left w:w="0" w:type="dxa"/>
          <w:bottom w:w="0" w:type="dxa"/>
          <w:right w:w="0" w:type="dxa"/>
        </w:tblCellMar>
      </w:tblPr>
      <w:tr>
        <w:trPr>
          <w:trHeight w:val="234"/>
        </w:trPr>
        <w:tc>
          <w:tcPr>
            <w:tcW w:w="4300" w:type="dxa"/>
            <w:vAlign w:val="bottom"/>
            <w:tcBorders>
              <w:top w:val="single" w:sz="8" w:color="auto"/>
              <w:left w:val="single" w:sz="8" w:color="auto"/>
              <w:right w:val="single" w:sz="8" w:color="auto"/>
            </w:tcBorders>
          </w:tcPr>
          <w:p>
            <w:pPr>
              <w:spacing w:after="0"/>
              <w:rPr>
                <w:sz w:val="20"/>
                <w:szCs w:val="20"/>
                <w:color w:val="auto"/>
              </w:rPr>
            </w:pP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1360" w:type="dxa"/>
            <w:vAlign w:val="bottom"/>
            <w:tcBorders>
              <w:top w:val="single" w:sz="8" w:color="auto"/>
              <w:right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spacing w:after="0"/>
              <w:rPr>
                <w:sz w:val="20"/>
                <w:szCs w:val="20"/>
                <w:color w:val="auto"/>
              </w:rPr>
            </w:pPr>
          </w:p>
        </w:tc>
      </w:tr>
      <w:tr>
        <w:trPr>
          <w:trHeight w:val="265"/>
        </w:trPr>
        <w:tc>
          <w:tcPr>
            <w:tcW w:w="4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3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Rebecca S. Campbell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14,167,578</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45,588</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1,364,758</w:t>
            </w:r>
          </w:p>
        </w:tc>
      </w:tr>
      <w:tr>
        <w:trPr>
          <w:trHeight w:val="223"/>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Creighton Condon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14,025,467</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187,699</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1,364,758</w:t>
            </w:r>
          </w:p>
        </w:tc>
      </w:tr>
      <w:tr>
        <w:trPr>
          <w:trHeight w:val="223"/>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Michael A. Conway</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14,174,793</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38,373</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1,364,758</w:t>
            </w:r>
          </w:p>
        </w:tc>
      </w:tr>
      <w:tr>
        <w:trPr>
          <w:trHeight w:val="223"/>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David Eun</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14,070,329</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142,837</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1,364,758</w:t>
            </w:r>
          </w:p>
        </w:tc>
      </w:tr>
      <w:tr>
        <w:trPr>
          <w:trHeight w:val="223"/>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Gerald L. Hassell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14,174,001</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39,165</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1,364,758</w:t>
            </w:r>
          </w:p>
        </w:tc>
      </w:tr>
      <w:tr>
        <w:trPr>
          <w:trHeight w:val="223"/>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Mark Lazarus</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14,178,225</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34,941</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1,364,758</w:t>
            </w:r>
          </w:p>
        </w:tc>
      </w:tr>
      <w:tr>
        <w:trPr>
          <w:trHeight w:val="223"/>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 Scott Mahoney</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14,070,276</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142,890</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1,364,758</w:t>
            </w:r>
          </w:p>
        </w:tc>
      </w:tr>
      <w:tr>
        <w:trPr>
          <w:trHeight w:val="223"/>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Maritza Montiel</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13,685,611</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527,555</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1,364,758</w:t>
            </w:r>
          </w:p>
        </w:tc>
      </w:tr>
      <w:tr>
        <w:trPr>
          <w:trHeight w:val="223"/>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David Novak</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14,128,303</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84,863</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1,364,758</w:t>
            </w:r>
          </w:p>
        </w:tc>
      </w:tr>
      <w:tr>
        <w:trPr>
          <w:trHeight w:val="223"/>
        </w:trPr>
        <w:tc>
          <w:tcPr>
            <w:tcW w:w="43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Leonard A. Potter</w:t>
            </w: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14,089,501</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123,665</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1,364,758</w:t>
            </w:r>
          </w:p>
        </w:tc>
      </w:tr>
    </w:tbl>
    <w:p>
      <w:pPr>
        <w:spacing w:after="0" w:line="200" w:lineRule="exact"/>
        <w:rPr>
          <w:sz w:val="20"/>
          <w:szCs w:val="20"/>
          <w:color w:val="auto"/>
        </w:rPr>
      </w:pPr>
    </w:p>
    <w:p>
      <w:pPr>
        <w:spacing w:after="0" w:line="3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2</w:t>
      </w:r>
      <w:r>
        <w:rPr>
          <w:rFonts w:ascii="Times New Roman" w:cs="Times New Roman" w:eastAsia="Times New Roman" w:hAnsi="Times New Roman"/>
          <w:sz w:val="18"/>
          <w:szCs w:val="18"/>
          <w:color w:val="auto"/>
        </w:rPr>
        <w:t>: The appointment of Deloitte &amp; Touche LLP as the Company’s independent auditors for the fiscal year ending December 31, 2026, as described in the Proxy Statement, was ratified, based on the following votes:</w:t>
      </w:r>
    </w:p>
    <w:p>
      <w:pPr>
        <w:spacing w:after="0" w:line="214" w:lineRule="exact"/>
        <w:rPr>
          <w:sz w:val="20"/>
          <w:szCs w:val="20"/>
          <w:color w:val="auto"/>
        </w:rPr>
      </w:pPr>
    </w:p>
    <w:tbl>
      <w:tblPr>
        <w:tblLayout w:type="fixed"/>
        <w:tblInd w:w="310" w:type="dxa"/>
        <w:tblCellMar>
          <w:top w:w="0" w:type="dxa"/>
          <w:left w:w="0" w:type="dxa"/>
          <w:bottom w:w="0" w:type="dxa"/>
          <w:right w:w="0" w:type="dxa"/>
        </w:tblCellMar>
      </w:tblPr>
      <w:tr>
        <w:trPr>
          <w:trHeight w:val="243"/>
        </w:trPr>
        <w:tc>
          <w:tcPr>
            <w:tcW w:w="2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520" w:type="dxa"/>
            <w:vAlign w:val="bottom"/>
            <w:tcBorders>
              <w:left w:val="single" w:sz="8" w:color="auto"/>
              <w:bottom w:val="single" w:sz="8" w:color="auto"/>
              <w:right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15,528,284</w:t>
            </w:r>
          </w:p>
        </w:tc>
        <w:tc>
          <w:tcPr>
            <w:tcW w:w="2260" w:type="dxa"/>
            <w:vAlign w:val="bottom"/>
            <w:tcBorders>
              <w:bottom w:val="single" w:sz="8" w:color="auto"/>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40,794</w:t>
            </w:r>
          </w:p>
        </w:tc>
        <w:tc>
          <w:tcPr>
            <w:tcW w:w="2740" w:type="dxa"/>
            <w:vAlign w:val="bottom"/>
            <w:tcBorders>
              <w:bottom w:val="single" w:sz="8" w:color="auto"/>
              <w:right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8,846</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30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3</w:t>
      </w:r>
      <w:r>
        <w:rPr>
          <w:rFonts w:ascii="Times New Roman" w:cs="Times New Roman" w:eastAsia="Times New Roman" w:hAnsi="Times New Roman"/>
          <w:sz w:val="18"/>
          <w:szCs w:val="18"/>
          <w:color w:val="auto"/>
        </w:rPr>
        <w:t>: The shareholders approved, on a non-binding, advisory basis, “1 year” as the frequency of future advisory votes to approve the compensation of the Company’s named executive officers, as described in the Proxy Statement, based on the following votes:</w:t>
      </w:r>
    </w:p>
    <w:p>
      <w:pPr>
        <w:spacing w:after="0" w:line="214" w:lineRule="exact"/>
        <w:rPr>
          <w:sz w:val="20"/>
          <w:szCs w:val="20"/>
          <w:color w:val="auto"/>
        </w:rPr>
      </w:pPr>
    </w:p>
    <w:tbl>
      <w:tblPr>
        <w:tblLayout w:type="fixed"/>
        <w:tblInd w:w="390" w:type="dxa"/>
        <w:tblCellMar>
          <w:top w:w="0" w:type="dxa"/>
          <w:left w:w="0" w:type="dxa"/>
          <w:bottom w:w="0" w:type="dxa"/>
          <w:right w:w="0" w:type="dxa"/>
        </w:tblCellMar>
      </w:tblPr>
      <w:tr>
        <w:trPr>
          <w:trHeight w:val="243"/>
        </w:trPr>
        <w:tc>
          <w:tcPr>
            <w:tcW w:w="2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1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 Years</w:t>
            </w:r>
          </w:p>
        </w:tc>
        <w:tc>
          <w:tcPr>
            <w:tcW w:w="1680" w:type="dxa"/>
            <w:vAlign w:val="bottom"/>
            <w:tcBorders>
              <w:top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2060" w:type="dxa"/>
            <w:vAlign w:val="bottom"/>
            <w:tcBorders>
              <w:left w:val="single" w:sz="8" w:color="auto"/>
              <w:bottom w:val="single" w:sz="8" w:color="auto"/>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14,029,615</w:t>
            </w:r>
          </w:p>
        </w:tc>
        <w:tc>
          <w:tcPr>
            <w:tcW w:w="164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7,734</w:t>
            </w:r>
          </w:p>
        </w:tc>
        <w:tc>
          <w:tcPr>
            <w:tcW w:w="168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155,379</w:t>
            </w:r>
          </w:p>
        </w:tc>
        <w:tc>
          <w:tcPr>
            <w:tcW w:w="2200" w:type="dxa"/>
            <w:vAlign w:val="bottom"/>
            <w:tcBorders>
              <w:bottom w:val="single" w:sz="8" w:color="auto"/>
              <w:right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20,438</w:t>
            </w:r>
          </w:p>
        </w:tc>
        <w:tc>
          <w:tcPr>
            <w:tcW w:w="2360" w:type="dxa"/>
            <w:vAlign w:val="bottom"/>
            <w:tcBorders>
              <w:bottom w:val="single" w:sz="8" w:color="auto"/>
              <w:right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1,364,758</w:t>
            </w:r>
          </w:p>
        </w:tc>
      </w:tr>
    </w:tbl>
    <w:p>
      <w:pPr>
        <w:spacing w:after="0" w:line="3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Based on the results of this vote, and consistent with the Board of Directors’ recommendation, the Company intends to include an advisory shareholder vote to approve the compensation paid to its named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officers every year until the next required vote on the frequency of shareholder votes on the compensation of named executive officers. The Company is required to hold a vote on frequency every six years.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Proposal 4</w:t>
      </w:r>
      <w:r>
        <w:rPr>
          <w:rFonts w:ascii="Times New Roman" w:cs="Times New Roman" w:eastAsia="Times New Roman" w:hAnsi="Times New Roman"/>
          <w:sz w:val="18"/>
          <w:szCs w:val="18"/>
          <w:color w:val="auto"/>
        </w:rPr>
        <w:t>: The Company’s ESPP, as described in the Proxy Statement, was approved, based on the following votes: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0" w:type="dxa"/>
            <w:vAlign w:val="bottom"/>
            <w:tcBorders>
              <w:right w:val="single" w:sz="8" w:color="auto"/>
            </w:tcBorders>
          </w:tcPr>
          <w:p>
            <w:pPr>
              <w:spacing w:after="0"/>
              <w:rPr>
                <w:sz w:val="21"/>
                <w:szCs w:val="21"/>
                <w:color w:val="auto"/>
              </w:rPr>
            </w:pP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680" w:type="dxa"/>
            <w:vAlign w:val="bottom"/>
          </w:tcPr>
          <w:p>
            <w:pPr>
              <w:spacing w:after="0"/>
              <w:rPr>
                <w:sz w:val="21"/>
                <w:szCs w:val="21"/>
                <w:color w:val="auto"/>
              </w:rPr>
            </w:pPr>
          </w:p>
        </w:tc>
      </w:tr>
      <w:tr>
        <w:trPr>
          <w:trHeight w:val="223"/>
        </w:trPr>
        <w:tc>
          <w:tcPr>
            <w:tcW w:w="320" w:type="dxa"/>
            <w:vAlign w:val="bottom"/>
            <w:tcBorders>
              <w:right w:val="single" w:sz="8" w:color="auto"/>
            </w:tcBorders>
          </w:tcPr>
          <w:p>
            <w:pPr>
              <w:spacing w:after="0"/>
              <w:rPr>
                <w:sz w:val="19"/>
                <w:szCs w:val="19"/>
                <w:color w:val="auto"/>
              </w:rPr>
            </w:pPr>
          </w:p>
        </w:tc>
        <w:tc>
          <w:tcPr>
            <w:tcW w:w="2500" w:type="dxa"/>
            <w:vAlign w:val="bottom"/>
            <w:tcBorders>
              <w:bottom w:val="single" w:sz="8" w:color="auto"/>
              <w:right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14,003,245</w:t>
            </w:r>
          </w:p>
        </w:tc>
        <w:tc>
          <w:tcPr>
            <w:tcW w:w="2260" w:type="dxa"/>
            <w:vAlign w:val="bottom"/>
            <w:tcBorders>
              <w:bottom w:val="single" w:sz="8" w:color="auto"/>
              <w:right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194,858</w:t>
            </w:r>
          </w:p>
        </w:tc>
        <w:tc>
          <w:tcPr>
            <w:tcW w:w="2740" w:type="dxa"/>
            <w:vAlign w:val="bottom"/>
            <w:tcBorders>
              <w:bottom w:val="single" w:sz="8" w:color="auto"/>
              <w:right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15,063</w:t>
            </w:r>
          </w:p>
        </w:tc>
        <w:tc>
          <w:tcPr>
            <w:tcW w:w="2740" w:type="dxa"/>
            <w:vAlign w:val="bottom"/>
            <w:tcBorders>
              <w:bottom w:val="single" w:sz="8" w:color="auto"/>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1,364,758</w:t>
            </w:r>
          </w:p>
        </w:tc>
        <w:tc>
          <w:tcPr>
            <w:tcW w:w="680" w:type="dxa"/>
            <w:vAlign w:val="bottom"/>
          </w:tcPr>
          <w:p>
            <w:pPr>
              <w:spacing w:after="0"/>
              <w:rPr>
                <w:sz w:val="19"/>
                <w:szCs w:val="19"/>
                <w:color w:val="auto"/>
              </w:rPr>
            </w:pPr>
          </w:p>
        </w:tc>
      </w:tr>
      <w:tr>
        <w:trPr>
          <w:trHeight w:val="2228"/>
        </w:trPr>
        <w:tc>
          <w:tcPr>
            <w:tcW w:w="3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97"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44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VERSANT MEDIA GROUP, INC</w:t>
            </w:r>
          </w:p>
        </w:tc>
        <w:tc>
          <w:tcPr>
            <w:tcW w:w="0" w:type="dxa"/>
            <w:vAlign w:val="bottom"/>
          </w:tcPr>
          <w:p>
            <w:pPr>
              <w:spacing w:after="0"/>
              <w:rPr>
                <w:sz w:val="1"/>
                <w:szCs w:val="1"/>
                <w:color w:val="auto"/>
              </w:rPr>
            </w:pPr>
          </w:p>
        </w:tc>
      </w:tr>
      <w:tr>
        <w:trPr>
          <w:trHeight w:val="297"/>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3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June 26, 2026</w:t>
            </w:r>
          </w:p>
        </w:tc>
        <w:tc>
          <w:tcPr>
            <w:tcW w:w="2760" w:type="dxa"/>
            <w:vAlign w:val="bottom"/>
            <w:vMerge w:val="restart"/>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Jordan R. Fasbender</w:t>
            </w:r>
          </w:p>
        </w:tc>
        <w:tc>
          <w:tcPr>
            <w:tcW w:w="0" w:type="dxa"/>
            <w:vAlign w:val="bottom"/>
          </w:tcPr>
          <w:p>
            <w:pPr>
              <w:spacing w:after="0"/>
              <w:rPr>
                <w:sz w:val="1"/>
                <w:szCs w:val="1"/>
                <w:color w:val="auto"/>
              </w:rPr>
            </w:pPr>
          </w:p>
        </w:tc>
      </w:tr>
      <w:tr>
        <w:trPr>
          <w:trHeight w:val="86"/>
        </w:trPr>
        <w:tc>
          <w:tcPr>
            <w:tcW w:w="680" w:type="dxa"/>
            <w:vAlign w:val="bottom"/>
            <w:vMerge w:val="continue"/>
          </w:tcPr>
          <w:p>
            <w:pPr>
              <w:spacing w:after="0"/>
              <w:rPr>
                <w:sz w:val="7"/>
                <w:szCs w:val="7"/>
                <w:color w:val="auto"/>
              </w:rPr>
            </w:pPr>
          </w:p>
        </w:tc>
        <w:tc>
          <w:tcPr>
            <w:tcW w:w="310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46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6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7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Jordan R. Fasbender</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7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2026-06-26T17:12:45Z</dcterms:created>
  <dcterms:modified xsi:type="dcterms:W3CDTF">2026-06-26T17:12:45Z</dcterms:modified>
</cp:coreProperties>
</file>