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Wright Gregory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900 SYLVAN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Versant Media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VSNT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766" w:gutter="0" w:footer="0" w:header="0"/>
          <w:type w:val="continuous"/>
        </w:sectPr>
      </w:pPr>
    </w:p>
    <w:tbl>
      <w:tblPr>
        <w:tblLayout w:type="fixed"/>
        <w:tblInd w:w="80" w:type="dxa"/>
        <w:tblCellMar>
          <w:top w:w="0" w:type="dxa"/>
          <w:left w:w="0" w:type="dxa"/>
          <w:bottom w:w="0" w:type="dxa"/>
          <w:right w:w="0" w:type="dxa"/>
        </w:tblCellMar>
      </w:tblPr>
      <w:tr>
        <w:trPr>
          <w:trHeight w:val="42"/>
        </w:trPr>
        <w:tc>
          <w:tcPr>
            <w:tcW w:w="40" w:type="dxa"/>
            <w:vAlign w:val="bottom"/>
          </w:tcPr>
          <w:p>
            <w:pPr>
              <w:spacing w:after="0"/>
              <w:rPr>
                <w:sz w:val="3"/>
                <w:szCs w:val="3"/>
                <w:color w:val="auto"/>
              </w:rPr>
            </w:pPr>
          </w:p>
        </w:tc>
        <w:tc>
          <w:tcPr>
            <w:tcW w:w="116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600" w:type="dxa"/>
            <w:vAlign w:val="bottom"/>
            <w:shd w:val="clear" w:color="auto" w:fill="9A9A9A"/>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760" w:type="dxa"/>
            <w:vAlign w:val="bottom"/>
            <w:vMerge w:val="continue"/>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ENGLEWOOD</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07632</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FF"/>
              </w:rPr>
              <w:t>CLIFFS</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11,656</w:t>
            </w:r>
            <w:r>
              <w:rPr>
                <w:rFonts w:ascii="Times New Roman" w:cs="Times New Roman" w:eastAsia="Times New Roman" w:hAnsi="Times New Roman"/>
                <w:sz w:val="22"/>
                <w:szCs w:val="22"/>
                <w:color w:val="008000"/>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008000"/>
              </w:rPr>
              <w:t>(3)</w:t>
            </w:r>
          </w:p>
        </w:tc>
        <w:tc>
          <w:tcPr>
            <w:tcW w:w="14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11,671</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4,045</w:t>
            </w:r>
            <w:r>
              <w:rPr>
                <w:rFonts w:ascii="Times New Roman" w:cs="Times New Roman" w:eastAsia="Times New Roman" w:hAnsi="Times New Roman"/>
                <w:sz w:val="22"/>
                <w:szCs w:val="22"/>
                <w:color w:val="008000"/>
                <w:vertAlign w:val="superscript"/>
              </w:rPr>
              <w:t>(5)</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008000"/>
              </w:rPr>
              <w:t>(5)</w:t>
            </w:r>
          </w:p>
        </w:tc>
        <w:tc>
          <w:tcPr>
            <w:tcW w:w="14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15,716</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2026, Comcast Corporation ("Comcast") completed a pro-rata spinoff distribution ("Distribution") of all of its shares of Versant Media Group, Inc. ("Versant") Class A common stock, par value $0.01 per share ("Versant Class A Common Stock") and Versant Class B common stock, par value $0.01 per share ("Versant Class B Common Stock") to the holders of record of Comcast Class A common stock, par value $0.01 per share ("Comcast Class A Common Stock") and Comcast Class B common stock, par value $0.01 per share ("Comcast Class B Common Stock"), respectively, as of December 16, 2025, the record date for the Distribution ("Record Date").</w:t>
      </w:r>
    </w:p>
    <w:p>
      <w:pPr>
        <w:spacing w:after="0" w:line="24" w:lineRule="exact"/>
        <w:rPr>
          <w:rFonts w:ascii="Times New Roman" w:cs="Times New Roman" w:eastAsia="Times New Roman" w:hAnsi="Times New Roman"/>
          <w:sz w:val="13"/>
          <w:szCs w:val="13"/>
          <w:color w:val="008000"/>
        </w:rPr>
      </w:pPr>
    </w:p>
    <w:p>
      <w:pPr>
        <w:ind w:left="40" w:right="2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Distribution, pursuant to (i) the terms of the Employee Matters Agreement, dated as of January 2, 2026, by and between Comcast and Versant ("EMA") and (ii) the anti-dilution adjustment provisions under the Comcast 2002 Restricted Stock Plan and Comcast 2023 Omnibus Equity Incentive Plan, certain restricted stock units with respect to Comcast Class A Common Stock ("Comcast RSUs") were equitably adjusted and converted into restricted stock units with respect to Versant Class A Common Stock ("Versant RSUs"), based on (i) the volume weighted average price of Comcast Class A Common Stock (adjusted based on the Distribution ratio) and Versant Class A Common Stock, in each case for the five trading-day period following January 2, 2026 (such adjustment, the "Equity Award Conversion").</w:t>
      </w:r>
    </w:p>
    <w:p>
      <w:pPr>
        <w:spacing w:after="0" w:line="26"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Versant RSUs upon the conversion of certain Comcast RSUs held by the Reporting Person as of January 2, 2026 pursuant to the Equity Award Conversion. The Versant RSUs were granted pursuant to the Versant Omnibus Equity Incentive Plan ("Versant Plan") and are generally subject to the same terms and conditions as applicable to the corresponding Comcast RSUs.</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shares of Versant Class A Common Stock received by the Reporting Person in connection with the Distribution in respect of shares of Comcast Class A Common Stock held as of the Record Date.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a Versant RSU award ("Founder's Grant") under the Versant Plan to the Reporting Person on January 9, 2026. The Founder's Grant will vest in full on the third anniversary of the date of grant, subject to the Reporting Person's continued employment through such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6507"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2026-01-12T17:13:54Z</dcterms:created>
  <dcterms:modified xsi:type="dcterms:W3CDTF">2026-01-12T17:13:54Z</dcterms:modified>
</cp:coreProperties>
</file>