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6,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001-42856</w:t>
            </w:r>
          </w:p>
        </w:tc>
        <w:tc>
          <w:tcPr>
            <w:tcW w:w="39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234"/>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9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900 Sylvan Avenue</w:t>
            </w:r>
          </w:p>
        </w:tc>
        <w:tc>
          <w:tcPr>
            <w:tcW w:w="3940" w:type="dxa"/>
            <w:vAlign w:val="bottom"/>
          </w:tcPr>
          <w:p>
            <w:pPr>
              <w:spacing w:after="0"/>
              <w:rPr>
                <w:sz w:val="24"/>
                <w:szCs w:val="24"/>
                <w:color w:val="auto"/>
              </w:rPr>
            </w:pPr>
          </w:p>
        </w:tc>
      </w:tr>
      <w:tr>
        <w:trPr>
          <w:trHeight w:val="22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Englewood Cliffs, New Jersey</w:t>
            </w:r>
          </w:p>
        </w:tc>
        <w:tc>
          <w:tcPr>
            <w:tcW w:w="39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07632</w:t>
            </w:r>
          </w:p>
        </w:tc>
      </w:tr>
      <w:tr>
        <w:trPr>
          <w:trHeight w:val="234"/>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(201) 735-2622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VSNT</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6, 2026, the Board of Directors of Versant Media Group, Inc. (the “Company”) amended and restated the Amended and Restated Bylaws of the Company (as so amended and restated, the “Bylaws”) effective as of January 6, 2026, to provide that, in the case of the Company’s annual meeting of shareholders held in 2026, the notice period for shareholders to (x) bring matters before the annual meeting and (y) nominate persons for election as a director that are to be included in the Company’s proxy statement, in each case, is the period commencing on January 27, 2026 and ending on the close of business on February 17, 2026.</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amendment and restatement discussed above, if a shareholder intends to present a proposal or nominate a person for election at the Company’s 2026 annual meeting of shareholders pursuant to Section 2.09 of the Bylaws, or nominate persons for election as a director to be included in the Company’s proxy statement pursuant to Section 3.11 of the Bylaws, the Company’s Corporate Secretary must receive written notice in accordance with the Bylaws no earlier than January 27, 2026 and no later than the close of business on February 17, 2026 to be timely.</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description above is qualified in its entirety by the full text of the Bylaws, a copy of which is attached hereto as Exhibit 3.1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3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640" w:type="dxa"/>
            <w:vAlign w:val="bottom"/>
          </w:tcPr>
          <w:p>
            <w:pPr>
              <w:spacing w:after="0"/>
              <w:rPr>
                <w:sz w:val="17"/>
                <w:szCs w:val="17"/>
                <w:color w:val="auto"/>
              </w:rPr>
            </w:pPr>
          </w:p>
        </w:tc>
        <w:tc>
          <w:tcPr>
            <w:tcW w:w="10360" w:type="dxa"/>
            <w:vAlign w:val="bottom"/>
            <w:gridSpan w:val="4"/>
          </w:tcPr>
          <w:p>
            <w:pPr>
              <w:ind w:left="600"/>
              <w:spacing w:after="0" w:line="196" w:lineRule="exact"/>
              <w:rPr>
                <w:sz w:val="20"/>
                <w:szCs w:val="20"/>
                <w:color w:val="auto"/>
              </w:rPr>
            </w:pPr>
            <w:r>
              <w:rPr>
                <w:rFonts w:ascii="Times New Roman" w:cs="Times New Roman" w:eastAsia="Times New Roman" w:hAnsi="Times New Roman"/>
                <w:sz w:val="18"/>
                <w:szCs w:val="18"/>
                <w:color w:val="0000EE"/>
              </w:rPr>
              <w:t>Amended and Restated Bylaws of Versant Media Group, Inc.</w:t>
            </w:r>
          </w:p>
        </w:tc>
      </w:tr>
      <w:tr>
        <w:trPr>
          <w:trHeight w:val="20"/>
        </w:trPr>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3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83"/>
        </w:trPr>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680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VERSANT MEDIA GROUP, INC.</w:t>
            </w:r>
          </w:p>
        </w:tc>
        <w:tc>
          <w:tcPr>
            <w:tcW w:w="560" w:type="dxa"/>
            <w:vAlign w:val="bottom"/>
          </w:tcPr>
          <w:p>
            <w:pPr>
              <w:spacing w:after="0"/>
              <w:rPr>
                <w:sz w:val="20"/>
                <w:szCs w:val="20"/>
                <w:color w:val="auto"/>
              </w:rPr>
            </w:pPr>
          </w:p>
        </w:tc>
      </w:tr>
      <w:tr>
        <w:trPr>
          <w:trHeight w:val="6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2026</w:t>
            </w:r>
          </w:p>
        </w:tc>
        <w:tc>
          <w:tcPr>
            <w:tcW w:w="68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Anand Kini</w:t>
            </w:r>
          </w:p>
        </w:tc>
        <w:tc>
          <w:tcPr>
            <w:tcW w:w="56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Anand Kini</w:t>
            </w:r>
          </w:p>
        </w:tc>
        <w:tc>
          <w:tcPr>
            <w:tcW w:w="56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Chief Operating</w:t>
            </w:r>
          </w:p>
        </w:tc>
        <w:tc>
          <w:tcPr>
            <w:tcW w:w="56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w:t>
            </w:r>
          </w:p>
        </w:tc>
        <w:tc>
          <w:tcPr>
            <w:tcW w:w="560" w:type="dxa"/>
            <w:vAlign w:val="bottom"/>
          </w:tcPr>
          <w:p>
            <w:pPr>
              <w:spacing w:after="0"/>
              <w:rPr>
                <w:sz w:val="20"/>
                <w:szCs w:val="20"/>
                <w:color w:val="auto"/>
              </w:rPr>
            </w:pPr>
          </w:p>
        </w:tc>
      </w:tr>
      <w:tr>
        <w:trPr>
          <w:trHeight w:val="999"/>
        </w:trPr>
        <w:tc>
          <w:tcPr>
            <w:tcW w:w="3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ffices</w:t>
      </w:r>
    </w:p>
    <w:p>
      <w:pPr>
        <w:spacing w:after="0" w:line="203" w:lineRule="exact"/>
        <w:rPr>
          <w:sz w:val="20"/>
          <w:szCs w:val="20"/>
          <w:color w:val="auto"/>
        </w:rPr>
      </w:pPr>
    </w:p>
    <w:p>
      <w:pPr>
        <w:ind w:right="6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The registered office of Versant Media Group,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shall be located within the Commonwealth of Pennsylvania at such place as the Board of Directors (hereinafter referred to as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determine from time to time.</w:t>
      </w:r>
    </w:p>
    <w:p>
      <w:pPr>
        <w:spacing w:after="0" w:line="173"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Offices</w:t>
      </w:r>
      <w:r>
        <w:rPr>
          <w:rFonts w:ascii="Times New Roman" w:cs="Times New Roman" w:eastAsia="Times New Roman" w:hAnsi="Times New Roman"/>
          <w:sz w:val="18"/>
          <w:szCs w:val="18"/>
          <w:color w:val="auto"/>
        </w:rPr>
        <w:t>. The Corporation may also have offices at such other places, within or without the Commonwealth of Pennsylvania, as the Board of Directors may determine from time to time.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eetings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hareholders</w:t>
      </w:r>
    </w:p>
    <w:p>
      <w:pPr>
        <w:spacing w:after="0" w:line="20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 of Shareholders</w:t>
      </w:r>
      <w:r>
        <w:rPr>
          <w:rFonts w:ascii="Times New Roman" w:cs="Times New Roman" w:eastAsia="Times New Roman" w:hAnsi="Times New Roman"/>
          <w:sz w:val="18"/>
          <w:szCs w:val="18"/>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make appropriate motions and comment on the business of the meeting, the meeting need not be held at a particular geographic location.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Annual Meetings of Shareholders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850"/>
        <w:spacing w:after="0" w:line="261" w:lineRule="auto"/>
        <w:tabs>
          <w:tab w:leader="none" w:pos="13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and if such day is a Holiday, then such meeting shall be held on the next business day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300" w:firstLine="850"/>
        <w:spacing w:after="0" w:line="282" w:lineRule="auto"/>
        <w:tabs>
          <w:tab w:leader="none" w:pos="13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 of Shareholders</w:t>
      </w:r>
      <w:r>
        <w:rPr>
          <w:rFonts w:ascii="Times New Roman" w:cs="Times New Roman" w:eastAsia="Times New Roman" w:hAnsi="Times New Roman"/>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2.04 hereof.</w:t>
      </w:r>
    </w:p>
    <w:p>
      <w:pPr>
        <w:spacing w:after="0" w:line="17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Notices of Meetings of Shareholders</w:t>
      </w:r>
      <w:r>
        <w:rPr>
          <w:rFonts w:ascii="Times New Roman" w:cs="Times New Roman" w:eastAsia="Times New Roman" w:hAnsi="Times New Roman"/>
          <w:sz w:val="18"/>
          <w:szCs w:val="18"/>
          <w:color w:val="auto"/>
        </w:rPr>
        <w:t>. Notice complying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of these Bylaws of every meeting of the shareholders shall be given to each shareholder of record entitled to vote at the meeting at least: (a) 10 days prior to the day named for a meeting that will consider a transaction under Chapter 3 of Title 15 of the Pennsylvania Consolidated Statutes or Chapter 19 of the Pennsylvania Business Corporation Law of 1988, as amended (the “</w:t>
      </w:r>
      <w:r>
        <w:rPr>
          <w:rFonts w:ascii="Times New Roman" w:cs="Times New Roman" w:eastAsia="Times New Roman" w:hAnsi="Times New Roman"/>
          <w:sz w:val="18"/>
          <w:szCs w:val="18"/>
          <w:b w:val="1"/>
          <w:bCs w:val="1"/>
          <w:color w:val="auto"/>
        </w:rPr>
        <w:t>Pennsylvania BCL</w:t>
      </w:r>
      <w:r>
        <w:rPr>
          <w:rFonts w:ascii="Times New Roman" w:cs="Times New Roman" w:eastAsia="Times New Roman" w:hAnsi="Times New Roman"/>
          <w:sz w:val="18"/>
          <w:szCs w:val="18"/>
          <w:color w:val="auto"/>
        </w:rPr>
        <w:t>”) or (b) five days prior to the day named for the meeting in any other case.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Quorum of and Action by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510"/>
        <w:spacing w:after="0"/>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A meeting of shareholders duly called shall not be organized for the transaction of business unless a quorum is present as</w:t>
      </w:r>
    </w:p>
    <w:p>
      <w:pPr>
        <w:spacing w:after="0" w:line="29"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 least one of the matters to be considered. Except as provided in subsections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87" w:lineRule="exact"/>
        <w:rPr>
          <w:rFonts w:ascii="Times New Roman" w:cs="Times New Roman" w:eastAsia="Times New Roman" w:hAnsi="Times New Roman"/>
          <w:sz w:val="18"/>
          <w:szCs w:val="18"/>
          <w:color w:val="auto"/>
        </w:rPr>
      </w:pPr>
    </w:p>
    <w:p>
      <w:pPr>
        <w:ind w:right="120" w:firstLine="850"/>
        <w:spacing w:after="0" w:line="258" w:lineRule="auto"/>
        <w:tabs>
          <w:tab w:leader="none" w:pos="1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 by Shareholders</w:t>
      </w:r>
      <w:r>
        <w:rPr>
          <w:rFonts w:ascii="Times New Roman" w:cs="Times New Roman" w:eastAsia="Times New Roman" w:hAnsi="Times New Roman"/>
          <w:sz w:val="18"/>
          <w:szCs w:val="18"/>
          <w:color w:val="auto"/>
        </w:rPr>
        <w:t>. Except as otherwise specifically provided by law, all matters coming before a meeting of shareholders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may the required shareholder vote be reduced below that provided above.</w:t>
      </w:r>
    </w:p>
    <w:p>
      <w:pPr>
        <w:spacing w:after="0" w:line="183" w:lineRule="exact"/>
        <w:rPr>
          <w:rFonts w:ascii="Times New Roman" w:cs="Times New Roman" w:eastAsia="Times New Roman" w:hAnsi="Times New Roman"/>
          <w:sz w:val="18"/>
          <w:szCs w:val="18"/>
          <w:color w:val="auto"/>
        </w:rPr>
      </w:pPr>
    </w:p>
    <w:p>
      <w:pPr>
        <w:ind w:right="1080" w:firstLine="850"/>
        <w:spacing w:after="0" w:line="284" w:lineRule="auto"/>
        <w:tabs>
          <w:tab w:leader="none" w:pos="13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Quorum</w:t>
      </w:r>
      <w:r>
        <w:rPr>
          <w:rFonts w:ascii="Times New Roman" w:cs="Times New Roman" w:eastAsia="Times New Roman" w:hAnsi="Times New Roman"/>
          <w:sz w:val="18"/>
          <w:szCs w:val="18"/>
          <w:color w:val="auto"/>
        </w:rPr>
        <w:t>. The shareholders present at a duly organized meeting can continue to do business until adjournment,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the withdrawal of enough shareholders to leave less than a quorum.</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right="380" w:firstLine="850"/>
        <w:spacing w:after="0" w:line="267" w:lineRule="auto"/>
        <w:tabs>
          <w:tab w:leader="none" w:pos="13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of Directors at Adjourned Meetings</w:t>
      </w:r>
      <w:r>
        <w:rPr>
          <w:rFonts w:ascii="Times New Roman" w:cs="Times New Roman" w:eastAsia="Times New Roman" w:hAnsi="Times New Roman"/>
          <w:sz w:val="18"/>
          <w:szCs w:val="18"/>
          <w:color w:val="auto"/>
        </w:rPr>
        <w:t>. Those shareholders entitled to vote who attend a meeting at which Directors are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that has been previously adjourned for lack of a quorum with respect thereto, although less than a quorum as fixed in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nevertheless constitute a quorum for the purpose of electing Directors at such reconvened meeting.</w:t>
      </w:r>
    </w:p>
    <w:p>
      <w:pPr>
        <w:spacing w:after="0" w:line="173" w:lineRule="exact"/>
        <w:rPr>
          <w:rFonts w:ascii="Times New Roman" w:cs="Times New Roman" w:eastAsia="Times New Roman" w:hAnsi="Times New Roman"/>
          <w:sz w:val="18"/>
          <w:szCs w:val="18"/>
          <w:color w:val="auto"/>
        </w:rPr>
      </w:pPr>
    </w:p>
    <w:p>
      <w:pPr>
        <w:ind w:firstLine="850"/>
        <w:spacing w:after="0" w:line="258" w:lineRule="auto"/>
        <w:tabs>
          <w:tab w:leader="none" w:pos="13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 of Other Business at Adjourned Meetings</w:t>
      </w:r>
      <w:r>
        <w:rPr>
          <w:rFonts w:ascii="Times New Roman" w:cs="Times New Roman" w:eastAsia="Times New Roman" w:hAnsi="Times New Roman"/>
          <w:sz w:val="18"/>
          <w:szCs w:val="18"/>
          <w:color w:val="auto"/>
        </w:rPr>
        <w:t>. Those shareholders entitled to vote who attend a meeting at which a matter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election of Directors is to be acted upon, that has been previously adjourned for one or more periods aggregating at least 15 days because of an absence of a quorum with respect thereto, although less than a quorum as fixed in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850"/>
        <w:spacing w:after="0" w:line="284" w:lineRule="auto"/>
        <w:tabs>
          <w:tab w:leader="none" w:pos="13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Adjournments of any regular or special meeting of shareholders, including one at which Directors are to be elected,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taken for such periods as the shareholders present and entitled to vote shall direct.</w:t>
      </w:r>
    </w:p>
    <w:p>
      <w:pPr>
        <w:spacing w:after="0" w:line="156" w:lineRule="exact"/>
        <w:rPr>
          <w:rFonts w:ascii="Times New Roman" w:cs="Times New Roman" w:eastAsia="Times New Roman" w:hAnsi="Times New Roman"/>
          <w:sz w:val="18"/>
          <w:szCs w:val="18"/>
          <w:color w:val="auto"/>
        </w:rPr>
      </w:pPr>
    </w:p>
    <w:p>
      <w:pPr>
        <w:ind w:right="140" w:firstLine="850"/>
        <w:spacing w:after="0" w:line="278" w:lineRule="auto"/>
        <w:tabs>
          <w:tab w:leader="none" w:pos="136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Lack of Quorum</w:t>
      </w:r>
      <w:r>
        <w:rPr>
          <w:rFonts w:ascii="Times New Roman" w:cs="Times New Roman" w:eastAsia="Times New Roman" w:hAnsi="Times New Roman"/>
          <w:sz w:val="17"/>
          <w:szCs w:val="17"/>
          <w:color w:val="auto"/>
        </w:rPr>
        <w:t>. Without limiting the generality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2.06(c), if a meeting cannot be organized because a quorum has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attended, those shareholders present may, except as otherwise provided in the Pennsylvania BCL, adjourn the meeting to such time and place as they may</w:t>
      </w:r>
    </w:p>
    <w:p>
      <w:pPr>
        <w:spacing w:after="0" w:line="1"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determine. To the extent,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86" w:lineRule="exact"/>
        <w:rPr>
          <w:rFonts w:ascii="Times New Roman" w:cs="Times New Roman" w:eastAsia="Times New Roman" w:hAnsi="Times New Roman"/>
          <w:sz w:val="17"/>
          <w:szCs w:val="17"/>
          <w:color w:val="auto"/>
        </w:rPr>
      </w:pPr>
    </w:p>
    <w:p>
      <w:pPr>
        <w:ind w:right="320" w:firstLine="850"/>
        <w:spacing w:after="0" w:line="261" w:lineRule="auto"/>
        <w:tabs>
          <w:tab w:leader="none" w:pos="13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an Adjourned Meeting</w:t>
      </w:r>
      <w:r>
        <w:rPr>
          <w:rFonts w:ascii="Times New Roman" w:cs="Times New Roman" w:eastAsia="Times New Roman" w:hAnsi="Times New Roman"/>
          <w:sz w:val="18"/>
          <w:szCs w:val="18"/>
          <w:color w:val="auto"/>
        </w:rPr>
        <w:t>. When a meeting of shareholders is adjourned, it shall not be necessary to give any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Voting List, 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850"/>
        <w:spacing w:after="0" w:line="258" w:lineRule="auto"/>
        <w:tabs>
          <w:tab w:leader="none" w:pos="13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List</w:t>
      </w:r>
      <w:r>
        <w:rPr>
          <w:rFonts w:ascii="Times New Roman" w:cs="Times New Roman" w:eastAsia="Times New Roman" w:hAnsi="Times New Roman"/>
          <w:sz w:val="18"/>
          <w:szCs w:val="18"/>
          <w:color w:val="auto"/>
        </w:rPr>
        <w:t>. The officer or agent having charge of the transfer books for shares of the Corporation shall make a complete list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6" w:name="page7"/>
    <w:bookmarkEnd w:id="6"/>
    <w:p>
      <w:pPr>
        <w:ind w:right="40" w:firstLine="850"/>
        <w:spacing w:after="0" w:line="258" w:lineRule="auto"/>
        <w:tabs>
          <w:tab w:leader="none" w:pos="13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Voting</w:t>
      </w:r>
      <w:r>
        <w:rPr>
          <w:rFonts w:ascii="Times New Roman" w:cs="Times New Roman" w:eastAsia="Times New Roman" w:hAnsi="Times New Roman"/>
          <w:sz w:val="18"/>
          <w:szCs w:val="18"/>
          <w:color w:val="auto"/>
        </w:rPr>
        <w:t>. At the discretion of the presiding officer of a meeting of shareholders, (i) in elections for Directors voting need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w:t>
      </w: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2.05(b), voting need not be by ballot but may be taken by voice, show of hands or such other method determined by the presiding officer to the fullest extent permitted by applicable law (including the Pennsylvania BCL).</w:t>
      </w:r>
    </w:p>
    <w:p>
      <w:pPr>
        <w:spacing w:after="0" w:line="179" w:lineRule="exact"/>
        <w:rPr>
          <w:rFonts w:ascii="Times New Roman" w:cs="Times New Roman" w:eastAsia="Times New Roman" w:hAnsi="Times New Roman"/>
          <w:sz w:val="18"/>
          <w:szCs w:val="18"/>
          <w:color w:val="auto"/>
        </w:rPr>
      </w:pPr>
    </w:p>
    <w:p>
      <w:pPr>
        <w:ind w:firstLine="850"/>
        <w:spacing w:after="0" w:line="254" w:lineRule="auto"/>
        <w:tabs>
          <w:tab w:leader="none" w:pos="13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Proxies</w:t>
      </w:r>
      <w:r>
        <w:rPr>
          <w:rFonts w:ascii="Times New Roman" w:cs="Times New Roman" w:eastAsia="Times New Roman" w:hAnsi="Times New Roman"/>
          <w:sz w:val="18"/>
          <w:szCs w:val="18"/>
          <w:color w:val="auto"/>
        </w:rPr>
        <w:t>. At all meetings of shareholders, shareholders entitled to vote may attend and vote either in person or by proxy. Every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88" w:lineRule="exact"/>
        <w:rPr>
          <w:rFonts w:ascii="Times New Roman" w:cs="Times New Roman" w:eastAsia="Times New Roman" w:hAnsi="Times New Roman"/>
          <w:sz w:val="18"/>
          <w:szCs w:val="18"/>
          <w:color w:val="auto"/>
        </w:rPr>
      </w:pPr>
    </w:p>
    <w:p>
      <w:pPr>
        <w:ind w:right="40" w:firstLine="850"/>
        <w:spacing w:after="0" w:line="254" w:lineRule="auto"/>
        <w:tabs>
          <w:tab w:leader="none" w:pos="13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Judges of Election</w:t>
      </w:r>
      <w:r>
        <w:rPr>
          <w:rFonts w:ascii="Times New Roman" w:cs="Times New Roman" w:eastAsia="Times New Roman" w:hAnsi="Times New Roman"/>
          <w:sz w:val="18"/>
          <w:szCs w:val="18"/>
          <w:color w:val="auto"/>
        </w:rPr>
        <w:t>. In advance of any meeting of shareholders of the Corporation, the Board of Directors may appoint one or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otherwise,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2.07(d) may be modified only by a Bylaw amendment adopted by the shareholders.</w:t>
      </w:r>
    </w:p>
    <w:p>
      <w:pPr>
        <w:spacing w:after="0" w:line="204" w:lineRule="exact"/>
        <w:rPr>
          <w:rFonts w:ascii="Times New Roman" w:cs="Times New Roman" w:eastAsia="Times New Roman" w:hAnsi="Times New Roman"/>
          <w:sz w:val="18"/>
          <w:szCs w:val="18"/>
          <w:color w:val="auto"/>
        </w:rPr>
      </w:pPr>
    </w:p>
    <w:p>
      <w:pPr>
        <w:ind w:firstLine="850"/>
        <w:spacing w:after="0" w:line="284" w:lineRule="auto"/>
        <w:tabs>
          <w:tab w:leader="none" w:pos="13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 by Written Consent in Lieu of a Meeting</w:t>
      </w:r>
      <w:r>
        <w:rPr>
          <w:rFonts w:ascii="Times New Roman" w:cs="Times New Roman" w:eastAsia="Times New Roman" w:hAnsi="Times New Roman"/>
          <w:sz w:val="18"/>
          <w:szCs w:val="18"/>
          <w:color w:val="auto"/>
        </w:rPr>
        <w:t>. Subject to Article NINTH of the Articles of Incorporation, the shareholders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permitted to act by written consent in lieu of a meeting.</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7" w:name="page8"/>
    <w:bookmarkEnd w:id="7"/>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Participation in Meetings by Electronic Means</w:t>
      </w:r>
      <w:r>
        <w:rPr>
          <w:rFonts w:ascii="Times New Roman" w:cs="Times New Roman" w:eastAsia="Times New Roman" w:hAnsi="Times New Roman"/>
          <w:sz w:val="18"/>
          <w:szCs w:val="18"/>
          <w:color w:val="auto"/>
        </w:rPr>
        <w:t xml:space="preserve">. The Board of Directors may permit, by resolution with respect to a </w:t>
      </w:r>
      <w:r>
        <w:rPr>
          <w:rFonts w:ascii="Times New Roman" w:cs="Times New Roman" w:eastAsia="Times New Roman" w:hAnsi="Times New Roman"/>
          <w:sz w:val="18"/>
          <w:szCs w:val="18"/>
          <w:i w:val="1"/>
          <w:iCs w:val="1"/>
          <w:color w:val="auto"/>
        </w:rPr>
        <w:t>particular</w:t>
      </w:r>
      <w:r>
        <w:rPr>
          <w:rFonts w:ascii="Times New Roman" w:cs="Times New Roman" w:eastAsia="Times New Roman" w:hAnsi="Times New Roman"/>
          <w:sz w:val="18"/>
          <w:szCs w:val="18"/>
          <w:color w:val="auto"/>
        </w:rPr>
        <w:t xml:space="preserve">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Notice of Shareholder Nominations and Other Business at Meetings of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510"/>
        <w:spacing w:after="0"/>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firstLine="968"/>
        <w:spacing w:after="0" w:line="268" w:lineRule="auto"/>
        <w:tabs>
          <w:tab w:leader="none" w:pos="211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and the proposal of business other than nominations, may be brought before any annual meeting of the shareholders only: (A) if it shall have been specified in the written notice of the meeting (or any supplement thereto) given by the Corporation; or (B) by or at the direction of the Board of Directors; or (C) by the presiding officer of the meeting unless a majority of the Directors then in office object to such business being conducted at the meeting; or (D) if it shall have been specified in a written notice delivered to the Secretary of the Corporation (the “</w:t>
      </w:r>
      <w:r>
        <w:rPr>
          <w:rFonts w:ascii="Times New Roman" w:cs="Times New Roman" w:eastAsia="Times New Roman" w:hAnsi="Times New Roman"/>
          <w:sz w:val="17"/>
          <w:szCs w:val="17"/>
          <w:b w:val="1"/>
          <w:bCs w:val="1"/>
          <w:color w:val="auto"/>
        </w:rPr>
        <w:t>Shareholder Notice</w:t>
      </w:r>
      <w:r>
        <w:rPr>
          <w:rFonts w:ascii="Times New Roman" w:cs="Times New Roman" w:eastAsia="Times New Roman" w:hAnsi="Times New Roman"/>
          <w:sz w:val="17"/>
          <w:szCs w:val="17"/>
          <w:color w:val="auto"/>
        </w:rPr>
        <w:t>”) by or on behalf of any shareholder who shall have been a shareholder of record at the time the Shareholder Notice is delivered to the Secretary and on the record date for determination of shareholders entitled to vote at such meeting and who shall continue to be entitled to vote thereat on the date of the meeting, and who complies with the notice</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procedures and other requirements set forth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2.09; or (E) by way of proxy access in accordance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For the avoidance</w:t>
      </w:r>
    </w:p>
    <w:p>
      <w:pPr>
        <w:spacing w:after="0" w:line="20"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doubt, clauses (D)</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and (E)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of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2.09(a)(i) shall be the exclusive means for a shareholder to make Director nominations and clause (D)</w:t>
      </w:r>
      <w:r>
        <w:rPr>
          <w:rFonts w:ascii="Times New Roman" w:cs="Times New Roman" w:eastAsia="Times New Roman" w:hAnsi="Times New Roman"/>
          <w:sz w:val="17"/>
          <w:szCs w:val="17"/>
          <w:b w:val="1"/>
          <w:bCs w:val="1"/>
          <w:i w:val="1"/>
          <w:iCs w:val="1"/>
          <w:color w:val="auto"/>
        </w:rPr>
        <w:t>‎</w:t>
      </w:r>
    </w:p>
    <w:p>
      <w:pPr>
        <w:spacing w:after="0" w:line="20" w:lineRule="exact"/>
        <w:rPr>
          <w:rFonts w:ascii="Times New Roman" w:cs="Times New Roman" w:eastAsia="Times New Roman" w:hAnsi="Times New Roman"/>
          <w:sz w:val="17"/>
          <w:szCs w:val="17"/>
          <w:color w:val="auto"/>
        </w:rPr>
      </w:pPr>
    </w:p>
    <w:p>
      <w:pPr>
        <w:ind w:left="660" w:right="6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2.09(a)(i) shall be the exclusive means for a shareholder to propose other business (other than a proposal included in the Corporation’s proxy statement pursuant to and in compliance with Rule 14a-8 promulgated under the Securities Exchange Act of 1934, as amended, or any successor provision thereto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at an annual meeting of shareholders.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8" w:name="page9"/>
    <w:bookmarkEnd w:id="8"/>
    <w:p>
      <w:pPr>
        <w:ind w:firstLine="968"/>
        <w:spacing w:after="0" w:line="268" w:lineRule="auto"/>
        <w:tabs>
          <w:tab w:leader="none" w:pos="150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nominations or other business to be properly brought before an annual meeting by a shareholder pursuant to clause (D)</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of Section 2.09(a)(i), the shareholder must have given a timely Shareholder Notice and, in the case of business other than nominations, such business must be a proper subject for shareholder action. To be timely, each Shareholder Notice must be delivered to and received (and include all information required by these Bylaws) by the Secretary of the Corporation at the principal executive offices of the Corporation: (A) in the case of the Corporation’s annual meeting of shareholders held in 2026, during the period commencing on January 27, 2026 and ending on the “</w:t>
      </w:r>
      <w:r>
        <w:rPr>
          <w:rFonts w:ascii="Times New Roman" w:cs="Times New Roman" w:eastAsia="Times New Roman" w:hAnsi="Times New Roman"/>
          <w:sz w:val="17"/>
          <w:szCs w:val="17"/>
          <w:b w:val="1"/>
          <w:bCs w:val="1"/>
          <w:color w:val="auto"/>
        </w:rPr>
        <w:t>Close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(as defined in Section 2.09(d)(ii)) on February 17, 2026, (B) in the case of any other annual meeting of shareholders that is called for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that is within 30 days before or after the anniversary date of the immediately preceding annual meeting of shareholders, by the Close of Business not less than 90 days, and not more than 120 days, prior to such anniversary date; and (C) in the case of any other annual meeting of shareholders that is called for a date that is not within 30 days before or after the anniversary date of the immediately preceding annual meeting (or</w:t>
      </w:r>
    </w:p>
    <w:p>
      <w:pPr>
        <w:spacing w:after="0" w:line="187" w:lineRule="auto"/>
        <w:rPr>
          <w:sz w:val="20"/>
          <w:szCs w:val="20"/>
          <w:color w:val="auto"/>
        </w:rPr>
      </w:pPr>
      <w:r>
        <w:rPr>
          <w:rFonts w:ascii="Times New Roman" w:cs="Times New Roman" w:eastAsia="Times New Roman" w:hAnsi="Times New Roman"/>
          <w:sz w:val="18"/>
          <w:szCs w:val="18"/>
          <w:color w:val="auto"/>
        </w:rPr>
        <w:t>if no annual meeting was held in the preceding year), not later than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w:t>
      </w:r>
      <w:r>
        <w:rPr>
          <w:rFonts w:ascii="Times New Roman" w:cs="Times New Roman" w:eastAsia="Times New Roman" w:hAnsi="Times New Roman"/>
          <w:sz w:val="18"/>
          <w:szCs w:val="18"/>
          <w:b w:val="1"/>
          <w:bCs w:val="1"/>
          <w:color w:val="auto"/>
        </w:rPr>
        <w:t>Public</w:t>
      </w:r>
    </w:p>
    <w:p>
      <w:pPr>
        <w:ind w:right="60"/>
        <w:spacing w:after="0" w:line="251" w:lineRule="auto"/>
        <w:rPr>
          <w:sz w:val="20"/>
          <w:szCs w:val="20"/>
          <w:color w:val="auto"/>
        </w:rPr>
      </w:pP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(as defined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2.09(d)(ii)) of the date of the meeting is first made by the Corporation. In no event shall the recess,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adjournment or postponement of an annual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2.09(a). The number of nominees a shareholder may nominate for election at the annual meeting (or in the case of a shareholder giving the Shareholder Notice on behalf of a beneficial owner, the number of nominees a shareholder may nominate for election at the annual meeting on behalf of the beneficial owner) shall not exceed the number of Directors to be elected at such annual meeting.</w:t>
      </w:r>
    </w:p>
    <w:p>
      <w:pPr>
        <w:spacing w:after="0" w:line="193" w:lineRule="exact"/>
        <w:rPr>
          <w:sz w:val="20"/>
          <w:szCs w:val="20"/>
          <w:color w:val="auto"/>
        </w:rPr>
      </w:pPr>
    </w:p>
    <w:p>
      <w:pPr>
        <w:ind w:left="1560" w:hanging="592"/>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Shareholder Notice must set forth:</w:t>
      </w:r>
    </w:p>
    <w:p>
      <w:pPr>
        <w:spacing w:after="0" w:line="225" w:lineRule="exact"/>
        <w:rPr>
          <w:rFonts w:ascii="Times New Roman" w:cs="Times New Roman" w:eastAsia="Times New Roman" w:hAnsi="Times New Roman"/>
          <w:sz w:val="18"/>
          <w:szCs w:val="18"/>
          <w:color w:val="auto"/>
        </w:rPr>
      </w:pPr>
    </w:p>
    <w:p>
      <w:pPr>
        <w:jc w:val="both"/>
        <w:ind w:left="700" w:right="200" w:firstLine="1046"/>
        <w:spacing w:after="0" w:line="257" w:lineRule="auto"/>
        <w:tabs>
          <w:tab w:leader="none" w:pos="23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shareholder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w:t>
      </w:r>
    </w:p>
    <w:p>
      <w:pPr>
        <w:spacing w:after="0" w:line="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submitted pursuant to Section‎ 3.10, including all fully completed and signed Questionnaires described in</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3.10(a)(ii);</w:t>
      </w:r>
    </w:p>
    <w:p>
      <w:pPr>
        <w:spacing w:after="0" w:line="206" w:lineRule="exact"/>
        <w:rPr>
          <w:rFonts w:ascii="Times New Roman" w:cs="Times New Roman" w:eastAsia="Times New Roman" w:hAnsi="Times New Roman"/>
          <w:sz w:val="18"/>
          <w:szCs w:val="18"/>
          <w:color w:val="auto"/>
        </w:rPr>
      </w:pPr>
    </w:p>
    <w:p>
      <w:pPr>
        <w:ind w:left="700" w:right="40" w:firstLine="1046"/>
        <w:spacing w:after="0" w:line="254" w:lineRule="auto"/>
        <w:tabs>
          <w:tab w:leader="none" w:pos="2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 description of any substantial interest (within the meaning of Item 5 of Schedule 14A under the Exchange Act) in such business of such shareholder and the Shareholder Associated Person (as defined in</w:t>
      </w:r>
    </w:p>
    <w:p>
      <w:pPr>
        <w:spacing w:after="0" w:line="3" w:lineRule="exact"/>
        <w:rPr>
          <w:rFonts w:ascii="Times New Roman" w:cs="Times New Roman" w:eastAsia="Times New Roman" w:hAnsi="Times New Roman"/>
          <w:sz w:val="18"/>
          <w:szCs w:val="18"/>
          <w:color w:val="auto"/>
        </w:rPr>
      </w:pPr>
    </w:p>
    <w:p>
      <w:pPr>
        <w:jc w:val="both"/>
        <w:ind w:left="7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2.09(d)(i)), if any, on whose behalf the proposal is made and all other information relating to such proposed business that would be required to be disclosed in a proxy statement or other filing required to be made by the shareholder in connection with the solicitation of proxies in support of such proposed business pursuant to Regulation 14A under the Exchange Act;</w:t>
      </w:r>
    </w:p>
    <w:p>
      <w:pPr>
        <w:spacing w:after="0" w:line="29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9" w:name="page10"/>
    <w:bookmarkEnd w:id="9"/>
    <w:p>
      <w:pPr>
        <w:ind w:left="240" w:right="460" w:firstLine="1046"/>
        <w:spacing w:after="0" w:line="282" w:lineRule="auto"/>
        <w:tabs>
          <w:tab w:leader="none" w:pos="18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shareholder giving the Shareholder Notice and the Shareholder Associated Person, if any, on whose behalf the nomination is made or the other business is proposed:</w:t>
      </w:r>
    </w:p>
    <w:p>
      <w:pPr>
        <w:spacing w:after="0" w:line="161" w:lineRule="exact"/>
        <w:rPr>
          <w:rFonts w:ascii="Times New Roman" w:cs="Times New Roman" w:eastAsia="Times New Roman" w:hAnsi="Times New Roman"/>
          <w:sz w:val="18"/>
          <w:szCs w:val="18"/>
          <w:color w:val="auto"/>
        </w:rPr>
      </w:pPr>
    </w:p>
    <w:p>
      <w:pPr>
        <w:ind w:left="960" w:firstLine="1168"/>
        <w:spacing w:after="0" w:line="282" w:lineRule="auto"/>
        <w:tabs>
          <w:tab w:leader="none" w:pos="26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shareholder, as they appear on the Corporation’s books, and the name and address of any Shareholder Associated Person;</w:t>
      </w:r>
    </w:p>
    <w:p>
      <w:pPr>
        <w:spacing w:after="0" w:line="161" w:lineRule="exact"/>
        <w:rPr>
          <w:rFonts w:ascii="Times New Roman" w:cs="Times New Roman" w:eastAsia="Times New Roman" w:hAnsi="Times New Roman"/>
          <w:sz w:val="18"/>
          <w:szCs w:val="18"/>
          <w:color w:val="auto"/>
        </w:rPr>
      </w:pPr>
    </w:p>
    <w:p>
      <w:pPr>
        <w:ind w:left="960" w:right="40" w:firstLine="1168"/>
        <w:spacing w:after="0" w:line="266" w:lineRule="auto"/>
        <w:tabs>
          <w:tab w:leader="none" w:pos="26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owned of record by such shareholder or any Shareholder Associated Person as of the date of the Shareholder Notice, the dates such shares of stock of the Corporation were acquired and the investment intent at the time of such acquisition;</w:t>
      </w:r>
    </w:p>
    <w:p>
      <w:pPr>
        <w:spacing w:after="0" w:line="171" w:lineRule="exact"/>
        <w:rPr>
          <w:rFonts w:ascii="Times New Roman" w:cs="Times New Roman" w:eastAsia="Times New Roman" w:hAnsi="Times New Roman"/>
          <w:sz w:val="18"/>
          <w:szCs w:val="18"/>
          <w:color w:val="auto"/>
        </w:rPr>
      </w:pPr>
    </w:p>
    <w:p>
      <w:pPr>
        <w:ind w:left="2660" w:hanging="532"/>
        <w:spacing w:after="0"/>
        <w:tabs>
          <w:tab w:leader="none" w:pos="2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(or a “</w:t>
      </w:r>
      <w:r>
        <w:rPr>
          <w:rFonts w:ascii="Times New Roman" w:cs="Times New Roman" w:eastAsia="Times New Roman" w:hAnsi="Times New Roman"/>
          <w:sz w:val="18"/>
          <w:szCs w:val="18"/>
          <w:b w:val="1"/>
          <w:bCs w:val="1"/>
          <w:color w:val="auto"/>
        </w:rPr>
        <w:t>Qualified Representative</w:t>
      </w:r>
      <w:r>
        <w:rPr>
          <w:rFonts w:ascii="Times New Roman" w:cs="Times New Roman" w:eastAsia="Times New Roman" w:hAnsi="Times New Roman"/>
          <w:sz w:val="18"/>
          <w:szCs w:val="18"/>
          <w:color w:val="auto"/>
        </w:rPr>
        <w:t>” thereof, as defined in Section</w:t>
      </w:r>
    </w:p>
    <w:p>
      <w:pPr>
        <w:spacing w:after="0" w:line="31" w:lineRule="exact"/>
        <w:rPr>
          <w:sz w:val="20"/>
          <w:szCs w:val="20"/>
          <w:color w:val="auto"/>
        </w:rPr>
      </w:pPr>
    </w:p>
    <w:p>
      <w:pPr>
        <w:ind w:left="960" w:right="100"/>
        <w:spacing w:after="0" w:line="260" w:lineRule="auto"/>
        <w:rPr>
          <w:sz w:val="20"/>
          <w:szCs w:val="20"/>
          <w:color w:val="auto"/>
        </w:rPr>
      </w:pPr>
      <w:r>
        <w:rPr>
          <w:rFonts w:ascii="Times New Roman" w:cs="Times New Roman" w:eastAsia="Times New Roman" w:hAnsi="Times New Roman"/>
          <w:sz w:val="18"/>
          <w:szCs w:val="18"/>
          <w:color w:val="auto"/>
        </w:rPr>
        <w:t>2.09(d)(iv)) intends to appear at the meeting to make the nomination or bring the business specified in the Shareholder Notice before the meeting;</w:t>
      </w:r>
    </w:p>
    <w:p>
      <w:pPr>
        <w:spacing w:after="0" w:line="177" w:lineRule="exact"/>
        <w:rPr>
          <w:sz w:val="20"/>
          <w:szCs w:val="20"/>
          <w:color w:val="auto"/>
        </w:rPr>
      </w:pPr>
    </w:p>
    <w:p>
      <w:pPr>
        <w:ind w:left="2660" w:hanging="532"/>
        <w:spacing w:after="0"/>
        <w:tabs>
          <w:tab w:leader="none" w:pos="2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the Corporation which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9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2.09(d)(iii)) by such shareholder or any Shareholder Associated Person as of the date of the Shareholder Notice;</w:t>
      </w:r>
    </w:p>
    <w:p>
      <w:pPr>
        <w:spacing w:after="0" w:line="181" w:lineRule="exact"/>
        <w:rPr>
          <w:rFonts w:ascii="Times New Roman" w:cs="Times New Roman" w:eastAsia="Times New Roman" w:hAnsi="Times New Roman"/>
          <w:sz w:val="18"/>
          <w:szCs w:val="18"/>
          <w:color w:val="auto"/>
        </w:rPr>
      </w:pPr>
    </w:p>
    <w:p>
      <w:pPr>
        <w:ind w:left="960" w:right="80" w:firstLine="1168"/>
        <w:spacing w:after="0" w:line="255" w:lineRule="auto"/>
        <w:tabs>
          <w:tab w:leader="none" w:pos="26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(x) purpose, plan or proposal which such shareholder or Shareholder Associated Person may have which relate to or would result in any action or matter that would be required to be disclosed pursuant to Item 4 of Exchange Act Schedule 13D (regardless of whether the requirement to file a Schedule 13D is applicable) and (y) any agreement, arrangement or understanding with respect to the nomination or other business between or among such shareholder or any Shareholder Associated Person and any other person (naming such person or persons), including, without limitation, any agreements that would be required to be disclosed pursuant to Item 5 or Item 6 of Exchange Act Schedule 13D (regardless of whether the requirement to file a Schedule 13D is applicable);</w:t>
      </w:r>
    </w:p>
    <w:p>
      <w:pPr>
        <w:spacing w:after="0" w:line="2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 w:name="page11"/>
    <w:bookmarkEnd w:id="10"/>
    <w:p>
      <w:pPr>
        <w:ind w:left="2660" w:hanging="532"/>
        <w:spacing w:after="0"/>
        <w:tabs>
          <w:tab w:leader="none" w:pos="2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(which description shall include, in addition to all other information,</w:t>
      </w:r>
    </w:p>
    <w:p>
      <w:pPr>
        <w:spacing w:after="0" w:line="27" w:lineRule="exact"/>
        <w:rPr>
          <w:rFonts w:ascii="Times New Roman" w:cs="Times New Roman" w:eastAsia="Times New Roman" w:hAnsi="Times New Roman"/>
          <w:sz w:val="18"/>
          <w:szCs w:val="18"/>
          <w:color w:val="auto"/>
        </w:rPr>
      </w:pPr>
    </w:p>
    <w:p>
      <w:pPr>
        <w:ind w:left="9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identifying all parties thereto) of any “</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(as defined in Section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2.09(d)(v)), all of which Derivative Instruments shall be disclosed without regard to whether (x) any such Derivative Instrument is required to be, or is capable of being, settled through delivery of shares of any class or series of capital stock of the Corporation or (y) such shareholder or Shareholder Associated Person may have entered into other transactions that hedge or mitigate the economic effect of such Derivative Instrument;</w:t>
      </w:r>
    </w:p>
    <w:p>
      <w:pPr>
        <w:spacing w:after="0" w:line="186" w:lineRule="exact"/>
        <w:rPr>
          <w:rFonts w:ascii="Times New Roman" w:cs="Times New Roman" w:eastAsia="Times New Roman" w:hAnsi="Times New Roman"/>
          <w:sz w:val="18"/>
          <w:szCs w:val="18"/>
          <w:color w:val="auto"/>
        </w:rPr>
      </w:pPr>
    </w:p>
    <w:p>
      <w:pPr>
        <w:ind w:left="960" w:firstLine="1168"/>
        <w:spacing w:after="0" w:line="253" w:lineRule="auto"/>
        <w:tabs>
          <w:tab w:leader="none" w:pos="2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or any Shareholder Associated Person or any other participant (as defined in Item 4 of Schedule 14A under the Exchange Act) will engage in a solicitation within the meaning of Rule 14a-1(l) under the Exchange Act (without reference to the exception in Section 14a- 1(l)(2)(iv)) with respect to the nomination or other business and, if so, whether or not such solicitation will be conducted as an exempt solicitation under Rule 14a-2(b) of the Exchange Act, the name of each participant in such solicitation, and (x) in the case of a proposal of business other than nominations, a representation as to whether such person or group intends to deliver, through means satisfying each of the conditions that would be applicable to the Corporation under either Exchange Act Rule 14a-16(a) or Exchange Act Rule 14a-16(n) a proxy statement and form of proxy to holders of at least the percentage of the Corporation’s voting shares required under applicable law to carry the proposal and/or (y) in the case of any solicitation that is subject to Rule 14a-19 of the Exchange Act, confirming that such person or group will engage in such solicitation in accordance with Rule 14a-19 under the Exchange Act;</w:t>
      </w:r>
    </w:p>
    <w:p>
      <w:pPr>
        <w:spacing w:after="0" w:line="191" w:lineRule="exact"/>
        <w:rPr>
          <w:rFonts w:ascii="Times New Roman" w:cs="Times New Roman" w:eastAsia="Times New Roman" w:hAnsi="Times New Roman"/>
          <w:sz w:val="18"/>
          <w:szCs w:val="18"/>
          <w:color w:val="auto"/>
        </w:rPr>
      </w:pPr>
    </w:p>
    <w:p>
      <w:pPr>
        <w:ind w:left="960" w:right="120" w:firstLine="1168"/>
        <w:spacing w:after="0" w:line="266" w:lineRule="auto"/>
        <w:tabs>
          <w:tab w:leader="none" w:pos="2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shareholder or any Shareholder Associated Person is directly or indirectly entitled to based on any increase or decrease in the value of shares of the Corporation or in Derivative Instruments, if any; and</w:t>
      </w:r>
    </w:p>
    <w:p>
      <w:pPr>
        <w:spacing w:after="0" w:line="175" w:lineRule="exact"/>
        <w:rPr>
          <w:rFonts w:ascii="Times New Roman" w:cs="Times New Roman" w:eastAsia="Times New Roman" w:hAnsi="Times New Roman"/>
          <w:sz w:val="18"/>
          <w:szCs w:val="18"/>
          <w:color w:val="auto"/>
        </w:rPr>
      </w:pPr>
    </w:p>
    <w:p>
      <w:pPr>
        <w:ind w:left="960" w:right="520" w:firstLine="1168"/>
        <w:spacing w:after="0" w:line="266" w:lineRule="auto"/>
        <w:tabs>
          <w:tab w:leader="none" w:pos="26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interests or Derivative Instruments in any principal competitor of the Corporation (as defined for the purposes of Section 8 of the Clayton Antitrust Act of 1914, as amended) held by or on behalf of such shareholder or Shareholder Associated Person;</w:t>
      </w:r>
    </w:p>
    <w:p>
      <w:pPr>
        <w:spacing w:after="0" w:line="2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11" w:name="page12"/>
    <w:bookmarkEnd w:id="11"/>
    <w:p>
      <w:pPr>
        <w:ind w:left="2320" w:hanging="574"/>
        <w:spacing w:after="0"/>
        <w:tabs>
          <w:tab w:leader="none" w:pos="2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immediately after soliciting the percentage of holders referred to in the representation</w:t>
      </w:r>
    </w:p>
    <w:p>
      <w:pPr>
        <w:spacing w:after="0" w:line="27" w:lineRule="exact"/>
        <w:rPr>
          <w:sz w:val="20"/>
          <w:szCs w:val="20"/>
          <w:color w:val="auto"/>
        </w:rPr>
      </w:pPr>
    </w:p>
    <w:p>
      <w:pPr>
        <w:ind w:left="700"/>
        <w:spacing w:after="0" w:line="231" w:lineRule="auto"/>
        <w:rPr>
          <w:sz w:val="20"/>
          <w:szCs w:val="20"/>
          <w:color w:val="auto"/>
        </w:rPr>
      </w:pPr>
      <w:r>
        <w:rPr>
          <w:rFonts w:ascii="Times New Roman" w:cs="Times New Roman" w:eastAsia="Times New Roman" w:hAnsi="Times New Roman"/>
          <w:sz w:val="18"/>
          <w:szCs w:val="18"/>
          <w:color w:val="auto"/>
        </w:rPr>
        <w:t>required under Section‎ 2.09(a)(iii)(C)(7) of these Bylaws, and in any event no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applicable meeting of shareholders, such shareholder will provide the Corporation with documents, which may take the form of a statement and documentation from a proxy solicitor, confirming that the necessary steps have been taken to deliver a proxy statement and form of proxy to holders of the percentage of the voting power of the Corporation’s stock entitled to vote generally in the election of Directors in accordance with Rule 14a-19 under the Exchange Act;</w:t>
      </w:r>
    </w:p>
    <w:p>
      <w:pPr>
        <w:spacing w:after="0" w:line="200" w:lineRule="exact"/>
        <w:rPr>
          <w:sz w:val="20"/>
          <w:szCs w:val="20"/>
          <w:color w:val="auto"/>
        </w:rPr>
      </w:pPr>
    </w:p>
    <w:p>
      <w:pPr>
        <w:ind w:left="700" w:right="100" w:firstLine="1046"/>
        <w:spacing w:after="0" w:line="261" w:lineRule="auto"/>
        <w:tabs>
          <w:tab w:leader="none" w:pos="22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shareholder giving the Shareholder Notice or any Shareholder Associated Person, or to each person whom the shareholder proposes to nominate for election or re-election as a Director, that would be required to be disclosed in a proxy statement or other filing required to be made in connection with the solicitation of proxies in support of such nominee pursuant to Section 14 of the Exchange Act; and</w:t>
      </w:r>
    </w:p>
    <w:p>
      <w:pPr>
        <w:spacing w:after="0" w:line="179" w:lineRule="exact"/>
        <w:rPr>
          <w:rFonts w:ascii="Times New Roman" w:cs="Times New Roman" w:eastAsia="Times New Roman" w:hAnsi="Times New Roman"/>
          <w:sz w:val="18"/>
          <w:szCs w:val="18"/>
          <w:color w:val="auto"/>
        </w:rPr>
      </w:pPr>
    </w:p>
    <w:p>
      <w:pPr>
        <w:ind w:left="700" w:right="220" w:firstLine="1046"/>
        <w:spacing w:after="0" w:line="282" w:lineRule="auto"/>
        <w:tabs>
          <w:tab w:leader="none" w:pos="22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the proposed nomination or other business as the Corporation may reasonably require to determine whether the nomination or other business proposed is a proper matter for shareholder action.</w:t>
      </w:r>
    </w:p>
    <w:p>
      <w:pPr>
        <w:spacing w:after="0" w:line="161" w:lineRule="exact"/>
        <w:rPr>
          <w:rFonts w:ascii="Times New Roman" w:cs="Times New Roman" w:eastAsia="Times New Roman" w:hAnsi="Times New Roman"/>
          <w:sz w:val="18"/>
          <w:szCs w:val="18"/>
          <w:color w:val="auto"/>
        </w:rPr>
      </w:pPr>
    </w:p>
    <w:p>
      <w:pPr>
        <w:ind w:right="20" w:firstLine="968"/>
        <w:spacing w:after="0" w:line="268" w:lineRule="auto"/>
        <w:tabs>
          <w:tab w:leader="none" w:pos="154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be considered timely, a Shareholder Notice shall further be updated and supplemented, if necessary, so that the information provided or required to be provided in such notice shall be true and correct as of the record date for the meeting and as of the date that is 10 days prior to the meeting or any adjournment or postponement thereof, and such update and supplement shall be delivered to the Secretary of the Corporation at the principal executive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 adjournment or</w:t>
      </w:r>
    </w:p>
    <w:p>
      <w:pPr>
        <w:spacing w:after="0" w:line="4" w:lineRule="exact"/>
        <w:rPr>
          <w:rFonts w:ascii="Times New Roman" w:cs="Times New Roman" w:eastAsia="Times New Roman" w:hAnsi="Times New Roman"/>
          <w:sz w:val="17"/>
          <w:szCs w:val="17"/>
          <w:color w:val="auto"/>
        </w:rPr>
      </w:pPr>
    </w:p>
    <w:p>
      <w:pPr>
        <w:ind w:right="1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postponement thereof. For the avoidance of doubt, the obligation to update and supplement as set forth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2.09(a)(iv) or any other Section of these Bylaws shall not limit the Corporation’s rights with respect to any deficiencies in any Shareholder Notice, extend any applicable deadlines under these Bylaws or enable or be deemed to permit a shareholder who has previously submitted a Shareholder Notice under these Bylaws to amend or update any proposal or to submit any new proposal, including by changing or adding nominees, matters, business and/or resolutions proposed to be brought before a meeting of shareholders.</w:t>
      </w:r>
    </w:p>
    <w:p>
      <w:pPr>
        <w:spacing w:after="0" w:line="2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2" w:name="page13"/>
    <w:bookmarkEnd w:id="12"/>
    <w:p>
      <w:pPr>
        <w:ind w:right="60" w:firstLine="850"/>
        <w:spacing w:after="0" w:line="256" w:lineRule="auto"/>
        <w:tabs>
          <w:tab w:leader="none" w:pos="13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Nominations of persons for election to the Board of Directors may be made at a special meeting of shareholders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Directors are to be elected pursuant to the Corporation’s notice of meeting: (i) by or at the direction of the Board of Directors; or (ii)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has determined that one or more Directors are to be elected at such meeting, by or on behalf of any shareholder who shall have been a shareholder of record at the time the Shareholder Notice is delivered to the Secretary and on the record date for such meeting, and who shall continue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vote thereat on the date of the meeting, and who complies with the notice procedures and other requirements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2.09(b).</w:t>
      </w:r>
    </w:p>
    <w:p>
      <w:pPr>
        <w:spacing w:after="0" w:line="9" w:lineRule="exact"/>
        <w:rPr>
          <w:rFonts w:ascii="Times New Roman" w:cs="Times New Roman" w:eastAsia="Times New Roman" w:hAnsi="Times New Roman"/>
          <w:sz w:val="18"/>
          <w:szCs w:val="18"/>
          <w:color w:val="auto"/>
        </w:rPr>
      </w:pPr>
    </w:p>
    <w:p>
      <w:pPr>
        <w:ind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the Shareholder Notice required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2.09(b) must comply with the notice procedures and information requirements set forth in Section 2.09(a)(iii) and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must be delivered to the Secretary of the Corporation at the principal executive offices of the Corporation by the Close of Business not more than 120 days prior to such special meeting and not later than the Close of Business on the later of 90 days prior to such special meeting</w:t>
      </w:r>
    </w:p>
    <w:p>
      <w:pPr>
        <w:spacing w:after="0" w:line="1"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7"/>
          <w:szCs w:val="17"/>
          <w:color w:val="auto"/>
        </w:rPr>
        <w:t>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special meeting and of the nominees proposed by the Board of Directors to be elected at such meeting is first made by the Corporation. Subject to compliance with the notice procedures and other requirements set forth</w:t>
      </w:r>
    </w:p>
    <w:p>
      <w:pPr>
        <w:ind w:right="40"/>
        <w:spacing w:after="0" w:line="253" w:lineRule="auto"/>
        <w:rPr>
          <w:sz w:val="20"/>
          <w:szCs w:val="20"/>
          <w:color w:val="auto"/>
        </w:rPr>
      </w:pPr>
      <w:r>
        <w:rPr>
          <w:rFonts w:ascii="Times New Roman" w:cs="Times New Roman" w:eastAsia="Times New Roman" w:hAnsi="Times New Roman"/>
          <w:sz w:val="18"/>
          <w:szCs w:val="18"/>
          <w:color w:val="auto"/>
        </w:rPr>
        <w:t>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2.09(b),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recess, adjournment or postponement of a special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2.09(b).</w:t>
      </w:r>
    </w:p>
    <w:p>
      <w:pPr>
        <w:spacing w:after="0" w:line="185" w:lineRule="exact"/>
        <w:rPr>
          <w:sz w:val="20"/>
          <w:szCs w:val="20"/>
          <w:color w:val="auto"/>
        </w:rPr>
      </w:pPr>
    </w:p>
    <w:p>
      <w:pPr>
        <w:ind w:left="1360" w:hanging="510"/>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as otherwise required by law, only such persons who are nominated in accordance with the procedures set forth in this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2.09 or, with respect to annual meetings only,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shall be eligible to be elected at any meeting of shareholders to serve as Directors and</w:t>
      </w:r>
    </w:p>
    <w:p>
      <w:pPr>
        <w:spacing w:after="0" w:line="9" w:lineRule="exact"/>
        <w:rPr>
          <w:rFonts w:ascii="Times New Roman" w:cs="Times New Roman" w:eastAsia="Times New Roman" w:hAnsi="Times New Roman"/>
          <w:sz w:val="18"/>
          <w:szCs w:val="18"/>
          <w:color w:val="auto"/>
        </w:rPr>
      </w:pPr>
    </w:p>
    <w:p>
      <w:pPr>
        <w:ind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other business as shall have been brought before the meeting in accordance with the procedures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shall be conducted at a meeting of shareholders. Notwithstanding any other provision of these Bylaws, a shareholder (and any Shareholder Associated Person), shall also comply with all applicable requirements of the Exchange Act and the rules and regulations thereunder with respect to the matters set forth in this Section</w:t>
      </w:r>
    </w:p>
    <w:p>
      <w:pPr>
        <w:spacing w:after="0" w:line="1" w:lineRule="exact"/>
        <w:rPr>
          <w:rFonts w:ascii="Times New Roman" w:cs="Times New Roman" w:eastAsia="Times New Roman" w:hAnsi="Times New Roman"/>
          <w:sz w:val="18"/>
          <w:szCs w:val="18"/>
          <w:color w:val="auto"/>
        </w:rPr>
      </w:pPr>
    </w:p>
    <w:p>
      <w:pPr>
        <w:ind w:right="4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2.09, and any failure to comply therewith shall be deemed a failure to comply with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references in these Bylaws to the Exchange Act or the rules and regulations promulgated thereunder are not intended to and shall not limit any requirements applicable to</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or proposals as to any other business to be considered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Except as otherwise provided by applicable law, each of the Board of Directors, a committee of the Board of Directors, any officer designated by the Board of Directors or a committee of the Board of Directors, or the presiding officer of the meeting shall have the power to determine whether a nomination or any other business proposed to be brought before the meeting was made or proposed, as the case may be, in accordance with the procedures set forth in these Bylaws, including, for the avoidance of doubt, whether the shareholder giving the Shareholder Notice seeking nomination and any Shareholder Associated Person has complied or failed to comply with the information and solicitation requirements set forth in these Bylaws and requirements of Rule 14a-19 under the Exchange Act and/or provided or failed to provide satisfactory documentation that such requirements had been met. If any proposed nomination or other business is not in compliance with these Bylaws, including due to failure to comply with requirements of Rule 14a-19 under the Exchange Act (or failure to timely provide documentation sufficient</w:t>
      </w:r>
    </w:p>
    <w:p>
      <w:pPr>
        <w:spacing w:after="0" w:line="3" w:lineRule="exact"/>
        <w:rPr>
          <w:rFonts w:ascii="Times New Roman" w:cs="Times New Roman" w:eastAsia="Times New Roman" w:hAnsi="Times New Roman"/>
          <w:sz w:val="18"/>
          <w:szCs w:val="18"/>
          <w:color w:val="auto"/>
        </w:rPr>
      </w:pPr>
    </w:p>
    <w:p>
      <w:pPr>
        <w:ind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the Corporation that such nomination complies with the requirements of Rule 14a-19 under the Exchange Act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2.09(a) (iii)(D)), then except as otherwise required by law, the presiding officer of the meeting shall declare that any such nomination shall be disregarded or such other business shall not be transacted, notwithstanding that votes and proxies in respect of such vote may have been received by the Corporation (which votes and proxies, if any, for the avoidance of doubt, shall also be disregarded). In furtherance and not by way of limitation of the foregoing provisions of</w:t>
      </w:r>
    </w:p>
    <w:p>
      <w:pPr>
        <w:spacing w:after="0" w:line="1" w:lineRule="exact"/>
        <w:rPr>
          <w:rFonts w:ascii="Times New Roman" w:cs="Times New Roman" w:eastAsia="Times New Roman" w:hAnsi="Times New Roman"/>
          <w:sz w:val="18"/>
          <w:szCs w:val="18"/>
          <w:color w:val="auto"/>
        </w:rPr>
      </w:pPr>
    </w:p>
    <w:p>
      <w:pPr>
        <w:ind w:right="1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2.09, unless otherwise required by law, or otherwise determined by the Board of Directors, a committee of the Board of Directors, any officer designated by the Board of Directors or a committee of the Board of Directors, or the presiding officer of the meeting, (i) if the shareholder does not</w:t>
      </w:r>
    </w:p>
    <w:p>
      <w:pPr>
        <w:ind w:righ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information required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2.09(a)(iv) or Section 3.10 to the Corporation within the time frames specified therein, or (ii) if the shareholder (or a Qualified Representative thereof) does not appear at the annual or special meeting of shareholders of the Corporation to present a nomination or other business, any such nomination shall be disregarded and such other business shall not be transacted, notwithstanding that votes and proxies in respect of such vote may have been received by the Corporation (which votes and proxies, if any, for the avoidance of doubt, shall also be disregarded).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 w:name="page14"/>
    <w:bookmarkEnd w:id="13"/>
    <w:p>
      <w:pPr>
        <w:ind w:left="724" w:hanging="530"/>
        <w:spacing w:after="0"/>
        <w:tabs>
          <w:tab w:leader="none" w:pos="7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right="140" w:firstLine="968"/>
        <w:spacing w:after="0" w:line="274" w:lineRule="auto"/>
        <w:tabs>
          <w:tab w:leader="none" w:pos="1461"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these Bylaws, a “</w:t>
      </w:r>
      <w:r>
        <w:rPr>
          <w:rFonts w:ascii="Times New Roman" w:cs="Times New Roman" w:eastAsia="Times New Roman" w:hAnsi="Times New Roman"/>
          <w:sz w:val="17"/>
          <w:szCs w:val="17"/>
          <w:b w:val="1"/>
          <w:bCs w:val="1"/>
          <w:color w:val="auto"/>
        </w:rPr>
        <w:t>Shareholder Associated Person</w:t>
      </w:r>
      <w:r>
        <w:rPr>
          <w:rFonts w:ascii="Times New Roman" w:cs="Times New Roman" w:eastAsia="Times New Roman" w:hAnsi="Times New Roman"/>
          <w:sz w:val="17"/>
          <w:szCs w:val="17"/>
          <w:color w:val="auto"/>
        </w:rPr>
        <w:t>” of any shareholder means: (A) any beneficial owner (as used herein, within the meaning of Section 13(d) of the Exchange Act) of shares of stock of the Corporation on whose behalf any proposal or nomination is made by such shareholder; (B) any affiliates or associates of such shareholder or any beneficial owner described in clause (A);</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and</w:t>
      </w:r>
    </w:p>
    <w:p>
      <w:pPr>
        <w:ind w:left="284" w:hanging="284"/>
        <w:spacing w:after="0"/>
        <w:tabs>
          <w:tab w:leader="none" w:pos="2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who controls such shareholder or any beneficial owner described in clause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4" w:firstLine="968"/>
        <w:spacing w:after="0" w:line="259" w:lineRule="auto"/>
        <w:tabs>
          <w:tab w:leader="none" w:pos="151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and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of these Bylaws, the “</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shall mean 6:00 p.m. local time at the principal executive offices of the Corporation on any calendar day, whether or not the day is a business day. A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a comparable national news service or in a document publicly filed by the Corporation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 14 or 15(d) of the Exchange Act.</w:t>
      </w:r>
    </w:p>
    <w:p>
      <w:pPr>
        <w:spacing w:after="0" w:line="179" w:lineRule="exact"/>
        <w:rPr>
          <w:rFonts w:ascii="Times New Roman" w:cs="Times New Roman" w:eastAsia="Times New Roman" w:hAnsi="Times New Roman"/>
          <w:sz w:val="18"/>
          <w:szCs w:val="18"/>
          <w:color w:val="auto"/>
        </w:rPr>
      </w:pPr>
    </w:p>
    <w:p>
      <w:pPr>
        <w:ind w:left="4" w:right="120" w:firstLine="968"/>
        <w:spacing w:after="0" w:line="257" w:lineRule="auto"/>
        <w:tabs>
          <w:tab w:leader="none" w:pos="156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2.09(a)(iii)(C) shares shall be treated as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by a person if the person (A) beneficially owns such shares, directly or indirectly, for purposes of Section 13(d) of the Exchange Act and Regulations 13D and 13G thereunder or (B) has or shares pursuant to any agreement, arrangement or understanding (whether or not in writing): (1) the right to acquire such shares (whether such right is exercisable immediately or only after the passage of any length of time whatsoever or the fulfillment of a condition or both); (2) the right to vote such shares, alone or in concert with others; and/or (3) investment power with respect to such shares, including the power to dispose of, or to direct the disposition of, such shares.</w:t>
      </w:r>
    </w:p>
    <w:p>
      <w:pPr>
        <w:spacing w:after="0" w:line="29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78" w:right="339" w:bottom="1440" w:gutter="0" w:footer="0" w:header="0"/>
        </w:sectPr>
      </w:pPr>
    </w:p>
    <w:bookmarkStart w:id="14" w:name="page15"/>
    <w:bookmarkEnd w:id="14"/>
    <w:p>
      <w:pPr>
        <w:ind w:left="660" w:right="200" w:firstLine="968"/>
        <w:spacing w:after="0" w:line="257" w:lineRule="auto"/>
        <w:tabs>
          <w:tab w:leader="none" w:pos="220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a “</w:t>
      </w:r>
      <w:r>
        <w:rPr>
          <w:rFonts w:ascii="Times New Roman" w:cs="Times New Roman" w:eastAsia="Times New Roman" w:hAnsi="Times New Roman"/>
          <w:sz w:val="18"/>
          <w:szCs w:val="18"/>
          <w:b w:val="1"/>
          <w:bCs w:val="1"/>
          <w:color w:val="auto"/>
        </w:rPr>
        <w:t>Qualified Representative</w:t>
      </w:r>
      <w:r>
        <w:rPr>
          <w:rFonts w:ascii="Times New Roman" w:cs="Times New Roman" w:eastAsia="Times New Roman" w:hAnsi="Times New Roman"/>
          <w:sz w:val="18"/>
          <w:szCs w:val="18"/>
          <w:color w:val="auto"/>
        </w:rPr>
        <w:t>” of a shareholder for purposes of these Bylaws, a person must be a duly authorized officer, manager or partner of such shareholder or authorized by a writing executed by such shareholder (or a reliable reproduction of the writing) or an electronic transmission delivered by such shareholder to the Corporation prior to the making of a nomination or proposal at a meeting of shareholders (and in any event no later than 24 hours before the meeting) stating that such person is authorized to act for such shareholder as proxy at the meeting of shareholders, which writing or electronic transmission (or a reliable reproduction of the writing or electronic transmission) must be produced by such person at the meeting of shareholders.</w:t>
      </w:r>
    </w:p>
    <w:p>
      <w:pPr>
        <w:spacing w:after="0" w:line="182" w:lineRule="exact"/>
        <w:rPr>
          <w:rFonts w:ascii="Times New Roman" w:cs="Times New Roman" w:eastAsia="Times New Roman" w:hAnsi="Times New Roman"/>
          <w:sz w:val="18"/>
          <w:szCs w:val="18"/>
          <w:color w:val="auto"/>
        </w:rPr>
      </w:pPr>
    </w:p>
    <w:p>
      <w:pPr>
        <w:ind w:left="660" w:firstLine="968"/>
        <w:spacing w:after="0" w:line="253" w:lineRule="auto"/>
        <w:tabs>
          <w:tab w:leader="none" w:pos="21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2.09, “</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means any agreement, arrangement, instrument, contract, right or understanding, whether written or oral (including, without limitation, and regardless of whether or not such agreement, arrangement, instrument, contract, right or understanding shall be subject to settlement in shares of the Corporation, through the delivery of cash or other property, or otherwise, any derivative, long or short positions, profit interests, forwards, futures, swaps, options, warrants, convertible securities, stock appreciation or similar rights, hedging or pledging transactions, voting rights, dividend rights, borrowed or loaned shares or similar right with an exercise or conversion privilege or a settlement payment or mechanism at a price related to any class or series of shares of the Corporation or otherwise), that has been entered into as of the date of the Shareholder Notice by, or on behalf of, such shareholder or any Shareholder Associated Person, the effect or intent of which is to transfer to or from any such shareholder or any Shareholder Associated Person, in whole or in part, any of the economic consequences of ownership of any security of the Corporation (including, without limitation, creating or mitigating loss to, managing risk from or benefiting from share price changes of), maintain, increase or decrease the voting power of the shareholder or any Shareholder Associated Person with respect to securities of the Corporation, or to otherwise benefit economically from, any increase or decrease in the value of any security of the Corporation.</w:t>
      </w:r>
    </w:p>
    <w:p>
      <w:pPr>
        <w:spacing w:after="0" w:line="189" w:lineRule="exact"/>
        <w:rPr>
          <w:rFonts w:ascii="Times New Roman" w:cs="Times New Roman" w:eastAsia="Times New Roman" w:hAnsi="Times New Roman"/>
          <w:sz w:val="18"/>
          <w:szCs w:val="18"/>
          <w:color w:val="auto"/>
        </w:rPr>
      </w:pPr>
    </w:p>
    <w:p>
      <w:pPr>
        <w:ind w:firstLine="850"/>
        <w:spacing w:after="0" w:line="252" w:lineRule="auto"/>
        <w:tabs>
          <w:tab w:leader="none" w:pos="13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shall not apply to a proposal proposed to be made by a shareholder if the shareholder has notified the Corporation of the shareholder’s intention to present the proposal at a meeting of shareholders only pursuant to and in compliance with Rule 14a-8 under the Exchange Act and such proposal has been included in a proxy statement that has been prepared by the Corporation to solicit proxies for such meeting. Notwithstanding anything in these Bylaws to the contrary, a proposal (other than a proposal included in the Corporation’s proxy statement pursuant to and in compliance with Rule 14a-8 under the Exchange Act) that (i) has the effect of implementing corporate action or (ii) requests that the Corporation or the Board of Directors pursue or consider corporate action or any related step for such corporate action, which in either case if implemented, would make any change in the preferences, limitations or rights of one or more outstanding classes or series of the Corporation’s capital stock adverse to such class or series, including without limitation by seeking to limit the rights of the holders of the Corporation’s Class B Common Stock to transfer, vote or otherwise exercise rights with respect to capital stock of the Corporation, which would require the consent of holders of one or more outstanding classes or series of the Corporation’s capital stock in order to effect such corporate action, may be made only (A) by or at the direction of the Board of Directors or (B) by a holder of record of the class or series of capital stock that would be adversely affected, or, if more than one class or series of capital stock would be adversely affected, jointly by at least one holder of record of each class or series of capital stock that would be adversely affected, in each case, who satisfies the</w:t>
      </w:r>
    </w:p>
    <w:p>
      <w:pPr>
        <w:spacing w:after="0" w:line="6" w:lineRule="exact"/>
        <w:rPr>
          <w:rFonts w:ascii="Times New Roman" w:cs="Times New Roman" w:eastAsia="Times New Roman" w:hAnsi="Times New Roman"/>
          <w:sz w:val="18"/>
          <w:szCs w:val="18"/>
          <w:color w:val="auto"/>
        </w:rPr>
      </w:pPr>
    </w:p>
    <w:p>
      <w:pPr>
        <w:ind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and requirements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shall be deemed to affect any rights of the holders of any series of Preferred Stock to elect Directors pursuant to any applicable provisions of the Articles of Incorporation (including any Preferred Stock designation).</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ind w:right="340" w:firstLine="850"/>
        <w:spacing w:after="0" w:line="282" w:lineRule="auto"/>
        <w:tabs>
          <w:tab w:leader="none" w:pos="13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directly or indirectly soliciting proxies from other shareholders must use a proxy card color other than white, which shall be reserved for the exclusive use for solicitation by the Board of Directors.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Conduct Of Meetings Of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850"/>
        <w:spacing w:after="0" w:line="261" w:lineRule="auto"/>
        <w:tabs>
          <w:tab w:leader="none" w:pos="13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Presiding Officer</w:t>
      </w:r>
      <w:r>
        <w:rPr>
          <w:rFonts w:ascii="Times New Roman" w:cs="Times New Roman" w:eastAsia="Times New Roman" w:hAnsi="Times New Roman"/>
          <w:sz w:val="18"/>
          <w:szCs w:val="18"/>
          <w:color w:val="auto"/>
        </w:rPr>
        <w:t>. There shall be a presiding officer at every meeting of the shareholders. Subject to Article SIXTH of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Incorporation, the presiding officer shall be an officer or director appointed by the Board of Directors or in the manner authorized by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presiding officer is not designated by the Board of Directors or in the manner authorized by the Board of Directors, the Chairman of the Board shall be the presiding officer.</w:t>
      </w:r>
    </w:p>
    <w:p>
      <w:pPr>
        <w:spacing w:after="0" w:line="179" w:lineRule="exact"/>
        <w:rPr>
          <w:rFonts w:ascii="Times New Roman" w:cs="Times New Roman" w:eastAsia="Times New Roman" w:hAnsi="Times New Roman"/>
          <w:sz w:val="18"/>
          <w:szCs w:val="18"/>
          <w:color w:val="auto"/>
        </w:rPr>
      </w:pPr>
    </w:p>
    <w:p>
      <w:pPr>
        <w:ind w:firstLine="850"/>
        <w:spacing w:after="0" w:line="270" w:lineRule="auto"/>
        <w:tabs>
          <w:tab w:leader="none" w:pos="136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Authority of Presiding Officer</w:t>
      </w:r>
      <w:r>
        <w:rPr>
          <w:rFonts w:ascii="Times New Roman" w:cs="Times New Roman" w:eastAsia="Times New Roman" w:hAnsi="Times New Roman"/>
          <w:sz w:val="17"/>
          <w:szCs w:val="17"/>
          <w:color w:val="auto"/>
        </w:rPr>
        <w:t>. Except as prescribed by the Board of Directors, the presiding officer shall determine the order of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shall have the authority to establish and enforce rules for the conduct of the meeting of the shareholders and the safety of those in attendance as, in the judgment of the presiding officer, are necessary, appropriate or convenient for the conduct of the meeting. The presiding officer, in addition to making any other determinations that may be appropriate to the conduct of the meeting, shall declare that a nomination or other business was not properly brought before the meeting if the facts warrant (including if a determination is made that a nomination or other business was not made or proposed, as the case may</w:t>
      </w:r>
    </w:p>
    <w:p>
      <w:pPr>
        <w:ind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of these Bylaws), and if such presiding officer should so declare, such nomination shall be disregarded or such other business shall not be transacted.</w:t>
      </w:r>
    </w:p>
    <w:p>
      <w:pPr>
        <w:spacing w:after="0" w:line="179" w:lineRule="exact"/>
        <w:rPr>
          <w:rFonts w:ascii="Times New Roman" w:cs="Times New Roman" w:eastAsia="Times New Roman" w:hAnsi="Times New Roman"/>
          <w:sz w:val="17"/>
          <w:szCs w:val="17"/>
          <w:color w:val="auto"/>
        </w:rPr>
      </w:pPr>
    </w:p>
    <w:p>
      <w:pPr>
        <w:ind w:right="40" w:firstLine="850"/>
        <w:spacing w:after="0" w:line="284" w:lineRule="auto"/>
        <w:tabs>
          <w:tab w:leader="none" w:pos="13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Standard</w:t>
      </w:r>
      <w:r>
        <w:rPr>
          <w:rFonts w:ascii="Times New Roman" w:cs="Times New Roman" w:eastAsia="Times New Roman" w:hAnsi="Times New Roman"/>
          <w:sz w:val="18"/>
          <w:szCs w:val="18"/>
          <w:color w:val="auto"/>
        </w:rPr>
        <w:t>. Any action by the presiding officer in adopting rules for, and in conducting, a meeting of the shareholders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to the shareholders. The conduct of the meeting need not follow Robert’s Rules of Order or any other published rules for the conduct of a meeting.</w:t>
      </w:r>
    </w:p>
    <w:p>
      <w:pPr>
        <w:spacing w:after="0" w:line="158" w:lineRule="exact"/>
        <w:rPr>
          <w:rFonts w:ascii="Times New Roman" w:cs="Times New Roman" w:eastAsia="Times New Roman" w:hAnsi="Times New Roman"/>
          <w:sz w:val="18"/>
          <w:szCs w:val="18"/>
          <w:color w:val="auto"/>
        </w:rPr>
      </w:pPr>
    </w:p>
    <w:p>
      <w:pPr>
        <w:ind w:right="120" w:firstLine="850"/>
        <w:spacing w:after="0" w:line="267" w:lineRule="auto"/>
        <w:tabs>
          <w:tab w:leader="none" w:pos="13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of the Polls</w:t>
      </w:r>
      <w:r>
        <w:rPr>
          <w:rFonts w:ascii="Times New Roman" w:cs="Times New Roman" w:eastAsia="Times New Roman" w:hAnsi="Times New Roman"/>
          <w:sz w:val="18"/>
          <w:szCs w:val="18"/>
          <w:color w:val="auto"/>
        </w:rPr>
        <w:t>. The presiding officer shall announce at the meeting of the shareholders when the polls close for each matter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If no announcement is made, the polls shall be deemed to have closed upon the final adjournment of the meeting. After the polls close, no ballots, proxies or votes, nor any revocations or changes thereto, may be accepted.</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50"/>
        <w:spacing w:after="0" w:line="315" w:lineRule="auto"/>
        <w:tabs>
          <w:tab w:leader="none" w:pos="13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 Powers</w:t>
      </w:r>
      <w:r>
        <w:rPr>
          <w:rFonts w:ascii="Times New Roman" w:cs="Times New Roman" w:eastAsia="Times New Roman" w:hAnsi="Times New Roman"/>
          <w:sz w:val="17"/>
          <w:szCs w:val="17"/>
          <w:color w:val="auto"/>
        </w:rPr>
        <w:t>. Except as otherwise provided by law, the Articles of Incorporation or these Bylaws, all powers of the Corporation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exercised by or under the authority of, and the business and affairs of the Corporation shall be managed under the direction of, the Board of Directors.</w:t>
      </w:r>
    </w:p>
    <w:p>
      <w:pPr>
        <w:spacing w:after="0" w:line="134" w:lineRule="exact"/>
        <w:rPr>
          <w:rFonts w:ascii="Times New Roman" w:cs="Times New Roman" w:eastAsia="Times New Roman" w:hAnsi="Times New Roman"/>
          <w:sz w:val="17"/>
          <w:szCs w:val="17"/>
          <w:color w:val="auto"/>
        </w:rPr>
      </w:pPr>
    </w:p>
    <w:p>
      <w:pPr>
        <w:ind w:left="1380" w:hanging="53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 The number of Directors shall be as determined by the Board of Directors from time to time.</w:t>
      </w:r>
    </w:p>
    <w:p>
      <w:pPr>
        <w:spacing w:after="0" w:line="225" w:lineRule="exact"/>
        <w:rPr>
          <w:rFonts w:ascii="Times New Roman" w:cs="Times New Roman" w:eastAsia="Times New Roman" w:hAnsi="Times New Roman"/>
          <w:sz w:val="18"/>
          <w:szCs w:val="18"/>
          <w:color w:val="auto"/>
        </w:rPr>
      </w:pPr>
    </w:p>
    <w:p>
      <w:pPr>
        <w:ind w:firstLine="850"/>
        <w:spacing w:after="0" w:line="258" w:lineRule="auto"/>
        <w:tabs>
          <w:tab w:leader="none" w:pos="13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Each Director shall hold office until the expiration of the term for which such person was selected and until such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83" w:lineRule="exact"/>
        <w:rPr>
          <w:rFonts w:ascii="Times New Roman" w:cs="Times New Roman" w:eastAsia="Times New Roman" w:hAnsi="Times New Roman"/>
          <w:sz w:val="18"/>
          <w:szCs w:val="18"/>
          <w:color w:val="auto"/>
        </w:rPr>
      </w:pPr>
    </w:p>
    <w:p>
      <w:pPr>
        <w:ind w:right="600" w:firstLine="850"/>
        <w:spacing w:after="0" w:line="284" w:lineRule="auto"/>
        <w:tabs>
          <w:tab w:leader="none" w:pos="13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The entire Board of Directors or any individual Director may be removed from office only for cause by the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entitled to elect directors.</w:t>
      </w:r>
    </w:p>
    <w:p>
      <w:pPr>
        <w:spacing w:after="0" w:line="158" w:lineRule="exact"/>
        <w:rPr>
          <w:rFonts w:ascii="Times New Roman" w:cs="Times New Roman" w:eastAsia="Times New Roman" w:hAnsi="Times New Roman"/>
          <w:sz w:val="18"/>
          <w:szCs w:val="18"/>
          <w:color w:val="auto"/>
        </w:rPr>
      </w:pPr>
    </w:p>
    <w:p>
      <w:pPr>
        <w:ind w:left="1360" w:hanging="510"/>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Qualification</w:t>
      </w:r>
      <w:r>
        <w:rPr>
          <w:rFonts w:ascii="Times New Roman" w:cs="Times New Roman" w:eastAsia="Times New Roman" w:hAnsi="Times New Roman"/>
          <w:sz w:val="18"/>
          <w:szCs w:val="18"/>
          <w:color w:val="auto"/>
        </w:rPr>
        <w:t>. A Director must be a natural person at least 18 years of age.</w:t>
      </w:r>
    </w:p>
    <w:p>
      <w:pPr>
        <w:spacing w:after="0" w:line="225"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Meetings of the Board of Directors may be held at such place within or without the Commonwealth of Pennsylvania as the Board of Directors may appoint from time to time or as may be designated in the notice of the meeting.</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A regular meeting of the Board of Directors shall be held at least annually at such place and time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7" w:name="page18"/>
    <w:bookmarkEnd w:id="17"/>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Participation in Meetings by Electronic Means</w:t>
      </w:r>
      <w:r>
        <w:rPr>
          <w:rFonts w:ascii="Times New Roman" w:cs="Times New Roman" w:eastAsia="Times New Roman" w:hAnsi="Times New Roman"/>
          <w:sz w:val="18"/>
          <w:szCs w:val="18"/>
          <w:color w:val="auto"/>
        </w:rPr>
        <w:t>.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Notices of Meetings of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510"/>
        <w:spacing w:after="0"/>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No notice shall be required to be given of any regular meeting, unless the same is held at other than the place, date 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for holding such meeting as fixed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3.03 of these Bylaws, in which event 48 hours’ notice shall be given of the place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of such meeting complying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of these Bylaws.</w:t>
      </w:r>
    </w:p>
    <w:p>
      <w:pPr>
        <w:spacing w:after="0" w:line="204"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Written notice stating the place, date and time of any special meeting of the Board of Directors shall be sufficient if</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at least 48 hours, as provided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 in advance of the date and time fixed for the meeting.</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Quorum; Action by the Board of Directors</w:t>
      </w:r>
      <w:r>
        <w:rPr>
          <w:rFonts w:ascii="Times New Roman" w:cs="Times New Roman" w:eastAsia="Times New Roman" w:hAnsi="Times New Roman"/>
          <w:sz w:val="18"/>
          <w:szCs w:val="18"/>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80" w:lineRule="exact"/>
        <w:rPr>
          <w:sz w:val="20"/>
          <w:szCs w:val="20"/>
          <w:color w:val="auto"/>
        </w:rPr>
      </w:pPr>
    </w:p>
    <w:p>
      <w:pPr>
        <w:ind w:right="120" w:firstLine="648"/>
        <w:spacing w:after="0" w:line="315" w:lineRule="auto"/>
        <w:rPr>
          <w:sz w:val="20"/>
          <w:szCs w:val="20"/>
          <w:color w:val="auto"/>
        </w:rPr>
      </w:pPr>
      <w:r>
        <w:rPr>
          <w:rFonts w:ascii="Times New Roman" w:cs="Times New Roman" w:eastAsia="Times New Roman" w:hAnsi="Times New Roman"/>
          <w:sz w:val="17"/>
          <w:szCs w:val="17"/>
          <w:color w:val="auto"/>
        </w:rPr>
        <w:t xml:space="preserve">Section 3.08. </w:t>
      </w:r>
      <w:r>
        <w:rPr>
          <w:rFonts w:ascii="Times New Roman" w:cs="Times New Roman" w:eastAsia="Times New Roman" w:hAnsi="Times New Roman"/>
          <w:sz w:val="17"/>
          <w:szCs w:val="17"/>
          <w:i w:val="1"/>
          <w:iCs w:val="1"/>
          <w:color w:val="auto"/>
        </w:rPr>
        <w:t>Informal Action by the Board of Directors</w:t>
      </w:r>
      <w:r>
        <w:rPr>
          <w:rFonts w:ascii="Times New Roman" w:cs="Times New Roman" w:eastAsia="Times New Roman" w:hAnsi="Times New Roman"/>
          <w:sz w:val="17"/>
          <w:szCs w:val="17"/>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850"/>
        <w:spacing w:after="0" w:line="261" w:lineRule="auto"/>
        <w:tabs>
          <w:tab w:leader="none" w:pos="13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Establishment and Powers</w:t>
      </w:r>
      <w:r>
        <w:rPr>
          <w:rFonts w:ascii="Times New Roman" w:cs="Times New Roman" w:eastAsia="Times New Roman" w:hAnsi="Times New Roman"/>
          <w:sz w:val="18"/>
          <w:szCs w:val="18"/>
          <w:color w:val="auto"/>
        </w:rPr>
        <w:t>. The Board of Directors of the Corporation may, by resolution adopted by a majority of the Directors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8" w:name="page19"/>
    <w:bookmarkEnd w:id="18"/>
    <w:p>
      <w:pPr>
        <w:ind w:left="2080" w:hanging="472"/>
        <w:spacing w:after="0"/>
        <w:tabs>
          <w:tab w:leader="none" w:pos="2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shareholders of any action requiring approval of shareholders under the Pennsylvania BCL.</w:t>
      </w:r>
    </w:p>
    <w:p>
      <w:pPr>
        <w:spacing w:after="0" w:line="225" w:lineRule="exact"/>
        <w:rPr>
          <w:rFonts w:ascii="Times New Roman" w:cs="Times New Roman" w:eastAsia="Times New Roman" w:hAnsi="Times New Roman"/>
          <w:sz w:val="18"/>
          <w:szCs w:val="18"/>
          <w:color w:val="auto"/>
        </w:rPr>
      </w:pPr>
    </w:p>
    <w:p>
      <w:pPr>
        <w:ind w:left="2140" w:hanging="532"/>
        <w:spacing w:after="0"/>
        <w:tabs>
          <w:tab w:leader="none" w:pos="2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filling of vacancies in the Board of Directors.</w:t>
      </w:r>
    </w:p>
    <w:p>
      <w:pPr>
        <w:spacing w:after="0" w:line="225" w:lineRule="exact"/>
        <w:rPr>
          <w:rFonts w:ascii="Times New Roman" w:cs="Times New Roman" w:eastAsia="Times New Roman" w:hAnsi="Times New Roman"/>
          <w:sz w:val="18"/>
          <w:szCs w:val="18"/>
          <w:color w:val="auto"/>
        </w:rPr>
      </w:pPr>
    </w:p>
    <w:p>
      <w:pPr>
        <w:ind w:left="2180" w:hanging="572"/>
        <w:spacing w:after="0"/>
        <w:tabs>
          <w:tab w:leader="none" w:pos="2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amendment or repeal of the Bylaws.</w:t>
      </w:r>
    </w:p>
    <w:p>
      <w:pPr>
        <w:spacing w:after="0" w:line="225" w:lineRule="exact"/>
        <w:rPr>
          <w:rFonts w:ascii="Times New Roman" w:cs="Times New Roman" w:eastAsia="Times New Roman" w:hAnsi="Times New Roman"/>
          <w:sz w:val="18"/>
          <w:szCs w:val="18"/>
          <w:color w:val="auto"/>
        </w:rPr>
      </w:pPr>
    </w:p>
    <w:p>
      <w:pPr>
        <w:ind w:left="2180" w:hanging="572"/>
        <w:spacing w:after="0"/>
        <w:tabs>
          <w:tab w:leader="none" w:pos="21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or repeal of any resolution of the Board of Directors that by its terms is amendable or repealable only by the</w:t>
      </w:r>
    </w:p>
    <w:p>
      <w:pPr>
        <w:spacing w:after="0" w:line="38"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Board of Directors.</w:t>
      </w:r>
    </w:p>
    <w:p>
      <w:pPr>
        <w:spacing w:after="0" w:line="206" w:lineRule="exact"/>
        <w:rPr>
          <w:rFonts w:ascii="Times New Roman" w:cs="Times New Roman" w:eastAsia="Times New Roman" w:hAnsi="Times New Roman"/>
          <w:sz w:val="17"/>
          <w:szCs w:val="17"/>
          <w:color w:val="auto"/>
        </w:rPr>
      </w:pPr>
    </w:p>
    <w:p>
      <w:pPr>
        <w:ind w:left="640" w:right="140" w:firstLine="968"/>
        <w:spacing w:after="0" w:line="282" w:lineRule="auto"/>
        <w:tabs>
          <w:tab w:leader="none" w:pos="212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on matters committed by the Articles of Incorporation, the Bylaws or resolution of the Board of Directors to another committee of the Board of Directors.</w:t>
      </w:r>
    </w:p>
    <w:p>
      <w:pPr>
        <w:spacing w:after="0" w:line="159" w:lineRule="exact"/>
        <w:rPr>
          <w:rFonts w:ascii="Times New Roman" w:cs="Times New Roman" w:eastAsia="Times New Roman" w:hAnsi="Times New Roman"/>
          <w:sz w:val="18"/>
          <w:szCs w:val="18"/>
          <w:color w:val="auto"/>
        </w:rPr>
      </w:pPr>
    </w:p>
    <w:p>
      <w:pPr>
        <w:ind w:left="-20" w:right="20" w:firstLine="850"/>
        <w:spacing w:after="0" w:line="258" w:lineRule="auto"/>
        <w:tabs>
          <w:tab w:leader="none" w:pos="13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Alternate Members</w:t>
      </w:r>
      <w:r>
        <w:rPr>
          <w:rFonts w:ascii="Times New Roman" w:cs="Times New Roman" w:eastAsia="Times New Roman" w:hAnsi="Times New Roman"/>
          <w:sz w:val="18"/>
          <w:szCs w:val="18"/>
          <w:color w:val="auto"/>
        </w:rPr>
        <w:t>. The Board of Directors may designate one or more Directors otherwise eligible to serve on a committee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3" w:lineRule="exact"/>
        <w:rPr>
          <w:rFonts w:ascii="Times New Roman" w:cs="Times New Roman" w:eastAsia="Times New Roman" w:hAnsi="Times New Roman"/>
          <w:sz w:val="18"/>
          <w:szCs w:val="18"/>
          <w:color w:val="auto"/>
        </w:rPr>
      </w:pPr>
    </w:p>
    <w:p>
      <w:pPr>
        <w:ind w:left="1340" w:hanging="510"/>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committee of the Board of Directors shall serve at the pleasure of the Board of Directors.</w:t>
      </w:r>
    </w:p>
    <w:p>
      <w:pPr>
        <w:spacing w:after="0" w:line="223" w:lineRule="exact"/>
        <w:rPr>
          <w:rFonts w:ascii="Times New Roman" w:cs="Times New Roman" w:eastAsia="Times New Roman" w:hAnsi="Times New Roman"/>
          <w:sz w:val="18"/>
          <w:szCs w:val="18"/>
          <w:color w:val="auto"/>
        </w:rPr>
      </w:pPr>
    </w:p>
    <w:p>
      <w:pPr>
        <w:ind w:left="-20" w:right="160" w:firstLine="850"/>
        <w:spacing w:after="0" w:line="259" w:lineRule="auto"/>
        <w:tabs>
          <w:tab w:leader="none" w:pos="13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Committee Action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when used in any provision of these Bylaws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Submission of Information by Director Nominees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160" w:firstLine="850"/>
        <w:spacing w:after="0" w:line="282" w:lineRule="auto"/>
        <w:tabs>
          <w:tab w:leader="none" w:pos="1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40" w:top="580" w:right="399" w:bottom="1440" w:gutter="0" w:footer="0" w:header="0"/>
        </w:sectPr>
      </w:pPr>
    </w:p>
    <w:bookmarkStart w:id="19" w:name="page20"/>
    <w:bookmarkEnd w:id="19"/>
    <w:p>
      <w:pPr>
        <w:ind w:left="660" w:right="60" w:firstLine="968"/>
        <w:spacing w:after="0" w:line="253" w:lineRule="auto"/>
        <w:tabs>
          <w:tab w:leader="none" w:pos="211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agreement, which shall be signed by such person and pursuant to which such person shall represent and agree that such person: (A) consents to serving as a Director if elected and to being named as a nominee in a proxy statement, form of proxy and ballot relating to the meeting at which Directors are to be elected, and currently intends to serve as a Director for the full term for which such person is standing for election; (B)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written request therefor); (C) understands his or her duties as a director under Pennsylvania law and agrees to act in accordance with those duties while serving as a Director; (D) is not and will not become a party to any agreement, arrangement or understanding with, and has not given any commitment or assurance to, any person or entity (other than the Corporation), with respect to any direct or indirect compensation, reimbursement or indemnification in connection with service or action as a nominee and as a Director of the Corporation if so elected that has not been disclosed to the Corporation; and (E) is not and will not become a party to any agreement, arrangement or understanding with, and has not given any commitment or assurance to, any person or entity, with respect to how such person, if elected, will vote or act on any issue that has not been disclosed to the Corporation or that could limit or interfere with such person’s ability to comply, if elected, with his or her fiduciary duties under applicable law; and</w:t>
      </w:r>
    </w:p>
    <w:p>
      <w:pPr>
        <w:spacing w:after="0" w:line="187" w:lineRule="exact"/>
        <w:rPr>
          <w:rFonts w:ascii="Times New Roman" w:cs="Times New Roman" w:eastAsia="Times New Roman" w:hAnsi="Times New Roman"/>
          <w:sz w:val="18"/>
          <w:szCs w:val="18"/>
          <w:color w:val="auto"/>
        </w:rPr>
      </w:pPr>
    </w:p>
    <w:p>
      <w:pPr>
        <w:ind w:left="660" w:right="80" w:firstLine="968"/>
        <w:spacing w:after="0" w:line="256" w:lineRule="auto"/>
        <w:tabs>
          <w:tab w:leader="none" w:pos="21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fully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Articles of Incorporation or these Bylaws, any applicable law, rule, regulation, order or decree to which the Corporation is subject, including rules or regulations of any stock exchange on which the Corporation’s shares of common stock are listed, and the Corporation’s corporate governance policies and guidelines) (all of the foregoing,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The Questionnaires will be promptly provided following a written request therefor.</w:t>
      </w:r>
    </w:p>
    <w:p>
      <w:pPr>
        <w:spacing w:after="0" w:line="187" w:lineRule="exact"/>
        <w:rPr>
          <w:rFonts w:ascii="Times New Roman" w:cs="Times New Roman" w:eastAsia="Times New Roman" w:hAnsi="Times New Roman"/>
          <w:sz w:val="18"/>
          <w:szCs w:val="18"/>
          <w:color w:val="auto"/>
        </w:rPr>
      </w:pPr>
    </w:p>
    <w:p>
      <w:pPr>
        <w:ind w:right="20" w:firstLine="850"/>
        <w:spacing w:after="0" w:line="256" w:lineRule="auto"/>
        <w:tabs>
          <w:tab w:leader="none" w:pos="13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 for election or re-election as a Director of the Corporation shall also provide to the Corporation such other information as it may reasonably request, which may be in the form of an interview with a nominee at the request of the Board of Directors. The Corporation may request such additional information as necessary to permit the Corporation to determine the eligibility of such person to serve as a Director, including information relevant to a determination of whether such person qualifies as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w:t>
      </w:r>
    </w:p>
    <w:p>
      <w:pPr>
        <w:spacing w:after="0" w:line="183" w:lineRule="exact"/>
        <w:rPr>
          <w:rFonts w:ascii="Times New Roman" w:cs="Times New Roman" w:eastAsia="Times New Roman" w:hAnsi="Times New Roman"/>
          <w:sz w:val="18"/>
          <w:szCs w:val="18"/>
          <w:color w:val="auto"/>
        </w:rPr>
      </w:pPr>
    </w:p>
    <w:p>
      <w:pPr>
        <w:ind w:left="1360" w:hanging="510"/>
        <w:spacing w:after="0"/>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has submitted notice of an intent to nominate a candidate for election or re-election as a director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all written and signed representations and agreements and all fully completed and signed Questionnaires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3.10(a) shall</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provided to the Corporation at the same time as a Shareholder Notice submitted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 a Nomination Notice (as defined in Section</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3.11(d)(i)), as applicable. The additional information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3.10(b) shall be provided to the Corporation promptly upon request by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but in any event within five business days after such request. All information provided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 shall be deemed part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Notice submitted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 or a Nomination Notice submitted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3.11, as applicable.</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right="280" w:firstLine="850"/>
        <w:spacing w:after="0" w:line="278" w:lineRule="auto"/>
        <w:tabs>
          <w:tab w:leader="none" w:pos="136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if any information submitted pursuant to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3.10 is inaccurate or incomplete in any material respect (as determined by the Board of Directors or any authorized committee thereof), such information shall be deemed not to have been provided in</w:t>
      </w:r>
    </w:p>
    <w:p>
      <w:pPr>
        <w:spacing w:after="0" w:line="1" w:lineRule="exact"/>
        <w:rPr>
          <w:rFonts w:ascii="Times New Roman" w:cs="Times New Roman" w:eastAsia="Times New Roman" w:hAnsi="Times New Roman"/>
          <w:sz w:val="17"/>
          <w:szCs w:val="17"/>
          <w:color w:val="auto"/>
        </w:rPr>
      </w:pPr>
    </w:p>
    <w:p>
      <w:pPr>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 and these Bylaws. Upon written request of the Secretary of the Corporation on behalf of the Board of Directors (or a duly authorized committee thereof), the shareholder giving the Shareholder Notice shall provide, within five business days after delivery of such request (or such longer period as may be specified in such request), (i) written verification, reasonably satisfactory to the Board of Directors, any committee thereof, or any authorized officer of the Corporation, to demonstrate the accuracy and/or completeness of any information submitted and (ii) a written affirmation of any information submitted as of an earlier date. If the shareholder giving the Shareholder Notice fails to provide such written verification or affirmation within such period, the information as to which written verification or affirmation was requested shall be deemed not to have been provided in accordance</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3.10 and these Bylaws.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Proxy Access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510"/>
        <w:spacing w:after="0"/>
        <w:tabs>
          <w:tab w:leader="none" w:pos="1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Inclusion of Shareholder Nominees in Corporation’s Proxy Statement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right="20" w:firstLine="968"/>
        <w:spacing w:after="0" w:line="255" w:lineRule="auto"/>
        <w:tabs>
          <w:tab w:leader="none" w:pos="21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Times New Roman" w:cs="Times New Roman" w:eastAsia="Times New Roman" w:hAnsi="Times New Roman"/>
          <w:sz w:val="18"/>
          <w:szCs w:val="18"/>
          <w:b w:val="1"/>
          <w:bCs w:val="1"/>
          <w:color w:val="auto"/>
        </w:rPr>
        <w:t>Shareholder Nominee</w:t>
      </w:r>
      <w:r>
        <w:rPr>
          <w:rFonts w:ascii="Times New Roman" w:cs="Times New Roman" w:eastAsia="Times New Roman" w:hAnsi="Times New Roman"/>
          <w:sz w:val="18"/>
          <w:szCs w:val="18"/>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w:t>
      </w:r>
    </w:p>
    <w:p>
      <w:pPr>
        <w:spacing w:after="0" w:line="2" w:lineRule="exact"/>
        <w:rPr>
          <w:rFonts w:ascii="Times New Roman" w:cs="Times New Roman" w:eastAsia="Times New Roman" w:hAnsi="Times New Roman"/>
          <w:sz w:val="18"/>
          <w:szCs w:val="18"/>
          <w:color w:val="auto"/>
        </w:rPr>
      </w:pPr>
    </w:p>
    <w:p>
      <w:pPr>
        <w:ind w:left="6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all applicable procedures and requirements set forth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(such Eligible Shareholder or group of Eligible Shareholders being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w:t>
      </w:r>
    </w:p>
    <w:p>
      <w:pPr>
        <w:spacing w:after="0" w:line="1" w:lineRule="exact"/>
        <w:rPr>
          <w:rFonts w:ascii="Times New Roman" w:cs="Times New Roman" w:eastAsia="Times New Roman" w:hAnsi="Times New Roman"/>
          <w:sz w:val="18"/>
          <w:szCs w:val="18"/>
          <w:color w:val="auto"/>
        </w:rPr>
      </w:pPr>
    </w:p>
    <w:p>
      <w:pPr>
        <w:ind w:left="6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3.11(e)(ii),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statement does not exceed 500 words and fully complies with Section 14 of the Exchange Act, including Rule 14a-9 thereunder (the “</w:t>
      </w:r>
      <w:r>
        <w:rPr>
          <w:rFonts w:ascii="Times New Roman" w:cs="Times New Roman" w:eastAsia="Times New Roman" w:hAnsi="Times New Roman"/>
          <w:sz w:val="18"/>
          <w:szCs w:val="18"/>
          <w:b w:val="1"/>
          <w:bCs w:val="1"/>
          <w:color w:val="auto"/>
        </w:rPr>
        <w:t>Supporting Statement</w:t>
      </w:r>
      <w:r>
        <w:rPr>
          <w:rFonts w:ascii="Times New Roman" w:cs="Times New Roman" w:eastAsia="Times New Roman" w:hAnsi="Times New Roman"/>
          <w:sz w:val="18"/>
          <w:szCs w:val="18"/>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and any solicitation materials or related information with respect to a Shareholder Nominee.</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 w:name="page22"/>
    <w:bookmarkEnd w:id="21"/>
    <w:p>
      <w:pPr>
        <w:ind w:right="380" w:firstLine="968"/>
        <w:spacing w:after="0" w:line="259" w:lineRule="auto"/>
        <w:tabs>
          <w:tab w:leader="none" w:pos="15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any determination to be made by the Board of Directors may be made by the Board of Directors, a committee of the Board of Directors or any officer of the Corporation designated by the Board of Directors or a committee of the Board of Directors, or the Chair or presiding officer of the meeting, and any such determination shall be final and binding on any Eligible Shareholder, any Nominating Shareholder, any Shareholder Nominee and any other person so long as made in good faith (without any further requirements).</w:t>
      </w:r>
    </w:p>
    <w:p>
      <w:pPr>
        <w:spacing w:after="0" w:line="181" w:lineRule="exact"/>
        <w:rPr>
          <w:rFonts w:ascii="Times New Roman" w:cs="Times New Roman" w:eastAsia="Times New Roman" w:hAnsi="Times New Roman"/>
          <w:sz w:val="18"/>
          <w:szCs w:val="18"/>
          <w:color w:val="auto"/>
        </w:rPr>
      </w:pPr>
    </w:p>
    <w:p>
      <w:pPr>
        <w:ind w:left="720" w:hanging="530"/>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Number of Shareholder Nominees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60" w:firstLine="968"/>
        <w:spacing w:after="0" w:line="276" w:lineRule="auto"/>
        <w:tabs>
          <w:tab w:leader="none" w:pos="145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include in the proxy statement for an annual meeting of shareholders more Shareholder Nominees than that number constituting the greater of (A) two or (B) 20% of the total number of Directors of the Corporation then</w:t>
      </w: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serving on the last day on which a Nomination Notice may be submitted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(rounded down to the nearest whole number) (the “</w:t>
      </w:r>
      <w:r>
        <w:rPr>
          <w:rFonts w:ascii="Times New Roman" w:cs="Times New Roman" w:eastAsia="Times New Roman" w:hAnsi="Times New Roman"/>
          <w:sz w:val="18"/>
          <w:szCs w:val="18"/>
          <w:b w:val="1"/>
          <w:bCs w:val="1"/>
          <w:color w:val="auto"/>
        </w:rPr>
        <w:t>Maximum Number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80" w:firstLine="968"/>
        <w:spacing w:after="0" w:line="272" w:lineRule="auto"/>
        <w:tabs>
          <w:tab w:leader="none" w:pos="150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w:t>
      </w:r>
    </w:p>
    <w:p>
      <w:pPr>
        <w:spacing w:after="0" w:line="1" w:lineRule="exact"/>
        <w:rPr>
          <w:rFonts w:ascii="Times New Roman" w:cs="Times New Roman" w:eastAsia="Times New Roman" w:hAnsi="Times New Roman"/>
          <w:sz w:val="17"/>
          <w:szCs w:val="17"/>
          <w:color w:val="auto"/>
        </w:rPr>
      </w:pPr>
    </w:p>
    <w:p>
      <w:pPr>
        <w:ind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w:t>
      </w:r>
    </w:p>
    <w:p>
      <w:pPr>
        <w:ind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Notice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181" w:lineRule="exact"/>
        <w:rPr>
          <w:rFonts w:ascii="Times New Roman" w:cs="Times New Roman" w:eastAsia="Times New Roman" w:hAnsi="Times New Roman"/>
          <w:sz w:val="17"/>
          <w:szCs w:val="17"/>
          <w:color w:val="auto"/>
        </w:rPr>
      </w:pPr>
    </w:p>
    <w:p>
      <w:pPr>
        <w:ind w:right="20" w:firstLine="968"/>
        <w:spacing w:after="0" w:line="270" w:lineRule="auto"/>
        <w:tabs>
          <w:tab w:leader="none" w:pos="155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Shareholder Nominees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Nomination Notice as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a Nominating Shareholder or a Shareholder Nominee ceases to satisfy the eligibility</w:t>
      </w:r>
    </w:p>
    <w:p>
      <w:pPr>
        <w:spacing w:after="0" w:line="9" w:lineRule="exact"/>
        <w:rPr>
          <w:rFonts w:ascii="Times New Roman" w:cs="Times New Roman" w:eastAsia="Times New Roman" w:hAnsi="Times New Roman"/>
          <w:sz w:val="17"/>
          <w:szCs w:val="17"/>
          <w:color w:val="auto"/>
        </w:rPr>
      </w:pPr>
    </w:p>
    <w:p>
      <w:pPr>
        <w:ind w:righ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requirements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3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22" w:name="page23"/>
    <w:bookmarkEnd w:id="22"/>
    <w:p>
      <w:pPr>
        <w:ind w:left="700" w:hanging="510"/>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of Nominating Shareholder</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440" w:hanging="472"/>
        <w:spacing w:after="0"/>
        <w:tabs>
          <w:tab w:leader="none" w:pos="1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Eligible Shareholder</w:t>
      </w:r>
      <w:r>
        <w:rPr>
          <w:rFonts w:ascii="Times New Roman" w:cs="Times New Roman" w:eastAsia="Times New Roman" w:hAnsi="Times New Roman"/>
          <w:sz w:val="18"/>
          <w:szCs w:val="18"/>
          <w:color w:val="auto"/>
        </w:rPr>
        <w:t>” is a person who has either (A) been a record holder of the shares of common stock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Corporation used to satisfy the eligibility requirements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3.11(c) continuously for the three-year period specified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3.11(c)(ii)</w:t>
      </w:r>
    </w:p>
    <w:p>
      <w:pPr>
        <w:spacing w:after="0" w:line="20" w:lineRule="exact"/>
        <w:rPr>
          <w:rFonts w:ascii="Times New Roman" w:cs="Times New Roman" w:eastAsia="Times New Roman" w:hAnsi="Times New Roman"/>
          <w:sz w:val="18"/>
          <w:szCs w:val="18"/>
          <w:color w:val="auto"/>
        </w:rPr>
      </w:pPr>
    </w:p>
    <w:p>
      <w:pPr>
        <w:ind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provides to the Secretary, within the time period referred to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evidence of continuous ownership of such shares for such three-year period from one or more securities intermediaries in a form that the Board of Directors determines acceptable.</w:t>
      </w:r>
    </w:p>
    <w:p>
      <w:pPr>
        <w:spacing w:after="0" w:line="177" w:lineRule="exact"/>
        <w:rPr>
          <w:rFonts w:ascii="Times New Roman" w:cs="Times New Roman" w:eastAsia="Times New Roman" w:hAnsi="Times New Roman"/>
          <w:sz w:val="18"/>
          <w:szCs w:val="18"/>
          <w:color w:val="auto"/>
        </w:rPr>
      </w:pPr>
    </w:p>
    <w:p>
      <w:pPr>
        <w:ind w:left="1500" w:hanging="532"/>
        <w:spacing w:after="0"/>
        <w:tabs>
          <w:tab w:leader="none" w:pos="15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Shareholder or group of up to 20 Eligible Shareholders may submit a nomination in accordance with this Section</w:t>
      </w:r>
      <w:r>
        <w:rPr>
          <w:rFonts w:ascii="Times New Roman" w:cs="Times New Roman" w:eastAsia="Times New Roman" w:hAnsi="Times New Roman"/>
          <w:sz w:val="18"/>
          <w:szCs w:val="18"/>
          <w:b w:val="1"/>
          <w:bCs w:val="1"/>
          <w:i w:val="1"/>
          <w:iCs w:val="1"/>
          <w:color w:val="auto"/>
        </w:rPr>
        <w:t>‎</w:t>
      </w:r>
    </w:p>
    <w:p>
      <w:pPr>
        <w:spacing w:after="0" w:line="3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Minimum Number shall apply to the aggregate ownership of the group of Eligible Shareholders constituting the Nominating Shareholder. Should any Eligible Shareholder cease to satisfy the</w:t>
      </w:r>
    </w:p>
    <w:p>
      <w:pPr>
        <w:spacing w:after="0" w:line="4"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eligibility requirements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3.11, any reference to a “group” or “group of Eligible Shareholders” refers to any Nominating Shareholder that consists of more than one Eligible Shareholder and to all the Eligible Shareholders that make up such Nominating Shareholder.</w:t>
      </w:r>
    </w:p>
    <w:p>
      <w:pPr>
        <w:spacing w:after="0" w:line="2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78" w:right="339" w:bottom="1440" w:gutter="0" w:footer="0" w:header="0"/>
        </w:sectPr>
      </w:pPr>
    </w:p>
    <w:bookmarkStart w:id="23" w:name="page24"/>
    <w:bookmarkEnd w:id="23"/>
    <w:p>
      <w:pPr>
        <w:ind w:right="260" w:firstLine="968"/>
        <w:spacing w:after="0" w:line="268" w:lineRule="auto"/>
        <w:tabs>
          <w:tab w:leader="none" w:pos="1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Minimum Number</w:t>
      </w:r>
      <w:r>
        <w:rPr>
          <w:rFonts w:ascii="Times New Roman" w:cs="Times New Roman" w:eastAsia="Times New Roman" w:hAnsi="Times New Roman"/>
          <w:sz w:val="18"/>
          <w:szCs w:val="18"/>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70" w:lineRule="exact"/>
        <w:rPr>
          <w:rFonts w:ascii="Times New Roman" w:cs="Times New Roman" w:eastAsia="Times New Roman" w:hAnsi="Times New Roman"/>
          <w:sz w:val="18"/>
          <w:szCs w:val="18"/>
          <w:color w:val="auto"/>
        </w:rPr>
      </w:pPr>
    </w:p>
    <w:p>
      <w:pPr>
        <w:ind w:firstLine="968"/>
        <w:spacing w:after="0" w:line="268" w:lineRule="auto"/>
        <w:tabs>
          <w:tab w:leader="none" w:pos="154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an Eligible Shareholder “owns”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number of shares calculated in accordance with clauses (A)</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and (B)</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shall not include any shares: (1) purchased or sold by such Eligible Shareholder or any of its affiliates in any transaction that has not been settled or closed, (2) that are subject to short positions or were otherwise sold short by such Eligible Shareholder or any of its affiliates, (3) borrowed by such Eligible Shareholder or any of its affiliates for any purpose or purchased by such Eligible Shareholder or any of its affiliates pursuant to an agreement to resell or subject to any other obligation to resell to another person, or (4)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reducing in any manner, to any extent or at any time in the future, such Eligible Shareholder’s or any of its affiliates’ full right to vote or direct the voting of any such shares, and/or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Eligible Shareholder has the power to recall such loaned shares on not more than five business days’ notice. The terms “owned,”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“owning” and other variations of the word “own” shall have correlative meanings. Whether outstanding shares of the Corporation are “owned” for</w:t>
      </w:r>
    </w:p>
    <w:p>
      <w:pPr>
        <w:spacing w:after="0" w:line="194"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purposes shall be determined by the Board of Directors. 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3.11(c)(iv), the term “affiliate” or “affiliates” shall have the meaning ascribed thereto under the General Rules and Regulations under the Exchange Act.</w:t>
      </w:r>
    </w:p>
    <w:p>
      <w:pPr>
        <w:spacing w:after="0" w:line="2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76" w:right="359" w:bottom="1440" w:gutter="0" w:footer="0" w:header="0"/>
        </w:sectPr>
      </w:pPr>
    </w:p>
    <w:bookmarkStart w:id="24" w:name="page25"/>
    <w:bookmarkEnd w:id="24"/>
    <w:p>
      <w:pPr>
        <w:jc w:val="both"/>
        <w:ind w:right="180" w:firstLine="968"/>
        <w:spacing w:after="0" w:line="289" w:lineRule="auto"/>
        <w:tabs>
          <w:tab w:leader="none" w:pos="149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155" w:lineRule="exact"/>
        <w:rPr>
          <w:rFonts w:ascii="Times New Roman" w:cs="Times New Roman" w:eastAsia="Times New Roman" w:hAnsi="Times New Roman"/>
          <w:sz w:val="17"/>
          <w:szCs w:val="17"/>
          <w:color w:val="auto"/>
        </w:rPr>
      </w:pPr>
    </w:p>
    <w:p>
      <w:pPr>
        <w:ind w:left="720" w:hanging="530"/>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Nomination Notice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firstLine="968"/>
        <w:spacing w:after="0" w:line="267" w:lineRule="auto"/>
        <w:tabs>
          <w:tab w:leader="none" w:pos="145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nominate a Shareholder Nominee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the Nominating Shareholder (including each Eligible Shareholder in the case of a Nominating Shareholder consisting of a group of Eligible Shareholders) must deliver to the Secretary of the Corporation at the principal executive offices of the Corporation all of the following information and documents in a form that the Board of Directors determines acceptable (collectively, the “</w:t>
      </w:r>
      <w:r>
        <w:rPr>
          <w:rFonts w:ascii="Times New Roman" w:cs="Times New Roman" w:eastAsia="Times New Roman" w:hAnsi="Times New Roman"/>
          <w:sz w:val="17"/>
          <w:szCs w:val="17"/>
          <w:b w:val="1"/>
          <w:bCs w:val="1"/>
          <w:color w:val="auto"/>
        </w:rPr>
        <w:t>Nomination Notice</w:t>
      </w:r>
      <w:r>
        <w:rPr>
          <w:rFonts w:ascii="Times New Roman" w:cs="Times New Roman" w:eastAsia="Times New Roman" w:hAnsi="Times New Roman"/>
          <w:sz w:val="17"/>
          <w:szCs w:val="17"/>
          <w:color w:val="auto"/>
        </w:rPr>
        <w:t xml:space="preserve">”), (x) in the case of the Corporation’s annual meeting of shareholders held in 2026, during the period commencing on January 27, 2026 and ending on the Close of Business on February 17, 2026 and (y) in the case of any other annual meeting of shareholders, by the Close of Business not less than 120 days, and not more than 150 days, prior to the anniversary of the date that the Corporation first mailed or otherwise distributed its proxy statement for the prior year’s annual meeting of shareholders;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(and only if) the annual meeting of shareholders (other than the annual meeting of shareholders held in 2026) is not scheduled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held within a period that commences 30 days before and concludes 30 days after the first anniversary date of the preceding year’s annual meeting of shareholders, including if no annual meeting was held in the preceding year (an annual meeting date outside such period being referred to herein as an “</w:t>
      </w:r>
      <w:r>
        <w:rPr>
          <w:rFonts w:ascii="Times New Roman" w:cs="Times New Roman" w:eastAsia="Times New Roman" w:hAnsi="Times New Roman"/>
          <w:sz w:val="17"/>
          <w:szCs w:val="17"/>
          <w:b w:val="1"/>
          <w:bCs w:val="1"/>
          <w:color w:val="auto"/>
        </w:rPr>
        <w:t>Other Meeting Date</w:t>
      </w:r>
      <w:r>
        <w:rPr>
          <w:rFonts w:ascii="Times New Roman" w:cs="Times New Roman" w:eastAsia="Times New Roman" w:hAnsi="Times New Roman"/>
          <w:sz w:val="17"/>
          <w:szCs w:val="17"/>
          <w:color w:val="auto"/>
        </w:rPr>
        <w:t>”), the Nomination Notice shall be given in the manner provided herein by the Close of Business on the later</w:t>
      </w:r>
    </w:p>
    <w:p>
      <w:pPr>
        <w:spacing w:after="0" w:line="6"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of the date that is 180 days prior to such Other Meeting Date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a Public Announcement of such Other Meeting Date is first made by the Corporation (and in no event shall the adjournment or postponement of an annual meeting, or the Public Announcement thereof, commence a new time period (or extend any time period) for the giving of the Nomination Notice):</w:t>
      </w:r>
    </w:p>
    <w:p>
      <w:pPr>
        <w:spacing w:after="0" w:line="3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580" w:right="379" w:bottom="1440" w:gutter="0" w:footer="0" w:header="0"/>
        </w:sectPr>
      </w:pPr>
    </w:p>
    <w:bookmarkStart w:id="25" w:name="page26"/>
    <w:bookmarkEnd w:id="25"/>
    <w:p>
      <w:pPr>
        <w:ind w:left="240" w:right="20" w:firstLine="1046"/>
        <w:spacing w:after="0" w:line="256" w:lineRule="auto"/>
        <w:tabs>
          <w:tab w:leader="none" w:pos="18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87" w:lineRule="exact"/>
        <w:rPr>
          <w:rFonts w:ascii="Times New Roman" w:cs="Times New Roman" w:eastAsia="Times New Roman" w:hAnsi="Times New Roman"/>
          <w:sz w:val="18"/>
          <w:szCs w:val="18"/>
          <w:color w:val="auto"/>
        </w:rPr>
      </w:pPr>
    </w:p>
    <w:p>
      <w:pPr>
        <w:ind w:left="240" w:firstLine="1046"/>
        <w:spacing w:after="0" w:line="282" w:lineRule="auto"/>
        <w:tabs>
          <w:tab w:leader="none" w:pos="18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61" w:lineRule="exact"/>
        <w:rPr>
          <w:rFonts w:ascii="Times New Roman" w:cs="Times New Roman" w:eastAsia="Times New Roman" w:hAnsi="Times New Roman"/>
          <w:sz w:val="18"/>
          <w:szCs w:val="18"/>
          <w:color w:val="auto"/>
        </w:rPr>
      </w:pPr>
    </w:p>
    <w:p>
      <w:pPr>
        <w:ind w:left="240" w:right="80" w:firstLine="1046"/>
        <w:spacing w:after="0" w:line="282" w:lineRule="auto"/>
        <w:tabs>
          <w:tab w:leader="none" w:pos="18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each Shareholder Nominee, completed and filed with the SEC by the Nominating Shareholder, as applicable, in accordance with SEC rules;</w:t>
      </w:r>
    </w:p>
    <w:p>
      <w:pPr>
        <w:spacing w:after="0" w:line="161" w:lineRule="exact"/>
        <w:rPr>
          <w:rFonts w:ascii="Times New Roman" w:cs="Times New Roman" w:eastAsia="Times New Roman" w:hAnsi="Times New Roman"/>
          <w:sz w:val="18"/>
          <w:szCs w:val="18"/>
          <w:color w:val="auto"/>
        </w:rPr>
      </w:pPr>
    </w:p>
    <w:p>
      <w:pPr>
        <w:ind w:left="1860" w:hanging="574"/>
        <w:spacing w:after="0"/>
        <w:tabs>
          <w:tab w:leader="none" w:pos="1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would be required to be set forth in a Shareholder Notice pursuant to Section‎ 2.09 (other than</w:t>
      </w:r>
    </w:p>
    <w:p>
      <w:pPr>
        <w:spacing w:after="0" w:line="27" w:lineRule="exact"/>
        <w:rPr>
          <w:rFonts w:ascii="Times New Roman" w:cs="Times New Roman" w:eastAsia="Times New Roman" w:hAnsi="Times New Roman"/>
          <w:sz w:val="18"/>
          <w:szCs w:val="18"/>
          <w:color w:val="auto"/>
        </w:rPr>
      </w:pPr>
    </w:p>
    <w:p>
      <w:pPr>
        <w:ind w:left="24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information required by clauses (C)‎(7),‎ (C)‎(8)‎ and (D)‎ of Section‎ 2.09(a)(iii)), including the information required with respect to any nominee for election as a Director, any shareholder giving notice of an intent to nominate a candidate for election, and any shareholder,</w:t>
      </w: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or other person on whose behalf the nomination is made under this Section‎ 3.11, and including the written</w:t>
      </w:r>
    </w:p>
    <w:p>
      <w:pPr>
        <w:spacing w:after="0" w:line="9"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agreements and Questionnaires described in Section‎ 3.10(a);</w:t>
      </w:r>
    </w:p>
    <w:p>
      <w:pPr>
        <w:spacing w:after="0" w:line="3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6" w:name="page27"/>
    <w:bookmarkEnd w:id="26"/>
    <w:p>
      <w:pPr>
        <w:ind w:left="240" w:right="20" w:firstLine="1046"/>
        <w:spacing w:after="0" w:line="261" w:lineRule="auto"/>
        <w:tabs>
          <w:tab w:leader="none" w:pos="18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in a form deemed satisfactory by the Board of Directors, of the nomination of each Shareholder Nominee that includes the following additional information, agreements, representations and warranties by the Nominating Shareholder:</w:t>
      </w:r>
    </w:p>
    <w:p>
      <w:pPr>
        <w:ind w:left="240" w:right="40" w:firstLine="9"/>
        <w:spacing w:after="0" w:line="250" w:lineRule="auto"/>
        <w:tabs>
          <w:tab w:leader="none" w:pos="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(2) a representation and warranty that the Nominating Shareholder has not nominated and will not nominate for election to the Board of Directors at the annual meeting any person other than such Nominating Shareholder’s Shareholder Nominee(s); (3) a representation and warranty that the Nominating Shareholder has not engaged in and will not engage in, and has not been and will not be a participant (as defined in Item 4 of Exchange Act Schedule 14A)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w:t>
      </w:r>
    </w:p>
    <w:p>
      <w:pPr>
        <w:spacing w:after="0" w:line="3" w:lineRule="exact"/>
        <w:rPr>
          <w:rFonts w:ascii="Times New Roman" w:cs="Times New Roman" w:eastAsia="Times New Roman" w:hAnsi="Times New Roman"/>
          <w:sz w:val="18"/>
          <w:szCs w:val="18"/>
          <w:color w:val="auto"/>
        </w:rPr>
      </w:pPr>
    </w:p>
    <w:p>
      <w:pPr>
        <w:ind w:left="240" w:firstLine="9"/>
        <w:spacing w:after="0" w:line="265" w:lineRule="auto"/>
        <w:tabs>
          <w:tab w:leader="none" w:pos="4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and warranty that the Nominating Shareholder will not use any form of proxy and ballot other than the Corporation’s form of proxy and ballot in soliciting shareholders in connection with the election of a Shareholder Nominee at the annual meeting; (5) a representation and warranty that each Shareholder Nominee’s candidacy or, if elected, membership on the Board of Directors would not violate the Articles of Incorporation, the Bylaws, any applicable law, rule, regulation, order or decree to which the Corporation is subject, including rules or regulations of any stock exchange on which the Corporation’s shares of common stock are listed; (6) 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(e) meets the Director qualifications set forth in the Corporation’s Corporate Governance Guidelines and any other standards established by the Corporation (notwithstanding this clause (6),‎ for the avoidance of doubt, the Board is responsible for making the final determination of the Shareholder Nominee’s independence); (7)</w:t>
      </w:r>
    </w:p>
    <w:p>
      <w:pPr>
        <w:spacing w:after="0" w:line="2" w:lineRule="exact"/>
        <w:rPr>
          <w:rFonts w:ascii="Times New Roman" w:cs="Times New Roman" w:eastAsia="Times New Roman" w:hAnsi="Times New Roman"/>
          <w:sz w:val="17"/>
          <w:szCs w:val="17"/>
          <w:color w:val="auto"/>
        </w:rPr>
      </w:pPr>
    </w:p>
    <w:p>
      <w:pPr>
        <w:ind w:left="24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representation and warranty that the Nominating Shareholder satisfies the eligibility requirements set forth in Section‎ 3.11(c) and intends to continue to satisfy such eligibility requirements through the date of the annual meeting; (8) details of any position of a Shareholder Nominee as an employee, officer or director of any company, and of any other material relationship with or material financial interest in any company, within the three years preceding the submission of the Nomination Notice; (9) if desired, a Supporting Statement; and (10)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29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7" w:name="page28"/>
    <w:bookmarkEnd w:id="27"/>
    <w:p>
      <w:pPr>
        <w:ind w:left="240" w:right="80" w:firstLine="1046"/>
        <w:spacing w:after="0" w:line="251" w:lineRule="auto"/>
        <w:tabs>
          <w:tab w:leader="none" w:pos="18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w:t>
      </w:r>
    </w:p>
    <w:p>
      <w:pPr>
        <w:spacing w:after="0" w:line="11" w:lineRule="exact"/>
        <w:rPr>
          <w:rFonts w:ascii="Times New Roman" w:cs="Times New Roman" w:eastAsia="Times New Roman" w:hAnsi="Times New Roman"/>
          <w:sz w:val="18"/>
          <w:szCs w:val="18"/>
          <w:color w:val="auto"/>
        </w:rPr>
      </w:pPr>
    </w:p>
    <w:p>
      <w:pPr>
        <w:ind w:left="24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alleged breach of, its or their 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w:t>
      </w:r>
    </w:p>
    <w:p>
      <w:pPr>
        <w:spacing w:after="0" w:line="1" w:lineRule="exact"/>
        <w:rPr>
          <w:rFonts w:ascii="Times New Roman" w:cs="Times New Roman" w:eastAsia="Times New Roman" w:hAnsi="Times New Roman"/>
          <w:sz w:val="18"/>
          <w:szCs w:val="18"/>
          <w:color w:val="auto"/>
        </w:rPr>
      </w:pPr>
    </w:p>
    <w:p>
      <w:pPr>
        <w:ind w:left="2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any Eligible Shareholder in a group) has failed to continue to satisfy the eligibility requirements described in Section‎ 3.11(c), to promptly notify the Corporation; and</w:t>
      </w:r>
    </w:p>
    <w:p>
      <w:pPr>
        <w:spacing w:after="0" w:line="181" w:lineRule="exact"/>
        <w:rPr>
          <w:rFonts w:ascii="Times New Roman" w:cs="Times New Roman" w:eastAsia="Times New Roman" w:hAnsi="Times New Roman"/>
          <w:sz w:val="18"/>
          <w:szCs w:val="18"/>
          <w:color w:val="auto"/>
        </w:rPr>
      </w:pPr>
    </w:p>
    <w:p>
      <w:pPr>
        <w:ind w:left="1860" w:hanging="574"/>
        <w:spacing w:after="0"/>
        <w:tabs>
          <w:tab w:leader="none" w:pos="18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 Nominee’s written representation and agreement: (1) to promptly, but in any event within 10 days</w:t>
      </w:r>
    </w:p>
    <w:p>
      <w:pPr>
        <w:spacing w:after="0" w:line="38" w:lineRule="exact"/>
        <w:rPr>
          <w:rFonts w:ascii="Times New Roman" w:cs="Times New Roman" w:eastAsia="Times New Roman" w:hAnsi="Times New Roman"/>
          <w:sz w:val="17"/>
          <w:szCs w:val="17"/>
          <w:color w:val="auto"/>
        </w:rPr>
      </w:pPr>
    </w:p>
    <w:p>
      <w:pPr>
        <w:ind w:left="24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after such request, provide to the Corporation the information described in Section‎ 3.10(b); and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2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580" w:right="399" w:bottom="1440" w:gutter="0" w:footer="0" w:header="0"/>
        </w:sectPr>
      </w:pPr>
    </w:p>
    <w:bookmarkStart w:id="28" w:name="page29"/>
    <w:bookmarkEnd w:id="28"/>
    <w:p>
      <w:pPr>
        <w:ind w:right="240" w:firstLine="968"/>
        <w:spacing w:after="0" w:line="259" w:lineRule="auto"/>
        <w:tabs>
          <w:tab w:leader="none" w:pos="15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and documents required by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3.11(d) to be provided by the Nominating Shareholder shall be provided with respect to and executed by each Eligible Shareholder in the case of a Nominating Shareholder comprised of a group of Eligible Shareholders. The Nomination Notice shall be deemed submitted on the date on which all of the information and documents referred to in this Section 3.11(d) (other than any information and documents contemplated to be provided after the date the Nomination Notice is provided) have been delivered to and received by the Secretary.</w:t>
      </w:r>
    </w:p>
    <w:p>
      <w:pPr>
        <w:spacing w:after="0" w:line="181" w:lineRule="exact"/>
        <w:rPr>
          <w:rFonts w:ascii="Times New Roman" w:cs="Times New Roman" w:eastAsia="Times New Roman" w:hAnsi="Times New Roman"/>
          <w:sz w:val="18"/>
          <w:szCs w:val="18"/>
          <w:color w:val="auto"/>
        </w:rPr>
      </w:pPr>
    </w:p>
    <w:p>
      <w:pPr>
        <w:ind w:left="700" w:hanging="510"/>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20" w:firstLine="968"/>
        <w:spacing w:after="0" w:line="255" w:lineRule="auto"/>
        <w:tabs>
          <w:tab w:leader="none" w:pos="14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w:t>
      </w:r>
    </w:p>
    <w:p>
      <w:pPr>
        <w:spacing w:after="0" w:line="2" w:lineRule="exact"/>
        <w:rPr>
          <w:rFonts w:ascii="Times New Roman" w:cs="Times New Roman" w:eastAsia="Times New Roman" w:hAnsi="Times New Roman"/>
          <w:sz w:val="18"/>
          <w:szCs w:val="18"/>
          <w:color w:val="auto"/>
        </w:rPr>
      </w:pPr>
    </w:p>
    <w:p>
      <w:pPr>
        <w:ind w:right="2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requirements set forth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2.09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the Nominating Shareholder withdraws its nomination or the presiding officer of the annual meeting declares that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such nomination was not made in accordance with the procedures prescribed by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and shall therefore be disregarded; (C) the Board</w:t>
      </w:r>
    </w:p>
    <w:p>
      <w:pPr>
        <w:spacing w:after="0" w:line="20" w:lineRule="exact"/>
        <w:rPr>
          <w:rFonts w:ascii="Times New Roman" w:cs="Times New Roman" w:eastAsia="Times New Roman" w:hAnsi="Times New Roman"/>
          <w:sz w:val="18"/>
          <w:szCs w:val="18"/>
          <w:color w:val="auto"/>
        </w:rPr>
      </w:pPr>
    </w:p>
    <w:p>
      <w:pPr>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Directors in good faith determines that such Shareholder Nominee fails to satisfy all the standards set forth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3.11(d)(i)(E)(6)(a)-(e),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w:t>
      </w:r>
    </w:p>
    <w:p>
      <w:pPr>
        <w:ind w:right="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stock are listed; (D) such Shareholder Nominee was nominated for election to the Board of Directors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 such Shareholder Nominee</w:t>
      </w: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to continue to satisfy the eligibility requirements 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3.11.</w:t>
      </w:r>
    </w:p>
    <w:p>
      <w:pPr>
        <w:spacing w:after="0" w:line="2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76" w:right="359" w:bottom="1440" w:gutter="0" w:footer="0" w:header="0"/>
        </w:sectPr>
      </w:pPr>
    </w:p>
    <w:bookmarkStart w:id="29" w:name="page30"/>
    <w:bookmarkEnd w:id="29"/>
    <w:p>
      <w:pPr>
        <w:ind w:left="660" w:right="40" w:firstLine="968"/>
        <w:spacing w:after="0" w:line="254" w:lineRule="auto"/>
        <w:tabs>
          <w:tab w:leader="none" w:pos="21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92" w:lineRule="exact"/>
        <w:rPr>
          <w:rFonts w:ascii="Times New Roman" w:cs="Times New Roman" w:eastAsia="Times New Roman" w:hAnsi="Times New Roman"/>
          <w:sz w:val="18"/>
          <w:szCs w:val="18"/>
          <w:color w:val="auto"/>
        </w:rPr>
      </w:pPr>
    </w:p>
    <w:p>
      <w:pPr>
        <w:ind w:left="2200" w:hanging="572"/>
        <w:spacing w:after="0"/>
        <w:tabs>
          <w:tab w:leader="none" w:pos="2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Shareholder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fficers</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Election and Office</w:t>
      </w:r>
      <w:r>
        <w:rPr>
          <w:rFonts w:ascii="Times New Roman" w:cs="Times New Roman" w:eastAsia="Times New Roman" w:hAnsi="Times New Roman"/>
          <w:sz w:val="18"/>
          <w:szCs w:val="18"/>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rank and duties of and elect additional officers or assistant officers. Any number of offices may be held by the same person. The Chairman of the Board must be a Director of the Corporation. The Board of Directors may delegate to any officer the power to appoint subordinate officers and to retain or appoint employees or other agents, and to prescribe the rank, authority and duties of such subordinate officers, employees or other agents.</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or in the case of an officer appointed by another officer of the Corporation, by such officer. The terms of the Chairman of the Board and the Chief Executive Officer are fixed pursuant to Article SIXTH of the Articles of Incorporation.</w:t>
      </w:r>
    </w:p>
    <w:p>
      <w:pPr>
        <w:spacing w:after="0" w:line="18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Powers and Duties of the Chairman of the Board</w:t>
      </w:r>
      <w:r>
        <w:rPr>
          <w:rFonts w:ascii="Times New Roman" w:cs="Times New Roman" w:eastAsia="Times New Roman" w:hAnsi="Times New Roman"/>
          <w:sz w:val="18"/>
          <w:szCs w:val="18"/>
          <w:color w:val="auto"/>
        </w:rPr>
        <w:t>. The Chairman of the Board shall have such powers and shall perform such duties as are provided in Article SIXTH of the Articles of Incorporation.</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Powers and Duties of the Chief Executive Officer</w:t>
      </w:r>
      <w:r>
        <w:rPr>
          <w:rFonts w:ascii="Times New Roman" w:cs="Times New Roman" w:eastAsia="Times New Roman" w:hAnsi="Times New Roman"/>
          <w:sz w:val="18"/>
          <w:szCs w:val="18"/>
          <w:color w:val="auto"/>
        </w:rPr>
        <w:t>. The Chief Executive Officer shall have such powers and shall perform such duties as are provided in Article SIXTH of the Articles of Incorporation.</w:t>
      </w:r>
    </w:p>
    <w:p>
      <w:pPr>
        <w:spacing w:after="0" w:line="158"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Powers and Duties of the President</w:t>
      </w:r>
      <w:r>
        <w:rPr>
          <w:rFonts w:ascii="Times New Roman" w:cs="Times New Roman" w:eastAsia="Times New Roman" w:hAnsi="Times New Roman"/>
          <w:sz w:val="18"/>
          <w:szCs w:val="18"/>
          <w:color w:val="auto"/>
        </w:rPr>
        <w:t>. The President shall have such powers and shall perform such duties as may, subject to Article SIXTH of the Articles of Incorporation, from time to time be assigned to the President by the Board of Directors.</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Powers and Duties of the Secretary</w:t>
      </w:r>
      <w:r>
        <w:rPr>
          <w:rFonts w:ascii="Times New Roman" w:cs="Times New Roman" w:eastAsia="Times New Roman" w:hAnsi="Times New Roman"/>
          <w:sz w:val="18"/>
          <w:szCs w:val="18"/>
          <w:color w:val="auto"/>
        </w:rPr>
        <w:t>. Unless otherwise determined by the Board of Directors, the Secretary shall be responsible for the keeping of the minutes of all meetings of the shareholders, the Board of Directors, and all committees of the Board,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Powers and Duties of the Treasurer</w:t>
      </w:r>
      <w:r>
        <w:rPr>
          <w:rFonts w:ascii="Times New Roman" w:cs="Times New Roman" w:eastAsia="Times New Roman" w:hAnsi="Times New Roman"/>
          <w:sz w:val="18"/>
          <w:szCs w:val="18"/>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1" w:name="page32"/>
    <w:bookmarkEnd w:id="31"/>
    <w:p>
      <w:pPr>
        <w:ind w:right="6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Subject to Article SIXTH of the Articles of Incorporation, the Board of Directors shall have the power to fill any vacancies in any office occurring for any reason.</w:t>
      </w:r>
    </w:p>
    <w:p>
      <w:pPr>
        <w:spacing w:after="0" w:line="15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Delegation of Office</w:t>
      </w:r>
      <w:r>
        <w:rPr>
          <w:rFonts w:ascii="Times New Roman" w:cs="Times New Roman" w:eastAsia="Times New Roman" w:hAnsi="Times New Roman"/>
          <w:sz w:val="18"/>
          <w:szCs w:val="18"/>
          <w:color w:val="auto"/>
        </w:rPr>
        <w:t>. Subject to Article SIXTH of the Articles of Incorporation, the Board of Directors may delegate the powers or duties of any officer of the Corporation to any other person from time to time.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Share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50"/>
        <w:spacing w:after="0" w:line="257" w:lineRule="auto"/>
        <w:tabs>
          <w:tab w:leader="none" w:pos="13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w:t>
      </w:r>
      <w:r>
        <w:rPr>
          <w:rFonts w:ascii="Times New Roman" w:cs="Times New Roman" w:eastAsia="Times New Roman" w:hAnsi="Times New Roman"/>
          <w:sz w:val="18"/>
          <w:szCs w:val="18"/>
          <w:color w:val="auto"/>
        </w:rPr>
        <w:t>. Unless otherwise provided by the Board of Directors, every share certificate shall be signed by two officers and sealed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82" w:lineRule="exact"/>
        <w:rPr>
          <w:rFonts w:ascii="Times New Roman" w:cs="Times New Roman" w:eastAsia="Times New Roman" w:hAnsi="Times New Roman"/>
          <w:sz w:val="18"/>
          <w:szCs w:val="18"/>
          <w:color w:val="auto"/>
        </w:rPr>
      </w:pPr>
    </w:p>
    <w:p>
      <w:pPr>
        <w:ind w:right="120" w:firstLine="850"/>
        <w:spacing w:after="0" w:line="257" w:lineRule="auto"/>
        <w:tabs>
          <w:tab w:leader="none" w:pos="13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Designations, Voting Rights, Preferences, Limitations and Special Rights</w:t>
      </w:r>
      <w:r>
        <w:rPr>
          <w:rFonts w:ascii="Times New Roman" w:cs="Times New Roman" w:eastAsia="Times New Roman" w:hAnsi="Times New Roman"/>
          <w:sz w:val="18"/>
          <w:szCs w:val="18"/>
          <w:color w:val="auto"/>
        </w:rPr>
        <w:t>. To the extent the Corporation is authorized to issue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one class or series and such shares are certificated,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82" w:lineRule="exact"/>
        <w:rPr>
          <w:rFonts w:ascii="Times New Roman" w:cs="Times New Roman" w:eastAsia="Times New Roman" w:hAnsi="Times New Roman"/>
          <w:sz w:val="18"/>
          <w:szCs w:val="18"/>
          <w:color w:val="auto"/>
        </w:rPr>
      </w:pPr>
    </w:p>
    <w:p>
      <w:pPr>
        <w:jc w:val="both"/>
        <w:ind w:right="60" w:firstLine="850"/>
        <w:spacing w:after="0" w:line="267" w:lineRule="auto"/>
        <w:tabs>
          <w:tab w:leader="none" w:pos="13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Except as otherwise determined by the Board of Directors, shares or certificates therefor may be issued as fractional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for shares held by any dividend reinvestment plan or employee benefit plan created or approved by the Corporation’s Board of Directors, but not by any other person.</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Determination of Shareholders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50"/>
        <w:spacing w:after="0" w:line="256" w:lineRule="auto"/>
        <w:tabs>
          <w:tab w:leader="none" w:pos="13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Fixing Record Date for Purposes of Meetings</w:t>
      </w:r>
      <w:r>
        <w:rPr>
          <w:rFonts w:ascii="Times New Roman" w:cs="Times New Roman" w:eastAsia="Times New Roman" w:hAnsi="Times New Roman"/>
          <w:sz w:val="18"/>
          <w:szCs w:val="18"/>
          <w:color w:val="auto"/>
        </w:rPr>
        <w:t>. The Board of Directors of the Corporation may fix a time prior to the date of any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w:t>
      </w:r>
    </w:p>
    <w:p>
      <w:pPr>
        <w:spacing w:after="0" w:line="1" w:lineRule="exact"/>
        <w:rPr>
          <w:rFonts w:ascii="Times New Roman" w:cs="Times New Roman" w:eastAsia="Times New Roman" w:hAnsi="Times New Roman"/>
          <w:sz w:val="18"/>
          <w:szCs w:val="18"/>
          <w:color w:val="auto"/>
        </w:rPr>
      </w:pPr>
    </w:p>
    <w:p>
      <w:pPr>
        <w:ind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shareholders of record has been made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for purposes of a meeting, the determination shall apply to any adjournment thereof unless the Board of Directors fixes a new record date for the adjourned meeting.</w:t>
      </w:r>
    </w:p>
    <w:p>
      <w:pPr>
        <w:spacing w:after="0" w:line="179" w:lineRule="exact"/>
        <w:rPr>
          <w:rFonts w:ascii="Times New Roman" w:cs="Times New Roman" w:eastAsia="Times New Roman" w:hAnsi="Times New Roman"/>
          <w:sz w:val="18"/>
          <w:szCs w:val="18"/>
          <w:color w:val="auto"/>
        </w:rPr>
      </w:pPr>
    </w:p>
    <w:p>
      <w:pPr>
        <w:ind w:right="80" w:firstLine="850"/>
        <w:spacing w:after="0" w:line="261" w:lineRule="auto"/>
        <w:tabs>
          <w:tab w:leader="none" w:pos="13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Fixing Record Date for Purpose of Distributions</w:t>
      </w:r>
      <w:r>
        <w:rPr>
          <w:rFonts w:ascii="Times New Roman" w:cs="Times New Roman" w:eastAsia="Times New Roman" w:hAnsi="Times New Roman"/>
          <w:sz w:val="18"/>
          <w:szCs w:val="18"/>
          <w:color w:val="auto"/>
        </w:rPr>
        <w:t>. The Board of Directors of the Corporation may fix a time prior to the date of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79" w:lineRule="exact"/>
        <w:rPr>
          <w:rFonts w:ascii="Times New Roman" w:cs="Times New Roman" w:eastAsia="Times New Roman" w:hAnsi="Times New Roman"/>
          <w:sz w:val="18"/>
          <w:szCs w:val="18"/>
          <w:color w:val="auto"/>
        </w:rPr>
      </w:pPr>
    </w:p>
    <w:p>
      <w:pPr>
        <w:ind w:right="60" w:firstLine="850"/>
        <w:spacing w:after="0" w:line="267" w:lineRule="auto"/>
        <w:tabs>
          <w:tab w:leader="none" w:pos="13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Fixing Record Date for Other Purposes</w:t>
      </w:r>
      <w:r>
        <w:rPr>
          <w:rFonts w:ascii="Times New Roman" w:cs="Times New Roman" w:eastAsia="Times New Roman" w:hAnsi="Times New Roman"/>
          <w:sz w:val="18"/>
          <w:szCs w:val="18"/>
          <w:color w:val="auto"/>
        </w:rPr>
        <w:t>. The Board of Directors of the Corporation may fix a time prior to an event or action as a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for the determination of shareholders with respect to an event or action other than a meeting of shareholders or payment of a distribution, which time shall be not more than 90 days prior to the date of the event or action.</w:t>
      </w:r>
    </w:p>
    <w:p>
      <w:pPr>
        <w:spacing w:after="0" w:line="173"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 when No Record Date Fixed. If a record date is not fixed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160" w:firstLine="968"/>
        <w:spacing w:after="0" w:line="266" w:lineRule="auto"/>
        <w:tabs>
          <w:tab w:leader="none" w:pos="211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75" w:lineRule="exact"/>
        <w:rPr>
          <w:rFonts w:ascii="Times New Roman" w:cs="Times New Roman" w:eastAsia="Times New Roman" w:hAnsi="Times New Roman"/>
          <w:sz w:val="18"/>
          <w:szCs w:val="18"/>
          <w:color w:val="auto"/>
        </w:rPr>
      </w:pPr>
    </w:p>
    <w:p>
      <w:pPr>
        <w:ind w:left="660" w:right="160" w:firstLine="968"/>
        <w:spacing w:after="0" w:line="282" w:lineRule="auto"/>
        <w:tabs>
          <w:tab w:leader="none" w:pos="21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shareholders for any other purpose shall be at the close of business on the day on which the Board of Directors adopts the resolution relating thereto.</w:t>
      </w:r>
    </w:p>
    <w:p>
      <w:pPr>
        <w:spacing w:after="0" w:line="159" w:lineRule="exact"/>
        <w:rPr>
          <w:rFonts w:ascii="Times New Roman" w:cs="Times New Roman" w:eastAsia="Times New Roman" w:hAnsi="Times New Roman"/>
          <w:sz w:val="18"/>
          <w:szCs w:val="18"/>
          <w:color w:val="auto"/>
        </w:rPr>
      </w:pPr>
    </w:p>
    <w:p>
      <w:pPr>
        <w:jc w:val="both"/>
        <w:ind w:right="500" w:firstLine="850"/>
        <w:spacing w:after="0" w:line="267" w:lineRule="auto"/>
        <w:tabs>
          <w:tab w:leader="none" w:pos="13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by Nominee</w:t>
      </w:r>
      <w:r>
        <w:rPr>
          <w:rFonts w:ascii="Times New Roman" w:cs="Times New Roman" w:eastAsia="Times New Roman" w:hAnsi="Times New Roman"/>
          <w:sz w:val="18"/>
          <w:szCs w:val="18"/>
          <w:color w:val="auto"/>
        </w:rPr>
        <w:t>. The Board of Directors may adopt a procedure whereby a shareholder of the Corporation may certify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to the Corporation that all or a portion of the shares registered in the name of the shareholder are held for the account of a specified person or persons. The resolution of the Board of Directors may set forth:</w:t>
      </w:r>
    </w:p>
    <w:p>
      <w:pPr>
        <w:spacing w:after="0" w:line="175" w:lineRule="exact"/>
        <w:rPr>
          <w:rFonts w:ascii="Times New Roman" w:cs="Times New Roman" w:eastAsia="Times New Roman" w:hAnsi="Times New Roman"/>
          <w:sz w:val="18"/>
          <w:szCs w:val="18"/>
          <w:color w:val="auto"/>
        </w:rPr>
      </w:pPr>
    </w:p>
    <w:p>
      <w:pPr>
        <w:ind w:left="2120" w:hanging="492"/>
        <w:spacing w:after="0"/>
        <w:tabs>
          <w:tab w:leader="none" w:pos="21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shareholder who may certify;</w:t>
      </w:r>
    </w:p>
    <w:p>
      <w:pPr>
        <w:spacing w:after="0" w:line="22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or purposes for which the certification may be made;</w:t>
      </w:r>
    </w:p>
    <w:p>
      <w:pPr>
        <w:spacing w:after="0" w:line="225" w:lineRule="exact"/>
        <w:rPr>
          <w:rFonts w:ascii="Times New Roman" w:cs="Times New Roman" w:eastAsia="Times New Roman" w:hAnsi="Times New Roman"/>
          <w:sz w:val="18"/>
          <w:szCs w:val="18"/>
          <w:color w:val="auto"/>
        </w:rPr>
      </w:pPr>
    </w:p>
    <w:p>
      <w:pPr>
        <w:ind w:left="2220" w:hanging="592"/>
        <w:spacing w:after="0"/>
        <w:tabs>
          <w:tab w:leader="none" w:pos="2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certification and information to be contained therein;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ind w:left="660" w:right="540" w:firstLine="968"/>
        <w:spacing w:after="0" w:line="282" w:lineRule="auto"/>
        <w:tabs>
          <w:tab w:leader="none" w:pos="22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certification is with respect to a record date, the time after the record date within which the certification must be received by the Corporation; and</w:t>
      </w:r>
    </w:p>
    <w:p>
      <w:pPr>
        <w:spacing w:after="0" w:line="161"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procedure as are deemed necessary or desirable.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6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i w:val="1"/>
          <w:iCs w:val="1"/>
          <w:color w:val="auto"/>
        </w:rPr>
        <w:t>Lost Share Certificates</w:t>
      </w:r>
      <w:r>
        <w:rPr>
          <w:rFonts w:ascii="Times New Roman" w:cs="Times New Roman" w:eastAsia="Times New Roman" w:hAnsi="Times New Roman"/>
          <w:sz w:val="17"/>
          <w:szCs w:val="17"/>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request therefor and issuance thereof have been made before the Corporation has notice that such shares have been acquired by a bona fide purchaser.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otices</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omputing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eriods</w:t>
      </w:r>
    </w:p>
    <w:p>
      <w:pPr>
        <w:spacing w:after="0" w:line="20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Contents of Notice</w:t>
      </w:r>
      <w:r>
        <w:rPr>
          <w:rFonts w:ascii="Times New Roman" w:cs="Times New Roman" w:eastAsia="Times New Roman" w:hAnsi="Times New Roman"/>
          <w:sz w:val="18"/>
          <w:szCs w:val="18"/>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80"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i w:val="1"/>
          <w:iCs w:val="1"/>
          <w:color w:val="auto"/>
        </w:rPr>
        <w:t>Method of Notice</w:t>
      </w:r>
      <w:r>
        <w:rPr>
          <w:rFonts w:ascii="Times New Roman" w:cs="Times New Roman" w:eastAsia="Times New Roman" w:hAnsi="Times New Roman"/>
          <w:sz w:val="17"/>
          <w:szCs w:val="17"/>
          <w:color w:val="auto"/>
        </w:rPr>
        <w:t>. Any notice required to be given to any person under the provisions of the Articles of Incorporation or these Bylaws shall be given to the person either personally or by sending a copy thereof (a) by first class or express mail, postage prepaid, or courier service, charges prepaid, to such person’s postal address appearing on the books of the Corporation, or, in the case of a Director, supplied by such Director to the Corporation for the purpose of notice or (b) by facsimile transmission, e-mail or other electronic communication to such person’s facsimile number or address for e-mail or other electronic communication supplied by such person to the Corporation for purposes of notice. Notice delivered pursuant to clause</w:t>
      </w:r>
    </w:p>
    <w:p>
      <w:pPr>
        <w:spacing w:after="0" w:line="1" w:lineRule="exact"/>
        <w:rPr>
          <w:sz w:val="20"/>
          <w:szCs w:val="20"/>
          <w:color w:val="auto"/>
        </w:rPr>
      </w:pPr>
    </w:p>
    <w:p>
      <w:pPr>
        <w:ind w:right="100" w:firstLine="8"/>
        <w:spacing w:after="0" w:line="253"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shall be deemed to have been given to the person entitled thereto when deposited in the United States mail or with a courier service for delivery to that person, and notice pursuant to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Computing Time Periods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850"/>
        <w:spacing w:after="0" w:line="290" w:lineRule="auto"/>
        <w:tabs>
          <w:tab w:leader="none" w:pos="135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Days to be Counted</w:t>
      </w:r>
      <w:r>
        <w:rPr>
          <w:rFonts w:ascii="Times New Roman" w:cs="Times New Roman" w:eastAsia="Times New Roman" w:hAnsi="Times New Roman"/>
          <w:sz w:val="17"/>
          <w:szCs w:val="17"/>
          <w:color w:val="auto"/>
        </w:rPr>
        <w:t>. Except as otherwise provided by law, the Articles of Incorporation or these Bylaws, in computing the number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days for purposes of these Bylaws, all days shall be counted, including Saturdays, Sundays and any Holiday. In computing the number of days for the purpose of giving notice of any meeting, the date upon which the notice is given shall be counted but the day set for the meeting shall not be counted.</w:t>
      </w:r>
    </w:p>
    <w:p>
      <w:pPr>
        <w:spacing w:after="0" w:line="155" w:lineRule="exact"/>
        <w:rPr>
          <w:rFonts w:ascii="Times New Roman" w:cs="Times New Roman" w:eastAsia="Times New Roman" w:hAnsi="Times New Roman"/>
          <w:sz w:val="17"/>
          <w:szCs w:val="17"/>
          <w:color w:val="auto"/>
        </w:rPr>
      </w:pPr>
    </w:p>
    <w:p>
      <w:pPr>
        <w:ind w:right="260" w:firstLine="850"/>
        <w:spacing w:after="0" w:line="284" w:lineRule="auto"/>
        <w:tabs>
          <w:tab w:leader="none" w:pos="13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One Day Notice</w:t>
      </w:r>
      <w:r>
        <w:rPr>
          <w:rFonts w:ascii="Times New Roman" w:cs="Times New Roman" w:eastAsia="Times New Roman" w:hAnsi="Times New Roman"/>
          <w:sz w:val="18"/>
          <w:szCs w:val="18"/>
          <w:color w:val="auto"/>
        </w:rPr>
        <w:t>. In any case where only one day’s notice is being given, notice must be given at least 24 hours in advance of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time specified for the meeting in question by delivery in person or by telephone, facsimile, email or other means of electronic communication.</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Notice</w:t>
      </w:r>
      <w:r>
        <w:rPr>
          <w:rFonts w:ascii="Times New Roman" w:cs="Times New Roman" w:eastAsia="Times New Roman" w:hAnsi="Times New Roman"/>
          <w:sz w:val="18"/>
          <w:szCs w:val="18"/>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83"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Modification of Proposal Contained in Notice</w:t>
      </w:r>
      <w:r>
        <w:rPr>
          <w:rFonts w:ascii="Times New Roman" w:cs="Times New Roman" w:eastAsia="Times New Roman" w:hAnsi="Times New Roman"/>
          <w:sz w:val="18"/>
          <w:szCs w:val="18"/>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7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Bulk Mail</w:t>
      </w:r>
      <w:r>
        <w:rPr>
          <w:rFonts w:ascii="Times New Roman" w:cs="Times New Roman" w:eastAsia="Times New Roman" w:hAnsi="Times New Roman"/>
          <w:sz w:val="18"/>
          <w:szCs w:val="18"/>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Shareholders Without Forwarding Addresses</w:t>
      </w:r>
      <w:r>
        <w:rPr>
          <w:rFonts w:ascii="Times New Roman" w:cs="Times New Roman" w:eastAsia="Times New Roman" w:hAnsi="Times New Roman"/>
          <w:sz w:val="18"/>
          <w:szCs w:val="18"/>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5" w:name="page36"/>
    <w:bookmarkEnd w:id="35"/>
    <w:p>
      <w:pPr>
        <w:jc w:val="center"/>
        <w:ind w:right="64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ndemnification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ersons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hanging="510"/>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Directors and Officers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968"/>
        <w:spacing w:after="0" w:line="268" w:lineRule="auto"/>
        <w:tabs>
          <w:tab w:leader="none" w:pos="145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w:t>
      </w:r>
    </w:p>
    <w:p>
      <w:pPr>
        <w:spacing w:after="0" w:line="4" w:lineRule="exact"/>
        <w:rPr>
          <w:rFonts w:ascii="Times New Roman" w:cs="Times New Roman" w:eastAsia="Times New Roman" w:hAnsi="Times New Roman"/>
          <w:sz w:val="17"/>
          <w:szCs w:val="17"/>
          <w:color w:val="auto"/>
        </w:rPr>
      </w:pPr>
    </w:p>
    <w:p>
      <w:pPr>
        <w:ind w:right="3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Proceeding to enforce a right to indemnification or advancement of expenses under this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7), unless the Proceeding (or part thereof) was authorized by the Board of Directors.</w:t>
      </w:r>
    </w:p>
    <w:p>
      <w:pPr>
        <w:spacing w:after="0" w:line="181" w:lineRule="exact"/>
        <w:rPr>
          <w:rFonts w:ascii="Times New Roman" w:cs="Times New Roman" w:eastAsia="Times New Roman" w:hAnsi="Times New Roman"/>
          <w:sz w:val="17"/>
          <w:szCs w:val="17"/>
          <w:color w:val="auto"/>
        </w:rPr>
      </w:pPr>
    </w:p>
    <w:p>
      <w:pPr>
        <w:ind w:right="40" w:firstLine="968"/>
        <w:spacing w:after="0" w:line="255" w:lineRule="auto"/>
        <w:tabs>
          <w:tab w:leader="none" w:pos="150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Pennsylvania law continues so to require, the payment of such expenses incurred by the Indemnitee in advance of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84" w:lineRule="exact"/>
        <w:rPr>
          <w:rFonts w:ascii="Times New Roman" w:cs="Times New Roman" w:eastAsia="Times New Roman" w:hAnsi="Times New Roman"/>
          <w:sz w:val="18"/>
          <w:szCs w:val="18"/>
          <w:color w:val="auto"/>
        </w:rPr>
      </w:pPr>
    </w:p>
    <w:p>
      <w:pPr>
        <w:ind w:right="20" w:firstLine="968"/>
        <w:spacing w:after="0" w:line="254" w:lineRule="auto"/>
        <w:tabs>
          <w:tab w:leader="none" w:pos="15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(A)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paragraph shall be deemed service in a “</w:t>
      </w:r>
      <w:r>
        <w:rPr>
          <w:rFonts w:ascii="Times New Roman" w:cs="Times New Roman" w:eastAsia="Times New Roman" w:hAnsi="Times New Roman"/>
          <w:sz w:val="18"/>
          <w:szCs w:val="18"/>
          <w:b w:val="1"/>
          <w:bCs w:val="1"/>
          <w:color w:val="auto"/>
        </w:rPr>
        <w:t>Covered Capacity</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6" w:name="page37"/>
    <w:bookmarkEnd w:id="36"/>
    <w:p>
      <w:pPr>
        <w:ind w:left="660" w:right="880" w:firstLine="968"/>
        <w:spacing w:after="0" w:line="282" w:lineRule="auto"/>
        <w:tabs>
          <w:tab w:leader="none" w:pos="220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shall inure to the benefit of and be enforceable by an Indemnitee’s heirs, executors, administrators and legal representatives.</w:t>
      </w:r>
    </w:p>
    <w:p>
      <w:pPr>
        <w:spacing w:after="0" w:line="161" w:lineRule="exact"/>
        <w:rPr>
          <w:rFonts w:ascii="Times New Roman" w:cs="Times New Roman" w:eastAsia="Times New Roman" w:hAnsi="Times New Roman"/>
          <w:sz w:val="18"/>
          <w:szCs w:val="18"/>
          <w:color w:val="auto"/>
        </w:rPr>
      </w:pPr>
    </w:p>
    <w:p>
      <w:pPr>
        <w:ind w:left="1380" w:hanging="530"/>
        <w:spacing w:after="0"/>
        <w:tabs>
          <w:tab w:leader="none" w:pos="13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Indemnification of Employees and Other Persons. The Corporation may, by action of its Board of Directors and to the extent provided in</w:t>
      </w:r>
    </w:p>
    <w:p>
      <w:pPr>
        <w:spacing w:after="0" w:line="38" w:lineRule="exact"/>
        <w:rPr>
          <w:rFonts w:ascii="Times New Roman" w:cs="Times New Roman" w:eastAsia="Times New Roman" w:hAnsi="Times New Roman"/>
          <w:sz w:val="17"/>
          <w:szCs w:val="17"/>
          <w:color w:val="auto"/>
        </w:rPr>
      </w:pPr>
    </w:p>
    <w:p>
      <w:pPr>
        <w:ind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action, indemnify employees and other persons, and provide for advancement of expenses to such persons in the manner set forth in (a)(ii),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may be indemnified by the Board of Directors pursuant to the first sentence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7.01(b).</w:t>
      </w:r>
    </w:p>
    <w:p>
      <w:pPr>
        <w:spacing w:after="0" w:line="206" w:lineRule="exact"/>
        <w:rPr>
          <w:rFonts w:ascii="Times New Roman" w:cs="Times New Roman" w:eastAsia="Times New Roman" w:hAnsi="Times New Roman"/>
          <w:sz w:val="17"/>
          <w:szCs w:val="17"/>
          <w:color w:val="auto"/>
        </w:rPr>
      </w:pPr>
    </w:p>
    <w:p>
      <w:pPr>
        <w:jc w:val="both"/>
        <w:ind w:right="360" w:firstLine="850"/>
        <w:spacing w:after="0" w:line="266" w:lineRule="auto"/>
        <w:tabs>
          <w:tab w:leader="none" w:pos="13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75" w:lineRule="exact"/>
        <w:rPr>
          <w:rFonts w:ascii="Times New Roman" w:cs="Times New Roman" w:eastAsia="Times New Roman" w:hAnsi="Times New Roman"/>
          <w:sz w:val="18"/>
          <w:szCs w:val="18"/>
          <w:color w:val="auto"/>
        </w:rPr>
      </w:pPr>
    </w:p>
    <w:p>
      <w:pPr>
        <w:ind w:right="120" w:firstLine="850"/>
        <w:spacing w:after="0" w:line="261" w:lineRule="auto"/>
        <w:tabs>
          <w:tab w:leader="none" w:pos="13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79" w:lineRule="exact"/>
        <w:rPr>
          <w:rFonts w:ascii="Times New Roman" w:cs="Times New Roman" w:eastAsia="Times New Roman" w:hAnsi="Times New Roman"/>
          <w:sz w:val="18"/>
          <w:szCs w:val="18"/>
          <w:color w:val="auto"/>
        </w:rPr>
      </w:pPr>
    </w:p>
    <w:p>
      <w:pPr>
        <w:ind w:right="280" w:firstLine="850"/>
        <w:spacing w:after="0" w:line="266" w:lineRule="auto"/>
        <w:tabs>
          <w:tab w:leader="none" w:pos="13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then-serving, or (b) the affirmative vote of shareholders entitled to cast at least 80% of the votes that all shareholders are entitled to cast in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shall have retroactive effect inconsistent with the preceding sentence.</w:t>
      </w:r>
    </w:p>
    <w:p>
      <w:pPr>
        <w:spacing w:after="0" w:line="1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Changes in Pennsylvania Law</w:t>
      </w:r>
      <w:r>
        <w:rPr>
          <w:rFonts w:ascii="Times New Roman" w:cs="Times New Roman" w:eastAsia="Times New Roman" w:hAnsi="Times New Roman"/>
          <w:sz w:val="18"/>
          <w:szCs w:val="18"/>
          <w:color w:val="auto"/>
        </w:rPr>
        <w:t xml:space="preserve">. References in this Article to Pennsylvania law or to any provision thereof shall be to such law, as it existed on the date this Article was adopted or as such law thereafter may be changed;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iscal</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ear</w:t>
      </w:r>
    </w:p>
    <w:p>
      <w:pPr>
        <w:spacing w:after="0" w:line="20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Determination of Fiscal Year</w:t>
      </w:r>
      <w:r>
        <w:rPr>
          <w:rFonts w:ascii="Times New Roman" w:cs="Times New Roman" w:eastAsia="Times New Roman" w:hAnsi="Times New Roman"/>
          <w:sz w:val="18"/>
          <w:szCs w:val="18"/>
          <w:color w:val="auto"/>
        </w:rPr>
        <w:t>. The Board of Directors shall have the power by resolution to fix the fiscal year of the Corporation. If the Board of Directors shall fail to do so, the Chief Executive Officer shall fix the fiscal year.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rticles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ncorporation</w:t>
      </w:r>
    </w:p>
    <w:p>
      <w:pPr>
        <w:spacing w:after="0" w:line="20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Inconsistent Provisions</w:t>
      </w:r>
      <w:r>
        <w:rPr>
          <w:rFonts w:ascii="Times New Roman" w:cs="Times New Roman" w:eastAsia="Times New Roman" w:hAnsi="Times New Roman"/>
          <w:sz w:val="18"/>
          <w:szCs w:val="18"/>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center"/>
        <w:ind w:right="-13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w:t>
      </w:r>
    </w:p>
    <w:p>
      <w:pPr>
        <w:spacing w:after="0" w:line="20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Except as otherwise provided in these Bylaws or in the Articles of Incorporation, including Article SIXTH, Article SEVENTH and Article TENTH of the Articles of Incorporation:</w:t>
      </w:r>
    </w:p>
    <w:p>
      <w:pPr>
        <w:spacing w:after="0" w:line="160" w:lineRule="exact"/>
        <w:rPr>
          <w:sz w:val="20"/>
          <w:szCs w:val="20"/>
          <w:color w:val="auto"/>
        </w:rPr>
      </w:pPr>
    </w:p>
    <w:p>
      <w:pPr>
        <w:ind w:right="20" w:firstLine="850"/>
        <w:spacing w:after="0" w:line="281" w:lineRule="auto"/>
        <w:tabs>
          <w:tab w:leader="none" w:pos="135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64" w:lineRule="exact"/>
        <w:rPr>
          <w:rFonts w:ascii="Times New Roman" w:cs="Times New Roman" w:eastAsia="Times New Roman" w:hAnsi="Times New Roman"/>
          <w:sz w:val="17"/>
          <w:szCs w:val="17"/>
          <w:color w:val="auto"/>
        </w:rPr>
      </w:pPr>
    </w:p>
    <w:p>
      <w:pPr>
        <w:ind w:firstLine="850"/>
        <w:spacing w:after="0" w:line="261" w:lineRule="auto"/>
        <w:tabs>
          <w:tab w:leader="none" w:pos="136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of Directors shall not have the power to amend these Bylaws on any subject that is expressly committed to the shareholders by the express terms hereof, by the Pennsylvania BCL or otherwise.</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nterpretation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ylaws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eparability</w:t>
      </w:r>
    </w:p>
    <w:p>
      <w:pPr>
        <w:spacing w:after="0" w:line="205"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All words, terms and provisions of these Bylaws shall be interpreted and defined by and in accordance with the Pennsylvania BCL.</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Separability</w:t>
      </w:r>
      <w:r>
        <w:rPr>
          <w:rFonts w:ascii="Times New Roman" w:cs="Times New Roman" w:eastAsia="Times New Roman" w:hAnsi="Times New Roman"/>
          <w:sz w:val="18"/>
          <w:szCs w:val="18"/>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eterminations by 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oard</w:t>
      </w:r>
    </w:p>
    <w:p>
      <w:pPr>
        <w:spacing w:after="0" w:line="20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Effect of Board Determinations</w:t>
      </w:r>
      <w:r>
        <w:rPr>
          <w:rFonts w:ascii="Times New Roman" w:cs="Times New Roman" w:eastAsia="Times New Roman" w:hAnsi="Times New Roman"/>
          <w:sz w:val="18"/>
          <w:szCs w:val="18"/>
          <w:color w:val="auto"/>
        </w:rPr>
        <w:t>. Any determination involving interpretation or application of these Bylaws made in good faith by the Board of Directors shall be final, binding and conclusive on all parties in interest.</w:t>
      </w: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5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2"/>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4"/>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Letter"/>
      <w:start w:val="1"/>
    </w:lvl>
  </w:abstractNum>
  <w:abstractNum w:abstractNumId="7">
    <w:nsid w:val="3006C83E"/>
    <w:multiLevelType w:val="hybridMultilevel"/>
    <w:lvl w:ilvl="0">
      <w:lvlJc w:val="left"/>
      <w:lvlText w:val="(%1)"/>
      <w:numFmt w:val="lowerLetter"/>
      <w:start w:val="2"/>
    </w:lvl>
  </w:abstractNum>
  <w:abstractNum w:abstractNumId="8">
    <w:nsid w:val="614FD4A1"/>
    <w:multiLevelType w:val="hybridMultilevel"/>
    <w:lvl w:ilvl="0">
      <w:lvlJc w:val="left"/>
      <w:lvlText w:val="(%1)"/>
      <w:numFmt w:val="lowerLetter"/>
      <w:start w:val="1"/>
    </w:lvl>
    <w:lvl w:ilvl="1">
      <w:lvlJc w:val="left"/>
      <w:lvlText w:val="(%2)"/>
      <w:numFmt w:val="lowerLetter"/>
      <w:start w:val="9"/>
    </w:lvl>
  </w:abstractNum>
  <w:abstractNum w:abstractNumId="9">
    <w:nsid w:val="419AC241"/>
    <w:multiLevelType w:val="hybridMultilevel"/>
    <w:lvl w:ilvl="0">
      <w:lvlJc w:val="left"/>
      <w:lvlText w:val="(%1)"/>
      <w:numFmt w:val="lowerRoman"/>
      <w:start w:val="2"/>
    </w:lvl>
  </w:abstractNum>
  <w:abstractNum w:abstractNumId="10">
    <w:nsid w:val="5577F8E1"/>
    <w:multiLevelType w:val="hybridMultilevel"/>
    <w:lvl w:ilvl="0">
      <w:lvlJc w:val="left"/>
      <w:lvlText w:val="(%1)"/>
      <w:numFmt w:val="lowerRoman"/>
      <w:start w:val="3"/>
    </w:lvl>
    <w:lvl w:ilvl="1">
      <w:lvlJc w:val="left"/>
      <w:lvlText w:val="(%2)"/>
      <w:numFmt w:val="upperLetter"/>
      <w:start w:val="1"/>
    </w:lvl>
  </w:abstractNum>
  <w:abstractNum w:abstractNumId="11">
    <w:nsid w:val="440BADFC"/>
    <w:multiLevelType w:val="hybridMultilevel"/>
    <w:lvl w:ilvl="0">
      <w:lvlJc w:val="left"/>
      <w:lvlText w:val="(%1)"/>
      <w:numFmt w:val="upperLetter"/>
      <w:start w:val="3"/>
    </w:lvl>
    <w:lvl w:ilvl="1">
      <w:lvlJc w:val="left"/>
      <w:lvlText w:val="(%2)"/>
      <w:numFmt w:val="decimal"/>
      <w:start w:val="1"/>
    </w:lvl>
  </w:abstractNum>
  <w:abstractNum w:abstractNumId="12">
    <w:nsid w:val="5072367"/>
    <w:multiLevelType w:val="hybridMultilevel"/>
    <w:lvl w:ilvl="0">
      <w:lvlJc w:val="left"/>
      <w:lvlText w:val="(%1)"/>
      <w:numFmt w:val="decimal"/>
      <w:start w:val="4"/>
    </w:lvl>
  </w:abstractNum>
  <w:abstractNum w:abstractNumId="13">
    <w:nsid w:val="3804823E"/>
    <w:multiLevelType w:val="hybridMultilevel"/>
    <w:lvl w:ilvl="0">
      <w:lvlJc w:val="left"/>
      <w:lvlText w:val="(%1)"/>
      <w:numFmt w:val="decimal"/>
      <w:start w:val="6"/>
    </w:lvl>
  </w:abstractNum>
  <w:abstractNum w:abstractNumId="14">
    <w:nsid w:val="77465F01"/>
    <w:multiLevelType w:val="hybridMultilevel"/>
    <w:lvl w:ilvl="0">
      <w:lvlJc w:val="left"/>
      <w:lvlText w:val="(%1)"/>
      <w:numFmt w:val="upperLetter"/>
      <w:start w:val="4"/>
    </w:lvl>
  </w:abstractNum>
  <w:abstractNum w:abstractNumId="15">
    <w:nsid w:val="7724C67E"/>
    <w:multiLevelType w:val="hybridMultilevel"/>
    <w:lvl w:ilvl="0">
      <w:lvlJc w:val="left"/>
      <w:lvlText w:val="%1"/>
      <w:numFmt w:val="lowerRoman"/>
      <w:start w:val="1"/>
    </w:lvl>
    <w:lvl w:ilvl="1">
      <w:lvlJc w:val="left"/>
      <w:lvlText w:val="(%2)"/>
      <w:numFmt w:val="upperLetter"/>
      <w:start w:val="5"/>
    </w:lvl>
  </w:abstractNum>
  <w:abstractNum w:abstractNumId="16">
    <w:nsid w:val="5C482A97"/>
    <w:multiLevelType w:val="hybridMultilevel"/>
    <w:lvl w:ilvl="0">
      <w:lvlJc w:val="left"/>
      <w:lvlText w:val="(%1)"/>
      <w:numFmt w:val="lowerRoman"/>
      <w:start w:val="4"/>
    </w:lvl>
    <w:lvl w:ilvl="1">
      <w:lvlJc w:val="left"/>
      <w:lvlText w:val="%2"/>
      <w:numFmt w:val="upperLetter"/>
      <w:start w:val="1"/>
    </w:lvl>
  </w:abstractNum>
  <w:abstractNum w:abstractNumId="17">
    <w:nsid w:val="2463B9EA"/>
    <w:multiLevelType w:val="hybridMultilevel"/>
    <w:lvl w:ilvl="0">
      <w:lvlJc w:val="left"/>
      <w:lvlText w:val="(%1)"/>
      <w:numFmt w:val="lowerLetter"/>
      <w:start w:val="2"/>
    </w:lvl>
  </w:abstractNum>
  <w:abstractNum w:abstractNumId="18">
    <w:nsid w:val="5E884ADC"/>
    <w:multiLevelType w:val="hybridMultilevel"/>
    <w:lvl w:ilvl="0">
      <w:lvlJc w:val="left"/>
      <w:lvlText w:val="(%1)"/>
      <w:numFmt w:val="lowerLetter"/>
      <w:start w:val="3"/>
    </w:lvl>
  </w:abstractNum>
  <w:abstractNum w:abstractNumId="19">
    <w:nsid w:val="51EAD36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0">
    <w:nsid w:val="2D51779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21">
    <w:nsid w:val="580BD78F"/>
    <w:multiLevelType w:val="hybridMultilevel"/>
    <w:lvl w:ilvl="0">
      <w:lvlJc w:val="left"/>
      <w:lvlText w:val="%1"/>
      <w:numFmt w:val="lowerLetter"/>
      <w:start w:val="1"/>
    </w:lvl>
    <w:lvl w:ilvl="1">
      <w:lvlJc w:val="left"/>
      <w:lvlText w:val="(%2)"/>
      <w:numFmt w:val="lowerRoman"/>
      <w:start w:val="4"/>
    </w:lvl>
  </w:abstractNum>
  <w:abstractNum w:abstractNumId="22">
    <w:nsid w:val="153EA438"/>
    <w:multiLevelType w:val="hybridMultilevel"/>
    <w:lvl w:ilvl="0">
      <w:lvlJc w:val="left"/>
      <w:lvlText w:val="(%1)"/>
      <w:numFmt w:val="lowerLetter"/>
      <w:start w:val="5"/>
    </w:lvl>
    <w:lvl w:ilvl="1">
      <w:lvlJc w:val="left"/>
      <w:lvlText w:val="%2"/>
      <w:numFmt w:val="lowerRoman"/>
      <w:start w:val="1"/>
    </w:lvl>
  </w:abstractNum>
  <w:abstractNum w:abstractNumId="23">
    <w:nsid w:val="3855585C"/>
    <w:multiLevelType w:val="hybridMultilevel"/>
    <w:lvl w:ilvl="0">
      <w:lvlJc w:val="left"/>
      <w:lvlText w:val="(%1)"/>
      <w:numFmt w:val="lowerLetter"/>
      <w:start w:val="6"/>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lvl w:ilvl="1">
      <w:lvlJc w:val="left"/>
      <w:lvlText w:val="(%2)"/>
      <w:numFmt w:val="lowerRoman"/>
      <w:start w:val="1"/>
    </w:lvl>
  </w:abstractNum>
  <w:abstractNum w:abstractNumId="29">
    <w:nsid w:val="2CD89A32"/>
    <w:multiLevelType w:val="hybridMultilevel"/>
    <w:lvl w:ilvl="0">
      <w:lvlJc w:val="left"/>
      <w:lvlText w:val="(%1)"/>
      <w:numFmt w:val="lowerLetter"/>
      <w:start w:val="2"/>
    </w:lvl>
    <w:lvl w:ilvl="1">
      <w:lvlJc w:val="left"/>
      <w:lvlText w:val="%2"/>
      <w:numFmt w:val="lowerRoman"/>
      <w:start w:val="1"/>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1"/>
    </w:lvl>
    <w:lvl w:ilvl="1">
      <w:lvlJc w:val="left"/>
      <w:lvlText w:val="(%2)"/>
      <w:numFmt w:val="lowerRoman"/>
      <w:start w:val="1"/>
    </w:lvl>
  </w:abstractNum>
  <w:abstractNum w:abstractNumId="32">
    <w:nsid w:val="4B588F54"/>
    <w:multiLevelType w:val="hybridMultilevel"/>
    <w:lvl w:ilvl="0">
      <w:lvlJc w:val="left"/>
      <w:lvlText w:val="(%1)"/>
      <w:numFmt w:val="lowerLetter"/>
      <w:start w:val="2"/>
    </w:lvl>
    <w:lvl w:ilvl="1">
      <w:lvlJc w:val="left"/>
      <w:lvlText w:val="%2"/>
      <w:numFmt w:val="lowerRoman"/>
      <w:start w:val="1"/>
    </w:lvl>
  </w:abstractNum>
  <w:abstractNum w:abstractNumId="33">
    <w:nsid w:val="542289EC"/>
    <w:multiLevelType w:val="hybridMultilevel"/>
    <w:lvl w:ilvl="0">
      <w:lvlJc w:val="left"/>
      <w:lvlText w:val="(%1)"/>
      <w:numFmt w:val="lowerLetter"/>
      <w:start w:val="4"/>
    </w:lvl>
  </w:abstractNum>
  <w:abstractNum w:abstractNumId="34">
    <w:nsid w:val="6DE91B18"/>
    <w:multiLevelType w:val="hybridMultilevel"/>
    <w:lvl w:ilvl="0">
      <w:lvlJc w:val="left"/>
      <w:lvlText w:val="(%1)"/>
      <w:numFmt w:val="lowerLetter"/>
      <w:start w:val="1"/>
    </w:lvl>
    <w:lvl w:ilvl="1">
      <w:lvlJc w:val="left"/>
      <w:lvlText w:val="(%2)"/>
      <w:numFmt w:val="lowerLetter"/>
      <w:start w:val="9"/>
    </w:lvl>
  </w:abstractNum>
  <w:abstractNum w:abstractNumId="35">
    <w:nsid w:val="38437FDB"/>
    <w:multiLevelType w:val="hybridMultilevel"/>
    <w:lvl w:ilvl="0">
      <w:lvlJc w:val="left"/>
      <w:lvlText w:val="%1"/>
      <w:numFmt w:val="lowerLetter"/>
      <w:start w:val="1"/>
    </w:lvl>
    <w:lvl w:ilvl="1">
      <w:lvlJc w:val="left"/>
      <w:lvlText w:val="(%2)"/>
      <w:numFmt w:val="lowerLetter"/>
      <w:start w:val="35"/>
    </w:lvl>
  </w:abstractNum>
  <w:abstractNum w:abstractNumId="36">
    <w:nsid w:val="7644A45C"/>
    <w:multiLevelType w:val="hybridMultilevel"/>
    <w:lvl w:ilvl="0">
      <w:lvlJc w:val="left"/>
      <w:lvlText w:val="(%1)"/>
      <w:numFmt w:val="lowerLetter"/>
      <w:start w:val="2"/>
    </w:lvl>
    <w:lvl w:ilvl="1">
      <w:lvlJc w:val="left"/>
      <w:lvlText w:val="(%2)"/>
      <w:numFmt w:val="lowerLetter"/>
      <w:start w:val="9"/>
    </w:lvl>
  </w:abstractNum>
  <w:abstractNum w:abstractNumId="37">
    <w:nsid w:val="32FFF902"/>
    <w:multiLevelType w:val="hybridMultilevel"/>
    <w:lvl w:ilvl="0">
      <w:lvlJc w:val="left"/>
      <w:lvlText w:val="(%1)"/>
      <w:numFmt w:val="lowerRoman"/>
      <w:start w:val="2"/>
    </w:lvl>
  </w:abstractNum>
  <w:abstractNum w:abstractNumId="38">
    <w:nsid w:val="684A481A"/>
    <w:multiLevelType w:val="hybridMultilevel"/>
    <w:lvl w:ilvl="0">
      <w:lvlJc w:val="left"/>
      <w:lvlText w:val="(%1)"/>
      <w:numFmt w:val="lowerLetter"/>
      <w:start w:val="3"/>
    </w:lvl>
    <w:lvl w:ilvl="1">
      <w:lvlJc w:val="left"/>
      <w:lvlText w:val="(%2)"/>
      <w:numFmt w:val="lowerRoman"/>
      <w:start w:val="1"/>
    </w:lvl>
  </w:abstractNum>
  <w:abstractNum w:abstractNumId="39">
    <w:nsid w:val="579478FE"/>
    <w:multiLevelType w:val="hybridMultilevel"/>
    <w:lvl w:ilvl="0">
      <w:lvlJc w:val="left"/>
      <w:lvlText w:val="(%1)"/>
      <w:numFmt w:val="lowerRoman"/>
      <w:start w:val="3"/>
    </w:lvl>
  </w:abstractNum>
  <w:abstractNum w:abstractNumId="40">
    <w:nsid w:val="749ABB43"/>
    <w:multiLevelType w:val="hybridMultilevel"/>
    <w:lvl w:ilvl="0">
      <w:lvlJc w:val="left"/>
      <w:lvlText w:val="%1"/>
      <w:numFmt w:val="lowerLetter"/>
      <w:start w:val="1"/>
    </w:lvl>
    <w:lvl w:ilvl="1">
      <w:lvlJc w:val="left"/>
      <w:lvlText w:val="(%2)"/>
      <w:numFmt w:val="lowerLetter"/>
      <w:start w:val="22"/>
    </w:lvl>
  </w:abstractNum>
  <w:abstractNum w:abstractNumId="41">
    <w:nsid w:val="3DC240FB"/>
    <w:multiLevelType w:val="hybridMultilevel"/>
    <w:lvl w:ilvl="0">
      <w:lvlJc w:val="left"/>
      <w:lvlText w:val="(%1)"/>
      <w:numFmt w:val="lowerLetter"/>
      <w:start w:val="4"/>
    </w:lvl>
    <w:lvl w:ilvl="1">
      <w:lvlJc w:val="left"/>
      <w:lvlText w:val="(%2)"/>
      <w:numFmt w:val="lowerLetter"/>
      <w:start w:val="9"/>
    </w:lvl>
  </w:abstractNum>
  <w:abstractNum w:abstractNumId="42">
    <w:nsid w:val="1BA026FA"/>
    <w:multiLevelType w:val="hybridMultilevel"/>
    <w:lvl w:ilvl="0">
      <w:lvlJc w:val="left"/>
      <w:lvlText w:val="(%1)"/>
      <w:numFmt w:val="upperLetter"/>
      <w:start w:val="1"/>
    </w:lvl>
  </w:abstractNum>
  <w:abstractNum w:abstractNumId="43">
    <w:nsid w:val="79A1DEAA"/>
    <w:multiLevelType w:val="hybridMultilevel"/>
    <w:lvl w:ilvl="0">
      <w:lvlJc w:val="left"/>
      <w:lvlText w:val="%1"/>
      <w:numFmt w:val="decimal"/>
      <w:start w:val="1"/>
    </w:lvl>
    <w:lvl w:ilvl="1">
      <w:lvlJc w:val="left"/>
      <w:lvlText w:val="(%2)"/>
      <w:numFmt w:val="upperLetter"/>
      <w:start w:val="5"/>
    </w:lvl>
  </w:abstractNum>
  <w:abstractNum w:abstractNumId="44">
    <w:nsid w:val="75C6C33A"/>
    <w:multiLevelType w:val="hybridMultilevel"/>
    <w:lvl w:ilvl="0">
      <w:lvlJc w:val="left"/>
      <w:lvlText w:val="(%1)"/>
      <w:numFmt w:val="decimal"/>
      <w:start w:val="1"/>
    </w:lvl>
    <w:lvl w:ilvl="1">
      <w:lvlJc w:val="left"/>
      <w:lvlText w:val="%2"/>
      <w:numFmt w:val="upperLetter"/>
      <w:start w:val="1"/>
    </w:lvl>
  </w:abstractNum>
  <w:abstractNum w:abstractNumId="45">
    <w:nsid w:val="12E685FB"/>
    <w:multiLevelType w:val="hybridMultilevel"/>
    <w:lvl w:ilvl="0">
      <w:lvlJc w:val="left"/>
      <w:lvlText w:val="(%1)"/>
      <w:numFmt w:val="decimal"/>
      <w:start w:val="4"/>
    </w:lvl>
    <w:lvl w:ilvl="1">
      <w:lvlJc w:val="left"/>
      <w:lvlText w:val="%2"/>
      <w:numFmt w:val="upperLetter"/>
      <w:start w:val="1"/>
    </w:lvl>
  </w:abstractNum>
  <w:abstractNum w:abstractNumId="46">
    <w:nsid w:val="70C6A529"/>
    <w:multiLevelType w:val="hybridMultilevel"/>
    <w:lvl w:ilvl="0">
      <w:lvlJc w:val="left"/>
      <w:lvlText w:val="(%1)"/>
      <w:numFmt w:val="upperLetter"/>
      <w:start w:val="6"/>
    </w:lvl>
  </w:abstractNum>
  <w:abstractNum w:abstractNumId="47">
    <w:nsid w:val="520EEDD1"/>
    <w:multiLevelType w:val="hybridMultilevel"/>
    <w:lvl w:ilvl="0">
      <w:lvlJc w:val="left"/>
      <w:lvlText w:val="%1"/>
      <w:numFmt w:val="lowerLetter"/>
      <w:start w:val="1"/>
    </w:lvl>
    <w:lvl w:ilvl="1">
      <w:lvlJc w:val="left"/>
      <w:lvlText w:val="(%2)"/>
      <w:numFmt w:val="lowerLetter"/>
      <w:start w:val="35"/>
    </w:lvl>
  </w:abstractNum>
  <w:abstractNum w:abstractNumId="48">
    <w:nsid w:val="374A3FE6"/>
    <w:multiLevelType w:val="hybridMultilevel"/>
    <w:lvl w:ilvl="0">
      <w:lvlJc w:val="left"/>
      <w:lvlText w:val="(%1)"/>
      <w:numFmt w:val="lowerLetter"/>
      <w:start w:val="5"/>
    </w:lvl>
    <w:lvl w:ilvl="1">
      <w:lvlJc w:val="left"/>
      <w:lvlText w:val="(%2)"/>
      <w:numFmt w:val="lowerLetter"/>
      <w:start w:val="9"/>
    </w:lvl>
  </w:abstractNum>
  <w:abstractNum w:abstractNumId="49">
    <w:nsid w:val="4F4EF005"/>
    <w:multiLevelType w:val="hybridMultilevel"/>
    <w:lvl w:ilvl="0">
      <w:lvlJc w:val="left"/>
      <w:lvlText w:val="(%1)"/>
      <w:numFmt w:val="lowerRoman"/>
      <w:start w:val="2"/>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lvl w:ilvl="1">
      <w:lvlJc w:val="left"/>
      <w:lvlText w:val="(%2)"/>
      <w:numFmt w:val="lowerRoman"/>
      <w:start w:val="1"/>
    </w:lvl>
  </w:abstractNum>
  <w:abstractNum w:abstractNumId="52">
    <w:nsid w:val="275AC794"/>
    <w:multiLevelType w:val="hybridMultilevel"/>
    <w:lvl w:ilvl="0">
      <w:lvlJc w:val="left"/>
      <w:lvlText w:val="(%1)"/>
      <w:numFmt w:val="lowerRoman"/>
      <w:start w:val="4"/>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1"/>
    </w:lvl>
    <w:lvl w:ilvl="1">
      <w:lvlJc w:val="left"/>
      <w:lvlText w:val="(%2)"/>
      <w:numFmt w:val="lowerRoman"/>
      <w:start w:val="1"/>
    </w:lvl>
  </w:abstractNum>
  <w:abstractNum w:abstractNumId="56">
    <w:nsid w:val="235BA861"/>
    <w:multiLevelType w:val="hybridMultilevel"/>
    <w:lvl w:ilvl="0">
      <w:lvlJc w:val="left"/>
      <w:lvlText w:val="%1"/>
      <w:numFmt w:val="lowerLetter"/>
      <w:start w:val="1"/>
    </w:lvl>
    <w:lvl w:ilvl="1">
      <w:lvlJc w:val="left"/>
      <w:lvlText w:val="(%2)"/>
      <w:numFmt w:val="lowerRoman"/>
      <w:start w:val="4"/>
    </w:lvl>
  </w:abstractNum>
  <w:abstractNum w:abstractNumId="57">
    <w:nsid w:val="47398C89"/>
    <w:multiLevelType w:val="hybridMultilevel"/>
    <w:lvl w:ilvl="0">
      <w:lvlJc w:val="left"/>
      <w:lvlText w:val="(%1)"/>
      <w:numFmt w:val="lowerLetter"/>
      <w:start w:val="2"/>
    </w:lvl>
    <w:lvl w:ilvl="1">
      <w:lvlJc w:val="left"/>
      <w:lvlText w:val="%2"/>
      <w:numFmt w:val="lowerRoman"/>
      <w:start w:val="1"/>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2026-01-07T08:03:20Z</dcterms:created>
  <dcterms:modified xsi:type="dcterms:W3CDTF">2026-01-07T08:03:20Z</dcterms:modified>
</cp:coreProperties>
</file>