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3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6, 2026 </w:t>
      </w:r>
    </w:p>
    <w:p>
      <w:pPr>
        <w:pStyle w:val="TextBody"/>
        <w:bidi w:val="0"/>
        <w:spacing w:before="0" w:after="0"/>
        <w:jc w:val="center"/>
        <w:rPr/>
      </w:pPr>
      <w:r>
        <w:rPr/>
      </w:r>
    </w:p>
    <w:tbl>
      <w:tblPr>
        <w:tblW w:w="9148" w:type="dxa"/>
        <w:jc w:val="left"/>
        <w:tblInd w:w="0" w:type="dxa"/>
        <w:tblLayout w:type="fixed"/>
        <w:tblCellMar>
          <w:top w:w="28" w:type="dxa"/>
          <w:left w:w="28" w:type="dxa"/>
          <w:bottom w:w="28" w:type="dxa"/>
          <w:right w:w="28" w:type="dxa"/>
        </w:tblCellMar>
      </w:tblPr>
      <w:tblGrid>
        <w:gridCol w:w="1152"/>
        <w:gridCol w:w="1011"/>
        <w:gridCol w:w="1016"/>
        <w:gridCol w:w="1144"/>
        <w:gridCol w:w="1144"/>
        <w:gridCol w:w="1147"/>
        <w:gridCol w:w="740"/>
        <w:gridCol w:w="740"/>
        <w:gridCol w:w="10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Versant Media Group, Inc.</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001-42856</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39-2087186</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229 West 43rd Street</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(646) 832-1000 </w:t>
      </w:r>
    </w:p>
    <w:p>
      <w:pPr>
        <w:pStyle w:val="TextBody"/>
        <w:bidi w:val="0"/>
        <w:spacing w:lineRule="auto" w:line="288" w:before="180" w:after="283"/>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7709" w:type="dxa"/>
        <w:jc w:val="center"/>
        <w:tblInd w:w="0" w:type="dxa"/>
        <w:tblLayout w:type="fixed"/>
        <w:tblCellMar>
          <w:top w:w="28" w:type="dxa"/>
          <w:left w:w="28" w:type="dxa"/>
          <w:bottom w:w="28" w:type="dxa"/>
          <w:right w:w="28" w:type="dxa"/>
        </w:tblCellMar>
      </w:tblPr>
      <w:tblGrid>
        <w:gridCol w:w="1067"/>
        <w:gridCol w:w="936"/>
        <w:gridCol w:w="936"/>
        <w:gridCol w:w="485"/>
        <w:gridCol w:w="485"/>
        <w:gridCol w:w="485"/>
        <w:gridCol w:w="971"/>
        <w:gridCol w:w="971"/>
        <w:gridCol w:w="1373"/>
      </w:tblGrid>
      <w:tr>
        <w:trPr/>
        <w:tc>
          <w:tcPr>
            <w:tcW w:w="10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VSNT</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3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Versant Media Group, Inc (“Versant”) issued a press release reporting its financial results and the results of its operations for the quarter ended June 30, 2026. A copy of the press release is furnished as Exhibit 99.1 to this Current Report on Form 8-K and is incorporated herein by reference.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Versant also posted certain supplemental financial information on its website. A copy of this supplemental financial information is furnished as Exhibit 99.2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being furnished pursuant to Item 2.02, including Exhibit 99.1, and Item 7.01, including Exhibit 99.2, of this Current Report on Form 8-K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8083" w:type="dxa"/>
        <w:jc w:val="left"/>
        <w:tblInd w:w="0" w:type="dxa"/>
        <w:tblLayout w:type="fixed"/>
        <w:tblCellMar>
          <w:top w:w="28" w:type="dxa"/>
          <w:left w:w="28" w:type="dxa"/>
          <w:bottom w:w="28" w:type="dxa"/>
          <w:right w:w="28" w:type="dxa"/>
        </w:tblCellMar>
      </w:tblPr>
      <w:tblGrid>
        <w:gridCol w:w="538"/>
        <w:gridCol w:w="472"/>
        <w:gridCol w:w="474"/>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versantmediagroupincex991q.htm">
              <w:r>
                <w:rPr>
                  <w:rStyle w:val="InternetLink"/>
                  <w:rFonts w:ascii="Times New Roman;serif" w:hAnsi="Times New Roman;serif"/>
                  <w:b w:val="false"/>
                  <w:color w:val="0000FF"/>
                  <w:sz w:val="20"/>
                  <w:u w:val="single"/>
                </w:rPr>
                <w:t>99.1</w:t>
              </w:r>
            </w:hyperlink>
          </w:p>
        </w:tc>
        <w:tc>
          <w:tcPr>
            <w:tcW w:w="6599"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versantmediagroupincex991q.htm">
              <w:r>
                <w:rPr>
                  <w:rStyle w:val="InternetLink"/>
                  <w:rFonts w:ascii="Times New Roman;serif" w:hAnsi="Times New Roman;serif"/>
                  <w:b w:val="false"/>
                  <w:color w:val="0000FF"/>
                  <w:sz w:val="20"/>
                  <w:u w:val="single"/>
                </w:rPr>
                <w:t>Second Quarter 2026 Earnings Press Release dated August 6,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2-supplementalf.htm">
              <w:r>
                <w:rPr>
                  <w:rStyle w:val="InternetLink"/>
                  <w:rFonts w:ascii="Times New Roman;serif" w:hAnsi="Times New Roman;serif"/>
                  <w:b w:val="false"/>
                  <w:color w:val="0000FF"/>
                  <w:sz w:val="20"/>
                  <w:u w:val="single"/>
                </w:rPr>
                <w:t>99.2</w:t>
              </w:r>
            </w:hyperlink>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supplementalf.htm">
              <w:r>
                <w:rPr>
                  <w:rStyle w:val="InternetLink"/>
                  <w:rFonts w:ascii="Times New Roman;serif" w:hAnsi="Times New Roman;serif"/>
                  <w:b w:val="false"/>
                  <w:color w:val="0000FF"/>
                  <w:sz w:val="20"/>
                  <w:u w:val="single"/>
                </w:rPr>
                <w:t>Supplemental Financial Information</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58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57"/>
        <w:gridCol w:w="457"/>
        <w:gridCol w:w="457"/>
        <w:gridCol w:w="1256"/>
        <w:gridCol w:w="1256"/>
        <w:gridCol w:w="17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VERSANT MEDIA GROUP,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41" w:type="dxa"/>
        <w:jc w:val="left"/>
        <w:tblInd w:w="0" w:type="dxa"/>
        <w:tblLayout w:type="fixed"/>
        <w:tblCellMar>
          <w:top w:w="28" w:type="dxa"/>
          <w:left w:w="28" w:type="dxa"/>
          <w:bottom w:w="28" w:type="dxa"/>
          <w:right w:w="28" w:type="dxa"/>
        </w:tblCellMar>
      </w:tblPr>
      <w:tblGrid>
        <w:gridCol w:w="336"/>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295"/>
        <w:gridCol w:w="430"/>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8141" w:type="dxa"/>
            <w:gridSpan w:val="27"/>
            <w:tcBorders/>
            <w:tcMar>
              <w:top w:w="0" w:type="dxa"/>
              <w:left w:w="0" w:type="dxa"/>
              <w:bottom w:w="0" w:type="dxa"/>
              <w:right w:w="0" w:type="dxa"/>
            </w:tcMar>
            <w:vAlign w:val="center"/>
          </w:tcPr>
          <w:p>
            <w:pPr>
              <w:pStyle w:val="TableContents"/>
              <w:bidi w:val="0"/>
              <w:spacing w:lineRule="auto" w:line="288" w:before="0" w:after="100"/>
              <w:jc w:val="center"/>
              <w:rPr/>
            </w:pPr>
            <w:r>
              <w:rPr>
                <w:color w:val="000000"/>
              </w:rPr>
              <w:t>  </w:t>
            </w:r>
            <w:r>
              <w:rPr/>
              <w:drawing>
                <wp:inline distT="0" distB="0" distL="0" distR="0">
                  <wp:extent cx="5000625" cy="819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000625" cy="819150"/>
                          </a:xfrm>
                          <a:prstGeom prst="rect">
                            <a:avLst/>
                          </a:prstGeom>
                        </pic:spPr>
                      </pic:pic>
                    </a:graphicData>
                  </a:graphic>
                </wp:inline>
              </w:drawing>
            </w:r>
          </w:p>
        </w:tc>
      </w:tr>
    </w:tbl>
    <w:p>
      <w:pPr>
        <w:pStyle w:val="TextBody"/>
        <w:bidi w:val="0"/>
        <w:spacing w:lineRule="auto" w:line="288" w:before="120" w:after="283"/>
        <w:jc w:val="center"/>
        <w:rPr>
          <w:rFonts w:ascii="Arial;sans-serif" w:hAnsi="Arial;sans-serif"/>
          <w:b/>
          <w:color w:val="000000"/>
          <w:sz w:val="30"/>
        </w:rPr>
      </w:pPr>
      <w:r>
        <w:rPr>
          <w:rFonts w:ascii="Arial;sans-serif" w:hAnsi="Arial;sans-serif"/>
          <w:b/>
          <w:color w:val="000000"/>
          <w:sz w:val="30"/>
        </w:rPr>
        <w:t>Versant Media Reports Second Quarter 2026 Operating and Financial Results</w:t>
      </w:r>
    </w:p>
    <w:p>
      <w:pPr>
        <w:pStyle w:val="TextBody"/>
        <w:bidi w:val="0"/>
        <w:spacing w:before="120" w:after="283"/>
        <w:jc w:val="center"/>
        <w:rPr/>
      </w:pPr>
      <w:r>
        <w:rPr/>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Revenue of $1.64 Billion</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Net Income Attributable to Versant of $211 Million</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Adjusted EBITDA of $624 Million</w:t>
      </w:r>
      <w:r>
        <w:rPr>
          <w:rFonts w:ascii="Arial;sans-serif" w:hAnsi="Arial;sans-serif"/>
          <w:b/>
          <w:color w:val="000000"/>
          <w:sz w:val="13"/>
        </w:rPr>
        <w:t>1</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Declared Third Quarterly Cash Dividend of $0.375 Per Share</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Completed $100 Million Accelerated Share Repurchase Transaction</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Announced an Additional Planned $100 Million ASR in the Third Quarter of 2026</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color w:val="000000"/>
          <w:sz w:val="20"/>
        </w:rPr>
        <w:t xml:space="preserve">NEW YORK, NY – August 6, 2026. </w:t>
      </w:r>
      <w:r>
        <w:rPr>
          <w:rFonts w:ascii="Arial;sans-serif" w:hAnsi="Arial;sans-serif"/>
          <w:b w:val="false"/>
          <w:color w:val="000000"/>
          <w:sz w:val="20"/>
        </w:rPr>
        <w:t>Versant Media Group, Inc. (Nasdaq: VSNT) (the “Company”) today reported operating and financial results for the second quarter of 2026. The Company's results reflect continued operating momentum, the strong performance of Versant's leading brands and long-term growth initiatives.</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"Versant's brands once again demonstrated strength, durability and scale, reaching more than 120 million viewers each month during the quarter while reinforcing our leadership across news, sports and entertainment," said Mark Lazarus, Chief Executive Officer. "That performance was reflected in the recent multi-year renewals with two large distribution partners, one in the U.S. and one in Canada. At the same time, we continued executing our strategy by investing in opportunities that will drive the next phase of our growth. Following the second quarter, we completed the Full Swing acquisition, added the Bundesliga to our premium sports portfolio, expanded Fandango into a broader consumer entertainment platform, and advanced our direct-to-consumer initiatives at CNBC and MS NOW. Together, we believe these initiatives build on the foundation of our portfolio, deepen consumer engagement, and position Versant for long-term growth."</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"I'm proud of our performance in the second quarter and the disciplined execution across the business," said Anand Kini, Chief Financial Officer and Chief Operating Officer. "Our results highlight the strength of our operating model, continued growth across Platforms and meaningful cash flow generation. We continue to invest in our strategic priorities with a balanced approach to capital allocation. In the second quarter, we repurchased $100 million of stock, and today we announced that we expect to enter into an additional $100 million accelerated share repurchase agreement and declared our third quarterly cash dividend of $0.375 per share, reflecting our confidence in the business and financial outlook."</w:t>
      </w:r>
    </w:p>
    <w:p>
      <w:pPr>
        <w:pStyle w:val="TextBody"/>
        <w:bidi w:val="0"/>
        <w:spacing w:before="0" w:after="0"/>
        <w:jc w:val="left"/>
        <w:rPr/>
      </w:pPr>
      <w:r>
        <w:rPr/>
      </w:r>
    </w:p>
    <w:p>
      <w:pPr>
        <w:pStyle w:val="TextBody"/>
        <w:bidi w:val="0"/>
        <w:spacing w:lineRule="auto" w:line="24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Adjusted EBITDA is a non-GAAP financial measure. Further information and reconciliation to the most comparable GAAP measure can be found under Table 4 below.</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pPr>
      <w:r>
        <w:rPr>
          <w:rFonts w:ascii="Arial;sans-serif" w:hAnsi="Arial;sans-serif"/>
          <w:b/>
          <w:color w:val="000000"/>
          <w:sz w:val="20"/>
        </w:rPr>
        <w:t xml:space="preserve">Business Highlights: </w:t>
      </w:r>
      <w:r>
        <w:rPr>
          <w:rFonts w:ascii="Arial;sans-serif" w:hAnsi="Arial;sans-serif"/>
          <w:b w:val="false"/>
          <w:color w:val="000000"/>
          <w:sz w:val="20"/>
        </w:rPr>
        <w:t>In the second quarter of 2026, Versant continued to invest in its brands, deepen consumer engagement and extend its businesses beyond pay TV.</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color w:val="000000"/>
          <w:sz w:val="20"/>
        </w:rPr>
        <w:t xml:space="preserve">Business News and Personal Finance: </w:t>
      </w:r>
      <w:r>
        <w:rPr>
          <w:rFonts w:ascii="Arial;sans-serif" w:hAnsi="Arial;sans-serif"/>
          <w:b w:val="false"/>
          <w:color w:val="000000"/>
          <w:sz w:val="20"/>
        </w:rPr>
        <w:t>In the second quarter, CNBC reinforced its position as the leading global business news brand. The network ranked among the top 10 cable networks for the fourth consecutive month during market hours in June and remains the trusted destination for consequential market events. Coverage of the SpaceX IPO drove CNBC's highest-rated day in more than five years. CNBC also generated the most affluent and educated weekday daytime audience in television for the 27th consecutive quarter. The network featured exclusive interviews with leading business executives and policymakers, including Jeff Bezos, whose appearance generated more than 100 million video views across platforms.</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color w:val="000000"/>
          <w:sz w:val="20"/>
        </w:rPr>
        <w:t xml:space="preserve">Political News and Opinion: </w:t>
      </w:r>
      <w:r>
        <w:rPr>
          <w:rFonts w:ascii="Arial;sans-serif" w:hAnsi="Arial;sans-serif"/>
          <w:b w:val="false"/>
          <w:color w:val="000000"/>
          <w:sz w:val="20"/>
        </w:rPr>
        <w:t>MS NOW delivered its seventh consecutive month of year-over-year audience growth in June and finished the month as the second-highest-rated television network across all genres. In June, viewers watched an average of nine hours each week, the second-highest level of engagement across all television, while viewership increased 14% in the second quarter versus the prior year. The network also generated nearly 3 billion combined YouTube and TikTok views year to date and, in June, ranked as the No. 1 news organization on YouTube. Podcast engagement remained strong, with more than 11 million audio downloads during the month. In July, MS NOW celebrated its 30th anniversary, marking an important milestone for the network.</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color w:val="000000"/>
          <w:sz w:val="20"/>
        </w:rPr>
        <w:t xml:space="preserve">Golf: </w:t>
      </w:r>
      <w:r>
        <w:rPr>
          <w:rFonts w:ascii="Arial;sans-serif" w:hAnsi="Arial;sans-serif"/>
          <w:b w:val="false"/>
          <w:color w:val="000000"/>
          <w:sz w:val="20"/>
        </w:rPr>
        <w:t>PGA TOUR coverage delivered the most-watched second quarter since 2020. Throughout the quarter, the network delivered comprehensive coverage of the Masters, PGA Championship, U.S. Open and PGA TOUR signature events, reflecting strong demand for premium live golf and the strength of the Golf Channel brand.</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color w:val="000000"/>
          <w:sz w:val="20"/>
        </w:rPr>
        <w:t xml:space="preserve">Sports and Genre Entertainment: </w:t>
      </w:r>
      <w:r>
        <w:rPr>
          <w:rFonts w:ascii="Arial;sans-serif" w:hAnsi="Arial;sans-serif"/>
          <w:b w:val="false"/>
          <w:color w:val="000000"/>
          <w:sz w:val="20"/>
        </w:rPr>
        <w:t xml:space="preserve">USA remained a top-five cable entertainment network during the second quarter among key demographics, extending a leadership position that spans more than three decades. Live sports continued to attract large, highly engaged audiences, with the WNBA's inaugural season on USA delivering the three most-watched games across cable and streaming during the quarter, while League One Volleyball increased viewership over its inaugural season. The Company also announced a five-year agreement with the Bundesliga to broadcast more than 300 live matches annually, with at least 30 premium matches airing on USA Network and all other matches streaming for free on Fandango. In entertainment, </w:t>
      </w:r>
      <w:r>
        <w:rPr>
          <w:rFonts w:ascii="Arial;sans-serif" w:hAnsi="Arial;sans-serif"/>
          <w:b w:val="false"/>
          <w:i/>
          <w:color w:val="000000"/>
          <w:sz w:val="20"/>
        </w:rPr>
        <w:t>Everything on the Menu</w:t>
      </w:r>
      <w:r>
        <w:rPr>
          <w:color w:val="000000"/>
        </w:rPr>
        <w:t xml:space="preserve"> </w:t>
      </w:r>
      <w:r>
        <w:rPr>
          <w:rFonts w:ascii="Arial;sans-serif" w:hAnsi="Arial;sans-serif"/>
          <w:b w:val="false"/>
          <w:color w:val="000000"/>
          <w:sz w:val="20"/>
        </w:rPr>
        <w:t xml:space="preserve">delivered double-digit ratings growth in its second season. Versant also continued investing in new originals, including </w:t>
      </w:r>
      <w:r>
        <w:rPr>
          <w:rFonts w:ascii="Arial;sans-serif" w:hAnsi="Arial;sans-serif"/>
          <w:b w:val="false"/>
          <w:i/>
          <w:color w:val="000000"/>
          <w:sz w:val="20"/>
        </w:rPr>
        <w:t xml:space="preserve">Anna Pigeon </w:t>
      </w:r>
      <w:r>
        <w:rPr>
          <w:rFonts w:ascii="Arial;sans-serif" w:hAnsi="Arial;sans-serif"/>
          <w:b w:val="false"/>
          <w:color w:val="000000"/>
          <w:sz w:val="20"/>
        </w:rPr>
        <w:t xml:space="preserve">and </w:t>
      </w:r>
      <w:r>
        <w:rPr>
          <w:rFonts w:ascii="Arial;sans-serif" w:hAnsi="Arial;sans-serif"/>
          <w:b w:val="false"/>
          <w:i/>
          <w:color w:val="000000"/>
          <w:sz w:val="20"/>
        </w:rPr>
        <w:t>The Golden Life</w:t>
      </w:r>
      <w:r>
        <w:rPr>
          <w:rFonts w:ascii="Arial;sans-serif" w:hAnsi="Arial;sans-serif"/>
          <w:b w:val="false"/>
          <w:color w:val="000000"/>
          <w:sz w:val="20"/>
        </w:rPr>
        <w:t xml:space="preserve">, set to premiere this month and in the fall, respectively. </w:t>
      </w:r>
    </w:p>
    <w:p>
      <w:pPr>
        <w:pStyle w:val="TextBody"/>
        <w:bidi w:val="0"/>
        <w:spacing w:before="0" w:after="0"/>
        <w:jc w:val="left"/>
        <w:rPr/>
      </w:pPr>
      <w:r>
        <w:rPr/>
      </w:r>
    </w:p>
    <w:p>
      <w:pPr>
        <w:pStyle w:val="TextBody"/>
        <w:bidi w:val="0"/>
        <w:spacing w:lineRule="auto" w:line="360"/>
        <w:jc w:val="left"/>
        <w:rPr/>
      </w:pPr>
      <w:r>
        <w:rPr>
          <w:rFonts w:ascii="Arial;sans-serif" w:hAnsi="Arial;sans-serif"/>
          <w:b/>
          <w:color w:val="000000"/>
          <w:sz w:val="20"/>
        </w:rPr>
        <w:t>Platforms:</w:t>
      </w:r>
      <w:r>
        <w:rPr>
          <w:color w:val="000000"/>
        </w:rPr>
        <w:t xml:space="preserve"> </w:t>
      </w:r>
      <w:r>
        <w:rPr>
          <w:rFonts w:ascii="Arial;sans-serif" w:hAnsi="Arial;sans-serif"/>
          <w:b w:val="false"/>
          <w:color w:val="000000"/>
          <w:sz w:val="20"/>
        </w:rPr>
        <w:t>Fandango launched its new ad-supported streaming service, bringing together ticketing, home entertainment and free streaming under the Fandango brand, while healthy ticketing volume drove strong performance in the quarter. GolfNow delivered broad-based growth across rounds booked, global course relationships, payments volume and GolfPass subscribers. The Company is further expanding its golf ecosystem with the acquisition of Full Swing and continues to advance its direct-to-consumer offerings at CNBC and MS NOW.</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79420"/>
                <wp:effectExtent l="0" t="0" r="0" b="0"/>
                <wp:wrapNone/>
                <wp:docPr id="6" name="Frame5"/>
                <a:graphic xmlns:a="http://schemas.openxmlformats.org/drawingml/2006/main">
                  <a:graphicData uri="http://schemas.microsoft.com/office/word/2010/wordprocessingShape">
                    <wps:wsp>
                      <wps:cNvSpPr txBox="1"/>
                      <wps:spPr>
                        <a:xfrm>
                          <a:off x="0" y="0"/>
                          <a:ext cx="6480175" cy="29794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2026 Financial Results</w:t>
      </w:r>
    </w:p>
    <w:tbl>
      <w:tblPr>
        <w:tblW w:w="9001" w:type="dxa"/>
        <w:jc w:val="left"/>
        <w:tblInd w:w="0" w:type="dxa"/>
        <w:tblLayout w:type="fixed"/>
        <w:tblCellMar>
          <w:top w:w="28" w:type="dxa"/>
          <w:left w:w="28" w:type="dxa"/>
          <w:bottom w:w="28" w:type="dxa"/>
          <w:right w:w="28" w:type="dxa"/>
        </w:tblCellMar>
      </w:tblPr>
      <w:tblGrid>
        <w:gridCol w:w="1309"/>
        <w:gridCol w:w="1147"/>
        <w:gridCol w:w="1159"/>
        <w:gridCol w:w="109"/>
        <w:gridCol w:w="109"/>
        <w:gridCol w:w="204"/>
        <w:gridCol w:w="204"/>
        <w:gridCol w:w="204"/>
        <w:gridCol w:w="204"/>
        <w:gridCol w:w="395"/>
        <w:gridCol w:w="1209"/>
        <w:gridCol w:w="204"/>
        <w:gridCol w:w="109"/>
        <w:gridCol w:w="109"/>
        <w:gridCol w:w="109"/>
        <w:gridCol w:w="211"/>
        <w:gridCol w:w="481"/>
        <w:gridCol w:w="109"/>
        <w:gridCol w:w="109"/>
        <w:gridCol w:w="109"/>
        <w:gridCol w:w="109"/>
        <w:gridCol w:w="299"/>
        <w:gridCol w:w="301"/>
        <w:gridCol w:w="489"/>
      </w:tblGrid>
      <w:tr>
        <w:trPr/>
        <w:tc>
          <w:tcPr>
            <w:tcW w:w="13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7"/>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544" w:type="dxa"/>
            <w:gridSpan w:val="12"/>
            <w:tcBorders/>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left w:val="single" w:sz="8" w:space="0" w:color="FFFFFF"/>
              <w:bottom w:val="single" w:sz="8" w:space="0" w:color="000000"/>
              <w:right w:val="single" w:sz="8" w:space="0" w:color="FFFFFF"/>
            </w:tcBorders>
            <w:shd w:fill="FFFFFF" w:val="clear"/>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r>
      <w:tr>
        <w:trPr/>
        <w:tc>
          <w:tcPr>
            <w:tcW w:w="361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52" w:type="dxa"/>
            <w:gridSpan w:val="15"/>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40" w:before="0" w:after="0"/>
              <w:jc w:val="center"/>
              <w:rPr>
                <w:rFonts w:ascii="Arial;sans-serif" w:hAnsi="Arial;sans-serif"/>
                <w:b/>
                <w:i/>
                <w:color w:val="000000"/>
                <w:sz w:val="16"/>
              </w:rPr>
            </w:pPr>
            <w:r>
              <w:rPr>
                <w:rFonts w:ascii="Arial;sans-serif" w:hAnsi="Arial;sans-serif"/>
                <w:b/>
                <w:i/>
                <w:color w:val="000000"/>
                <w:sz w:val="16"/>
              </w:rPr>
              <w:t>(in millions)</w:t>
            </w:r>
          </w:p>
        </w:tc>
      </w:tr>
      <w:tr>
        <w:trPr/>
        <w:tc>
          <w:tcPr>
            <w:tcW w:w="361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FFFFFF"/>
              <w:left w:val="single" w:sz="8" w:space="0" w:color="FFFFFF"/>
            </w:tcBorders>
            <w:shd w:fill="FFFFFF" w:val="clear"/>
            <w:tcMar>
              <w:top w:w="30" w:type="dxa"/>
              <w:left w:w="29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Linear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9"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204"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top w:val="single" w:sz="8" w:space="0" w:color="FFFFFF"/>
              <w:left w:val="single" w:sz="8" w:space="0" w:color="FFFFFF"/>
            </w:tcBorders>
            <w:shd w:fill="FFFFFF" w:val="clear"/>
            <w:tcMar>
              <w:top w:w="30" w:type="dxa"/>
              <w:left w:w="29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204"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top w:val="single" w:sz="8" w:space="0" w:color="FFFFFF"/>
              <w:left w:val="single" w:sz="8" w:space="0" w:color="FFFFFF"/>
            </w:tcBorders>
            <w:shd w:fill="FFFFFF" w:val="clear"/>
            <w:tcMar>
              <w:top w:w="30" w:type="dxa"/>
              <w:left w:w="29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204"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20"/>
              </w:rPr>
              <w:t>Platforms (excluding SportsEngine)</w:t>
            </w:r>
            <w:r>
              <w:rPr>
                <w:rFonts w:ascii="Arial;sans-serif" w:hAnsi="Arial;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212 </w:t>
            </w:r>
          </w:p>
        </w:tc>
        <w:tc>
          <w:tcPr>
            <w:tcW w:w="204"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194</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9.3 </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615" w:type="dxa"/>
            <w:gridSpan w:val="3"/>
            <w:tcBorders>
              <w:top w:val="single" w:sz="8" w:space="0" w:color="FFFFFF"/>
              <w:left w:val="single" w:sz="8" w:space="0" w:color="FFFFFF"/>
            </w:tcBorders>
            <w:shd w:fill="FFFFFF" w:val="clear"/>
            <w:tcMar>
              <w:top w:w="30" w:type="dxa"/>
              <w:left w:w="29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Content 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04"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Total revenue (excluding SportsEngine)</w:t>
            </w:r>
            <w:r>
              <w:rPr>
                <w:rFonts w:ascii="Arial;sans-serif" w:hAnsi="Arial;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1,631 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1,678</w:t>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(2.8)</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61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Versant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Adjusted EBITDA</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9"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204"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489"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0"/>
              <w:ind w:left="0" w:right="0" w:hanging="180"/>
              <w:jc w:val="left"/>
              <w:rPr/>
            </w:pPr>
            <w:r>
              <w:rPr>
                <w:color w:val="000000"/>
              </w:rPr>
              <w:t>       </w:t>
            </w:r>
            <w:r>
              <w:rPr>
                <w:rFonts w:ascii="Arial;sans-serif" w:hAnsi="Arial;sans-serif"/>
                <w:b w:val="false"/>
                <w:i/>
                <w:color w:val="000000"/>
                <w:sz w:val="20"/>
              </w:rPr>
              <w:t>Standalone Adjusted EBITDA</w:t>
            </w:r>
            <w:r>
              <w:rPr>
                <w:rFonts w:ascii="Arial;sans-serif" w:hAnsi="Arial;sans-serif"/>
                <w:b w:val="false"/>
                <w:i/>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481"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606 </w:t>
            </w:r>
          </w:p>
        </w:tc>
        <w:tc>
          <w:tcPr>
            <w:tcW w:w="109"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3.0 </w:t>
            </w:r>
          </w:p>
        </w:tc>
        <w:tc>
          <w:tcPr>
            <w:tcW w:w="489" w:type="dxa"/>
            <w:tcBorders>
              <w:top w:val="single" w:sz="8" w:space="0" w:color="FFFFFF"/>
              <w:bottom w:val="single" w:sz="8" w:space="0" w:color="FFFFFF"/>
              <w:right w:val="single" w:sz="8" w:space="0" w:color="FFFFFF"/>
            </w:tcBorders>
            <w:shd w:fill="FFFFFF" w:val="clear"/>
            <w:tcMar>
              <w:top w:w="30" w:type="dxa"/>
              <w:left w:w="0" w:type="dxa"/>
              <w:bottom w:w="3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left"/>
        <w:rPr/>
      </w:pPr>
      <w:r>
        <w:rPr>
          <w:rFonts w:ascii="Arial;sans-serif" w:hAnsi="Arial;sans-serif"/>
          <w:b w:val="false"/>
          <w:color w:val="000000"/>
          <w:sz w:val="8"/>
        </w:rPr>
        <w:t>________________________________________________________________</w:t>
      </w:r>
      <w:r>
        <w:rPr>
          <w:color w:val="000000"/>
        </w:rPr>
        <w:t xml:space="preserve"> </w:t>
      </w:r>
    </w:p>
    <w:p>
      <w:pPr>
        <w:pStyle w:val="TextBody"/>
        <w:bidi w:val="0"/>
        <w:spacing w:lineRule="auto" w:line="268" w:before="0" w:after="0"/>
        <w:ind w:left="0" w:right="0" w:hanging="36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 xml:space="preserve">Platforms (excluding SportsEngine) and Total revenue (excluding SportsEngine) are non-GAAP financial measures and have been included for comparative purposes only. Platforms revenue related to SportsEngine totaled $12 million and $29 million, respectively, for the three months ended June 30, 2026 and 2025. Total revenue related to SportsEngine totaled $13 million and $30 million, respectively, for the three months ended June 30, 2026 and 2025. We believe, among other things, these measures may help investors evaluate our ongoing operations and can assist in making meaningful period-over-period comparisons given that the divestiture of SportsEngine was completed during the second quarter of 2026. </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2 Adjusted EBITDA and Standalone Adjusted EBITDA are non-GAAP financial measures. Standalone Adjusted EBITDA and growth rate compared to Adjusted EBITDA have been included for comparative purposes only. Further information and reconciliations to the most comparable GAAP measures can be found under Table 4 below.</w:t>
      </w:r>
    </w:p>
    <w:p>
      <w:pPr>
        <w:pStyle w:val="TextBody"/>
        <w:bidi w:val="0"/>
        <w:spacing w:lineRule="auto" w:line="360" w:before="200" w:after="283"/>
        <w:jc w:val="left"/>
        <w:rPr/>
      </w:pPr>
      <w:r>
        <w:rPr>
          <w:rFonts w:ascii="Arial;sans-serif" w:hAnsi="Arial;sans-serif"/>
          <w:b/>
          <w:color w:val="000000"/>
          <w:sz w:val="20"/>
        </w:rPr>
        <w:t xml:space="preserve">Total Revenue of $1,644 million </w:t>
      </w:r>
      <w:r>
        <w:rPr>
          <w:rFonts w:ascii="Arial;sans-serif" w:hAnsi="Arial;sans-serif"/>
          <w:b w:val="false"/>
          <w:color w:val="000000"/>
          <w:sz w:val="20"/>
        </w:rPr>
        <w:t>representing a decline of 3.8% compared to the same period in 2025. Excluding the impact of SportsEngine, revenue decreased 2.8%.</w:t>
      </w:r>
    </w:p>
    <w:p>
      <w:pPr>
        <w:pStyle w:val="TextBody"/>
        <w:bidi w:val="0"/>
        <w:spacing w:lineRule="auto" w:line="360" w:before="120" w:after="283"/>
        <w:ind w:left="0" w:right="0" w:hanging="360"/>
        <w:jc w:val="left"/>
        <w:rPr/>
      </w:pPr>
      <w:r>
        <w:rPr>
          <w:color w:val="000000"/>
        </w:rPr>
        <w:t>•</w:t>
      </w:r>
      <w:r>
        <w:rPr>
          <w:rFonts w:ascii="Arial;sans-serif" w:hAnsi="Arial;sans-serif"/>
          <w:b/>
          <w:color w:val="000000"/>
          <w:sz w:val="20"/>
        </w:rPr>
        <w:t>Linear Distribution</w:t>
      </w:r>
      <w:r>
        <w:rPr>
          <w:color w:val="000000"/>
        </w:rPr>
        <w:t xml:space="preserve"> </w:t>
      </w:r>
      <w:r>
        <w:rPr>
          <w:rFonts w:ascii="Arial;sans-serif" w:hAnsi="Arial;sans-serif"/>
          <w:b w:val="false"/>
          <w:color w:val="000000"/>
          <w:sz w:val="20"/>
        </w:rPr>
        <w:t xml:space="preserve">revenue declined 6.3% in the second quarter of 2026 as compared to the same period in 2025, primarily due to subscriber declines, which were partially offset by contractual rate increases. </w:t>
      </w:r>
    </w:p>
    <w:p>
      <w:pPr>
        <w:pStyle w:val="TextBody"/>
        <w:bidi w:val="0"/>
        <w:spacing w:lineRule="auto" w:line="360" w:before="120" w:after="283"/>
        <w:ind w:left="0" w:right="0" w:hanging="360"/>
        <w:jc w:val="left"/>
        <w:rPr/>
      </w:pPr>
      <w:r>
        <w:rPr>
          <w:color w:val="000000"/>
        </w:rPr>
        <w:t>•</w:t>
      </w:r>
      <w:r>
        <w:rPr>
          <w:rFonts w:ascii="Arial;sans-serif" w:hAnsi="Arial;sans-serif"/>
          <w:b/>
          <w:color w:val="000000"/>
          <w:sz w:val="20"/>
        </w:rPr>
        <w:t xml:space="preserve">Advertising </w:t>
      </w:r>
      <w:r>
        <w:rPr>
          <w:rFonts w:ascii="Arial;sans-serif" w:hAnsi="Arial;sans-serif"/>
          <w:b w:val="false"/>
          <w:color w:val="000000"/>
          <w:sz w:val="20"/>
        </w:rPr>
        <w:t xml:space="preserve">revenue declined 0.6% in the second quarter of 2026 as compared to the same period in 2025, reflecting improvements in recent trends including favorable ratings at the networks, as well as incremental revenue from a recent acquisition. </w:t>
      </w:r>
    </w:p>
    <w:p>
      <w:pPr>
        <w:pStyle w:val="TextBody"/>
        <w:bidi w:val="0"/>
        <w:spacing w:lineRule="auto" w:line="360" w:before="120" w:after="283"/>
        <w:ind w:left="0" w:right="0" w:hanging="360"/>
        <w:jc w:val="left"/>
        <w:rPr/>
      </w:pPr>
      <w:r>
        <w:rPr>
          <w:color w:val="000000"/>
        </w:rPr>
        <w:t>•</w:t>
      </w:r>
      <w:r>
        <w:rPr>
          <w:rFonts w:ascii="Arial;sans-serif" w:hAnsi="Arial;sans-serif"/>
          <w:b/>
          <w:color w:val="000000"/>
          <w:sz w:val="20"/>
        </w:rPr>
        <w:t xml:space="preserve">Platforms </w:t>
      </w:r>
      <w:r>
        <w:rPr>
          <w:rFonts w:ascii="Arial;sans-serif" w:hAnsi="Arial;sans-serif"/>
          <w:b w:val="false"/>
          <w:color w:val="000000"/>
          <w:sz w:val="20"/>
        </w:rPr>
        <w:t xml:space="preserve">revenue increased 0.8% in the second quarter of 2026 as compared to the same period in 2025, or 9.3% excluding the impact of SportsEngine, due to higher revenue at Fandango and GolfNow. The increased revenue at Fandango primarily related to movie ticket purchases and video-on-demand transactions, as well as sales from our new cinema operating platform. The revenue growth at GolfNow was primarily due to higher bookings, payments and subscription revenue. These increases in revenue were partially offset by the impact of our divestiture of SportsEngine during the second quarter of 2026. </w:t>
      </w:r>
    </w:p>
    <w:p>
      <w:pPr>
        <w:pStyle w:val="TextBody"/>
        <w:bidi w:val="0"/>
        <w:spacing w:lineRule="auto" w:line="360" w:before="120" w:after="283"/>
        <w:ind w:left="0" w:right="0" w:hanging="360"/>
        <w:jc w:val="left"/>
        <w:rPr/>
      </w:pPr>
      <w:r>
        <w:rPr>
          <w:color w:val="000000"/>
        </w:rPr>
        <w:t>•</w:t>
      </w:r>
      <w:r>
        <w:rPr>
          <w:rFonts w:ascii="Arial;sans-serif" w:hAnsi="Arial;sans-serif"/>
          <w:b/>
          <w:color w:val="000000"/>
          <w:sz w:val="20"/>
        </w:rPr>
        <w:t xml:space="preserve">Content licensing and other </w:t>
      </w:r>
      <w:r>
        <w:rPr>
          <w:rFonts w:ascii="Arial;sans-serif" w:hAnsi="Arial;sans-serif"/>
          <w:b w:val="false"/>
          <w:color w:val="000000"/>
          <w:sz w:val="20"/>
        </w:rPr>
        <w:t>revenue remained relatively flat in the second quarter of 2026 as compared to the same period in 2025.</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8620"/>
                <wp:effectExtent l="0" t="0" r="0" b="0"/>
                <wp:wrapNone/>
                <wp:docPr id="7" name="Frame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r>
                              <w:br w:type="page"/>
                            </w:r>
                          </w:p>
                          <w:p>
                            <w:pPr>
                              <w:pStyle w:val="TextBody"/>
                              <w:bidi w:val="0"/>
                              <w:spacing w:before="60" w:after="283"/>
                              <w:ind w:left="0" w:right="0" w:hanging="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ind w:left="0" w:right="0" w:hanging="180"/>
                        <w:jc w:val="left"/>
                        <w:rPr/>
                      </w:pPr>
                      <w:r>
                        <w:rPr/>
                      </w:r>
                    </w:p>
                  </w:txbxContent>
                </v:textbox>
                <w10:wrap type="none"/>
              </v:rect>
            </w:pict>
          </mc:Fallback>
        </mc:AlternateContent>
      </w:r>
    </w:p>
    <w:p>
      <w:pPr>
        <w:pStyle w:val="TextBody"/>
        <w:bidi w:val="0"/>
        <w:spacing w:lineRule="auto" w:line="360" w:before="120" w:after="283"/>
        <w:jc w:val="left"/>
        <w:rPr/>
      </w:pPr>
      <w:r>
        <w:rPr>
          <w:rFonts w:ascii="Arial;sans-serif" w:hAnsi="Arial;sans-serif"/>
          <w:b/>
          <w:color w:val="000000"/>
          <w:sz w:val="20"/>
        </w:rPr>
        <w:t xml:space="preserve">Net income attributable to Versant of $211 million </w:t>
      </w:r>
      <w:r>
        <w:rPr>
          <w:rFonts w:ascii="Arial;sans-serif" w:hAnsi="Arial;sans-serif"/>
          <w:b w:val="false"/>
          <w:color w:val="000000"/>
          <w:sz w:val="20"/>
        </w:rPr>
        <w:t>decreased</w:t>
      </w:r>
      <w:r>
        <w:rPr>
          <w:color w:val="000000"/>
        </w:rPr>
        <w:t xml:space="preserve"> </w:t>
      </w:r>
      <w:r>
        <w:rPr>
          <w:rFonts w:ascii="Arial;sans-serif" w:hAnsi="Arial;sans-serif"/>
          <w:b w:val="false"/>
          <w:color w:val="000000"/>
          <w:sz w:val="20"/>
        </w:rPr>
        <w:t>$91 million compared to the prior year quarter, primarily due to lower revenue, public company costs, interest expense following the separation from Comcast, and increased tax expense largely due to the divestiture of SportsEngine.</w:t>
      </w:r>
    </w:p>
    <w:p>
      <w:pPr>
        <w:pStyle w:val="TextBody"/>
        <w:bidi w:val="0"/>
        <w:spacing w:lineRule="auto" w:line="360" w:before="200" w:after="283"/>
        <w:jc w:val="left"/>
        <w:rPr/>
      </w:pPr>
      <w:r>
        <w:rPr>
          <w:rFonts w:ascii="Arial;sans-serif" w:hAnsi="Arial;sans-serif"/>
          <w:b/>
          <w:color w:val="000000"/>
          <w:sz w:val="20"/>
        </w:rPr>
        <w:t>Adjusted EBITDA</w:t>
      </w:r>
      <w:r>
        <w:rPr>
          <w:rFonts w:ascii="Arial;sans-serif" w:hAnsi="Arial;sans-serif"/>
          <w:b/>
          <w:color w:val="000000"/>
          <w:sz w:val="13"/>
        </w:rPr>
        <w:t>2</w:t>
      </w:r>
      <w:r>
        <w:rPr>
          <w:color w:val="000000"/>
        </w:rPr>
        <w:t xml:space="preserve"> </w:t>
      </w:r>
      <w:r>
        <w:rPr>
          <w:rFonts w:ascii="Arial;sans-serif" w:hAnsi="Arial;sans-serif"/>
          <w:b/>
          <w:color w:val="000000"/>
          <w:sz w:val="20"/>
        </w:rPr>
        <w:t xml:space="preserve">of $624 million </w:t>
      </w:r>
      <w:r>
        <w:rPr>
          <w:rFonts w:ascii="Arial;sans-serif" w:hAnsi="Arial;sans-serif"/>
          <w:b w:val="false"/>
          <w:color w:val="000000"/>
          <w:sz w:val="20"/>
        </w:rPr>
        <w:t xml:space="preserve">decreased 8.9% compared to the prior year quarter. Compared to Standalone Adjusted EBITDA in the prior year quarter, Adjusted EBITDA increased 3.0%. This increase reflects lower programming expenses and reduced selling, general and administrative costs, which offset revenue declines. </w:t>
      </w:r>
    </w:p>
    <w:p>
      <w:pPr>
        <w:pStyle w:val="TextBody"/>
        <w:bidi w:val="0"/>
        <w:spacing w:lineRule="auto" w:line="360" w:before="200" w:after="200"/>
        <w:jc w:val="left"/>
        <w:rPr/>
      </w:pPr>
      <w:r>
        <w:rPr>
          <w:rFonts w:ascii="Arial;sans-serif" w:hAnsi="Arial;sans-serif"/>
          <w:b/>
          <w:color w:val="000000"/>
          <w:sz w:val="20"/>
        </w:rPr>
        <w:t>Net cash provided by operating activities</w:t>
      </w:r>
      <w:r>
        <w:rPr>
          <w:color w:val="000000"/>
        </w:rPr>
        <w:t xml:space="preserve"> </w:t>
      </w:r>
      <w:r>
        <w:rPr>
          <w:rFonts w:ascii="Arial;sans-serif" w:hAnsi="Arial;sans-serif"/>
          <w:b w:val="false"/>
          <w:color w:val="000000"/>
          <w:sz w:val="20"/>
        </w:rPr>
        <w:t xml:space="preserve">was $382 million and </w:t>
      </w:r>
      <w:r>
        <w:rPr>
          <w:rFonts w:ascii="Arial;sans-serif" w:hAnsi="Arial;sans-serif"/>
          <w:b/>
          <w:color w:val="000000"/>
          <w:sz w:val="20"/>
        </w:rPr>
        <w:t>Free Cash Flow</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was $350 million in the second quarter of 2026.</w:t>
      </w:r>
    </w:p>
    <w:p>
      <w:pPr>
        <w:pStyle w:val="TextBody"/>
        <w:bidi w:val="0"/>
        <w:spacing w:lineRule="auto" w:line="336" w:before="0" w:after="0"/>
        <w:jc w:val="left"/>
        <w:rPr>
          <w:rFonts w:ascii="Arial;sans-serif" w:hAnsi="Arial;sans-serif"/>
          <w:b/>
          <w:color w:val="000000"/>
          <w:sz w:val="22"/>
        </w:rPr>
      </w:pPr>
      <w:r>
        <w:rPr>
          <w:rFonts w:ascii="Arial;sans-serif" w:hAnsi="Arial;sans-serif"/>
          <w:b/>
          <w:color w:val="000000"/>
          <w:sz w:val="22"/>
        </w:rPr>
        <w:t>2026 Financial Outlook</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The Company raised its full-year 2026 outlook for Total Revenue and Adjusted EBITDA and maintained its Free Cash Flow outlook:</w:t>
      </w:r>
    </w:p>
    <w:p>
      <w:pPr>
        <w:pStyle w:val="TextBody"/>
        <w:bidi w:val="0"/>
        <w:spacing w:lineRule="auto" w:line="360" w:before="120" w:after="283"/>
        <w:ind w:left="0" w:right="0" w:hanging="360"/>
        <w:jc w:val="left"/>
        <w:rPr/>
      </w:pPr>
      <w:r>
        <w:rPr>
          <w:color w:val="000000"/>
        </w:rPr>
        <w:t>•</w:t>
      </w:r>
      <w:r>
        <w:rPr>
          <w:rFonts w:ascii="Arial;sans-serif" w:hAnsi="Arial;sans-serif"/>
          <w:b/>
          <w:color w:val="000000"/>
          <w:sz w:val="20"/>
        </w:rPr>
        <w:t xml:space="preserve">Total Revenue </w:t>
      </w:r>
      <w:r>
        <w:rPr>
          <w:rFonts w:ascii="Arial;sans-serif" w:hAnsi="Arial;sans-serif"/>
          <w:b w:val="false"/>
          <w:color w:val="000000"/>
          <w:sz w:val="20"/>
        </w:rPr>
        <w:t>of $6.2 billion to $6.45 billion</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Adjusted EBITDA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$1.9 billion to $2.05 billion</w:t>
      </w:r>
    </w:p>
    <w:p>
      <w:pPr>
        <w:pStyle w:val="TextBody"/>
        <w:bidi w:val="0"/>
        <w:spacing w:lineRule="auto" w:line="360" w:before="60" w:after="283"/>
        <w:ind w:left="0" w:right="0" w:hanging="360"/>
        <w:jc w:val="left"/>
        <w:rPr/>
      </w:pPr>
      <w:r>
        <w:rPr>
          <w:color w:val="000000"/>
        </w:rPr>
        <w:t>•</w:t>
      </w:r>
      <w:r>
        <w:rPr>
          <w:rFonts w:ascii="Arial;sans-serif" w:hAnsi="Arial;sans-serif"/>
          <w:b/>
          <w:color w:val="000000"/>
          <w:sz w:val="20"/>
        </w:rPr>
        <w:t>Free Cash Flow</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maintained at $1.0 billion to $1.2 billion</w:t>
      </w:r>
    </w:p>
    <w:p>
      <w:pPr>
        <w:pStyle w:val="TextBody"/>
        <w:bidi w:val="0"/>
        <w:spacing w:lineRule="auto" w:line="336" w:before="180" w:after="283"/>
        <w:jc w:val="left"/>
        <w:rPr>
          <w:rFonts w:ascii="Arial;sans-serif" w:hAnsi="Arial;sans-serif"/>
          <w:b/>
          <w:color w:val="000000"/>
          <w:sz w:val="22"/>
        </w:rPr>
      </w:pPr>
      <w:r>
        <w:rPr>
          <w:rFonts w:ascii="Arial;sans-serif" w:hAnsi="Arial;sans-serif"/>
          <w:b/>
          <w:color w:val="000000"/>
          <w:sz w:val="22"/>
        </w:rPr>
        <w:t>Dividends and Share Repurchase Program</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On August 6, 2026, the Board of Directors declared the third quarterly cash dividend of $0.375 per share, payable on October 22, 2026, to shareholders of record as of the close of business on October 1, 2026.</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On May 15, 2026, the Company entered into an accelerated share repurchase agreement (“ASR Agreement”) to repurchase $100 million of its Class A common stock under the Company's stock repurchase program. The Company completed the transaction during the second quarter and repurchased 2,374,942 shares of Class A common stock, with a remaining authorization of approximately $800 million as of June 30, 2026.</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The Company expects to enter into an ASR Agreement commencing August 7, 2026, to repurchase $100 million of its Class A common stock under the Company's stock repurchase program. The Company anticipates completing the transaction during the third quarter of 2026.</w:t>
      </w:r>
    </w:p>
    <w:p>
      <w:pPr>
        <w:pStyle w:val="TextBody"/>
        <w:bidi w:val="0"/>
        <w:spacing w:lineRule="auto" w:line="336" w:before="180" w:after="283"/>
        <w:jc w:val="left"/>
        <w:rPr>
          <w:rFonts w:ascii="Arial;sans-serif" w:hAnsi="Arial;sans-serif"/>
          <w:b/>
          <w:color w:val="000000"/>
          <w:sz w:val="22"/>
        </w:rPr>
      </w:pPr>
      <w:r>
        <w:rPr>
          <w:rFonts w:ascii="Arial;sans-serif" w:hAnsi="Arial;sans-serif"/>
          <w:b/>
          <w:color w:val="000000"/>
          <w:sz w:val="22"/>
        </w:rPr>
        <w:t>Basis of Presentation</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The interim condensed consolidated and combined financial statements have been prepared in accordance with GAAP and pursuant to the rules and regulations of the SEC.</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 xml:space="preserve">For the prior year periods presented in the combined financial statements prior to our separation from Comcast on January 2, 2026 (the "Separation") included in this report, the Versant businesses operated as part of Comcast’s Media segment. As such, the prior year combined financial statements were derived from Comcast’s historical accounting records as if Versant operations had been conducted independently from Comcast, and reflect our assets, liabilities, revenues and expenses on a historical cost basis. The </w:t>
      </w:r>
    </w:p>
    <w:p>
      <w:pPr>
        <w:pStyle w:val="TextBody"/>
        <w:bidi w:val="0"/>
        <w:spacing w:lineRule="auto" w:line="240"/>
        <w:jc w:val="left"/>
        <w:rPr/>
      </w:pPr>
      <w:r>
        <w:rPr>
          <w:rFonts w:ascii="Arial;sans-serif" w:hAnsi="Arial;sans-serif"/>
          <w:b w:val="false"/>
          <w:color w:val="000000"/>
          <w:sz w:val="16"/>
        </w:rPr>
        <w:t>2</w:t>
      </w:r>
      <w:r>
        <w:rPr>
          <w:color w:val="000000"/>
        </w:rPr>
        <w:t xml:space="preserve"> </w:t>
      </w:r>
      <w:r>
        <w:rPr>
          <w:rFonts w:ascii="Arial;sans-serif" w:hAnsi="Arial;sans-serif"/>
          <w:b w:val="false"/>
          <w:color w:val="000000"/>
          <w:sz w:val="16"/>
        </w:rPr>
        <w:t>Adjusted EBITDA and Free Cash Flow are non-GAAP financial measures. Further information and reconciliations to the most comparable GAAP measures, as well as explanations as to why reconciliations are not provided for forward-looking information, can be found under Table 4 below.</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79420"/>
                <wp:effectExtent l="0" t="0" r="0" b="0"/>
                <wp:wrapNone/>
                <wp:docPr id="8" name="Frame7"/>
                <a:graphic xmlns:a="http://schemas.openxmlformats.org/drawingml/2006/main">
                  <a:graphicData uri="http://schemas.microsoft.com/office/word/2010/wordprocessingShape">
                    <wps:wsp>
                      <wps:cNvSpPr txBox="1"/>
                      <wps:spPr>
                        <a:xfrm>
                          <a:off x="0" y="0"/>
                          <a:ext cx="6480175" cy="29794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 xml:space="preserve">prior year historical financial statements were prepared using allocations and carve-out methodologies for the periods prior to the Separation, using assumptions that management believed to be reasonable. Accordingly, the combined financial statements herein for periods prior to the Separation from Comcast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w:t>
      </w:r>
    </w:p>
    <w:p>
      <w:pPr>
        <w:pStyle w:val="TextBody"/>
        <w:bidi w:val="0"/>
        <w:spacing w:lineRule="auto" w:line="336" w:before="180" w:after="283"/>
        <w:jc w:val="left"/>
        <w:rPr>
          <w:rFonts w:ascii="Arial;sans-serif" w:hAnsi="Arial;sans-serif"/>
          <w:b w:val="false"/>
          <w:color w:val="000000"/>
          <w:sz w:val="20"/>
        </w:rPr>
      </w:pPr>
      <w:r>
        <w:rPr>
          <w:rFonts w:ascii="Arial;sans-serif" w:hAnsi="Arial;sans-serif"/>
          <w:b w:val="false"/>
          <w:color w:val="000000"/>
          <w:sz w:val="20"/>
        </w:rPr>
        <w:t>Numerical information in this report is presented on a rounded basis using actual amounts. Minor differences in totals and percentage calculations may exist due to rounding.</w:t>
      </w:r>
    </w:p>
    <w:p>
      <w:pPr>
        <w:pStyle w:val="TextBody"/>
        <w:bidi w:val="0"/>
        <w:spacing w:lineRule="auto" w:line="336" w:before="180" w:after="283"/>
        <w:jc w:val="left"/>
        <w:rPr>
          <w:rFonts w:ascii="Arial;sans-serif" w:hAnsi="Arial;sans-serif"/>
          <w:b/>
          <w:color w:val="000000"/>
          <w:sz w:val="22"/>
        </w:rPr>
      </w:pPr>
      <w:r>
        <w:rPr>
          <w:rFonts w:ascii="Arial;sans-serif" w:hAnsi="Arial;sans-serif"/>
          <w:b/>
          <w:color w:val="000000"/>
          <w:sz w:val="22"/>
        </w:rPr>
        <w:t>Conference Call and Other Information</w:t>
      </w:r>
    </w:p>
    <w:p>
      <w:pPr>
        <w:pStyle w:val="TextBody"/>
        <w:bidi w:val="0"/>
        <w:spacing w:lineRule="auto" w:line="336" w:before="60" w:after="283"/>
        <w:jc w:val="left"/>
        <w:rPr/>
      </w:pPr>
      <w:r>
        <w:rPr>
          <w:rFonts w:ascii="Arial;sans-serif" w:hAnsi="Arial;sans-serif"/>
          <w:b w:val="false"/>
          <w:color w:val="000000"/>
          <w:sz w:val="20"/>
        </w:rPr>
        <w:t xml:space="preserve">The Company will host a conference call on August 6, 2026, at 8:00 a.m. ET. A live webcast of the call and related presentation materials will be available on the Company’s Investor Relations website at </w:t>
      </w:r>
      <w:r>
        <w:rPr>
          <w:rFonts w:ascii="Arial;sans-serif" w:hAnsi="Arial;sans-serif"/>
          <w:b w:val="false"/>
          <w:color w:val="0E32E1"/>
          <w:sz w:val="20"/>
          <w:u w:val="single"/>
        </w:rPr>
        <w:t>www.versantmedia.com/investors</w:t>
      </w:r>
      <w:r>
        <w:rPr>
          <w:rFonts w:ascii="Arial;sans-serif" w:hAnsi="Arial;sans-serif"/>
          <w:b w:val="false"/>
          <w:color w:val="000000"/>
          <w:sz w:val="20"/>
        </w:rPr>
        <w:t>. Following the conference call, an audio replay will also be made available on the Investor Relations website.</w:t>
      </w:r>
    </w:p>
    <w:p>
      <w:pPr>
        <w:pStyle w:val="TextBody"/>
        <w:bidi w:val="0"/>
        <w:spacing w:lineRule="auto" w:line="336" w:before="180" w:after="283"/>
        <w:jc w:val="left"/>
        <w:rPr/>
      </w:pPr>
      <w:r>
        <w:rPr>
          <w:rFonts w:ascii="Arial;sans-serif" w:hAnsi="Arial;sans-serif"/>
          <w:b w:val="false"/>
          <w:color w:val="000000"/>
          <w:sz w:val="20"/>
        </w:rPr>
        <w:t xml:space="preserve">For additional information about Versant, including SEC filings, please visit the Investor Relations website at </w:t>
      </w:r>
      <w:r>
        <w:rPr>
          <w:rFonts w:ascii="Arial;sans-serif" w:hAnsi="Arial;sans-serif"/>
          <w:b w:val="false"/>
          <w:color w:val="0E32E1"/>
          <w:sz w:val="20"/>
          <w:u w:val="single"/>
        </w:rPr>
        <w:t>www.versantmedia.com/investors</w:t>
      </w:r>
      <w:r>
        <w:rPr>
          <w:color w:val="000000"/>
        </w:rPr>
        <w:t xml:space="preserve"> </w:t>
      </w:r>
      <w:r>
        <w:rPr>
          <w:rFonts w:ascii="Arial;sans-serif" w:hAnsi="Arial;sans-serif"/>
          <w:b w:val="false"/>
          <w:color w:val="000000"/>
          <w:sz w:val="20"/>
        </w:rPr>
        <w:t xml:space="preserve">or </w:t>
      </w:r>
      <w:r>
        <w:rPr>
          <w:rFonts w:ascii="Arial;sans-serif" w:hAnsi="Arial;sans-serif"/>
          <w:b w:val="false"/>
          <w:color w:val="0E32E1"/>
          <w:sz w:val="20"/>
          <w:u w:val="single"/>
        </w:rPr>
        <w:t>www.versantmedia.com.</w:t>
      </w:r>
    </w:p>
    <w:p>
      <w:pPr>
        <w:pStyle w:val="TextBody"/>
        <w:bidi w:val="0"/>
        <w:spacing w:before="0" w:after="0"/>
        <w:jc w:val="center"/>
        <w:rPr/>
      </w:pPr>
      <w:r>
        <w:rPr/>
      </w:r>
    </w:p>
    <w:tbl>
      <w:tblPr>
        <w:tblW w:w="5145" w:type="dxa"/>
        <w:jc w:val="left"/>
        <w:tblInd w:w="0" w:type="dxa"/>
        <w:tblLayout w:type="fixed"/>
        <w:tblCellMar>
          <w:top w:w="28" w:type="dxa"/>
          <w:left w:w="28" w:type="dxa"/>
          <w:bottom w:w="28" w:type="dxa"/>
          <w:right w:w="28" w:type="dxa"/>
        </w:tblCellMar>
      </w:tblPr>
      <w:tblGrid>
        <w:gridCol w:w="651"/>
        <w:gridCol w:w="572"/>
        <w:gridCol w:w="576"/>
        <w:gridCol w:w="980"/>
        <w:gridCol w:w="980"/>
        <w:gridCol w:w="1386"/>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Contacts:</w:t>
            </w:r>
          </w:p>
        </w:tc>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Wylie Collins</w:t>
            </w:r>
          </w:p>
        </w:tc>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Wylie.Collins@VersantMedia.com</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Natalie Candela</w:t>
            </w:r>
          </w:p>
        </w:tc>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Natalie.Candela@VersantMedia.com</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Contacts:</w:t>
            </w:r>
          </w:p>
        </w:tc>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Keith Cocozza</w:t>
            </w:r>
          </w:p>
        </w:tc>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Keith@VersantMedia.com</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Hollie Tracz</w:t>
            </w:r>
          </w:p>
        </w:tc>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Hollie.Tracz@VersantMedia.com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8620"/>
                <wp:effectExtent l="0" t="0" r="0" b="0"/>
                <wp:wrapNone/>
                <wp:docPr id="9" name="Frame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r>
                              <w:br w:type="page"/>
                            </w:r>
                          </w:p>
                          <w:p>
                            <w:pPr>
                              <w:pStyle w:val="TextBody"/>
                              <w:bidi w:val="0"/>
                              <w:spacing w:before="60" w:after="283"/>
                              <w:ind w:left="0" w:right="0" w:hanging="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ind w:left="0" w:right="0" w:hanging="180"/>
                        <w:jc w:val="left"/>
                        <w:rPr/>
                      </w:pPr>
                      <w:r>
                        <w:rPr/>
                      </w:r>
                    </w:p>
                  </w:txbxContent>
                </v:textbox>
                <w10:wrap type="none"/>
              </v:rect>
            </w:pict>
          </mc:Fallback>
        </mc:AlternateContent>
      </w:r>
    </w:p>
    <w:p>
      <w:pPr>
        <w:pStyle w:val="TextBody"/>
        <w:bidi w:val="0"/>
        <w:spacing w:lineRule="auto" w:line="360" w:before="240" w:after="283"/>
        <w:jc w:val="both"/>
        <w:rPr>
          <w:rFonts w:ascii="Arial;sans-serif" w:hAnsi="Arial;sans-serif"/>
          <w:b/>
          <w:color w:val="000000"/>
          <w:sz w:val="22"/>
        </w:rPr>
      </w:pPr>
      <w:r>
        <w:rPr>
          <w:rFonts w:ascii="Arial;sans-serif" w:hAnsi="Arial;sans-serif"/>
          <w:b/>
          <w:color w:val="000000"/>
          <w:sz w:val="22"/>
        </w:rPr>
        <w:t>Caution Concerning Forward-Looking Statements</w:t>
      </w:r>
    </w:p>
    <w:p>
      <w:pPr>
        <w:pStyle w:val="TextBody"/>
        <w:bidi w:val="0"/>
        <w:spacing w:lineRule="auto" w:line="360" w:before="180" w:after="283"/>
        <w:jc w:val="left"/>
        <w:rPr>
          <w:rFonts w:ascii="Arial;sans-serif" w:hAnsi="Arial;sans-serif"/>
          <w:b w:val="false"/>
          <w:color w:val="000000"/>
          <w:sz w:val="20"/>
        </w:rPr>
      </w:pPr>
      <w:r>
        <w:rPr>
          <w:rFonts w:ascii="Arial;sans-serif" w:hAnsi="Arial;sans-serif"/>
          <w:b w:val="false"/>
          <w:color w:val="000000"/>
          <w:sz w:val="20"/>
        </w:rPr>
        <w:t>This press release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"outlook," “commit,” or “continue,” the negative of these terms and other comparable terminology. These statements are only predictions based on our current expectations and projections about future events and reflect our beliefs regarding such future events and do not represent historical facts or statements of current condition. In evaluating these statements, readers should consider various factors, including the risks and uncertainties we describe in the “Risk Factors” sections of our most recent Annual Report on Form 10-K, and other reports filed with the Securities and Exchange Commission (SEC). Factors that could cause our actual results to differ materially from these forward-looking statements include changes in and/or risks associated with: the ability to deliver benefits of acquisitions and divestitures; the competitive environment; consumer behavior; distribution agreements; the advertising market; our brands and reputation; consumer acceptance of our content; growth of our digital platforms; use and protection of our intellectual property; cyber-attacks or incidents, information or security breaches or technology disruptions; weak economic conditions; personnel; labor disputes; laws and regulations; network rebrands; adverse decisions in litigation or governmental investigations; investments and acquisitions; our separation from Comcast Corporation; obligations associated with being a public company; our indebtedness;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lineRule="auto" w:line="360" w:before="180" w:after="283"/>
        <w:jc w:val="left"/>
        <w:rPr>
          <w:rFonts w:ascii="Arial;sans-serif" w:hAnsi="Arial;sans-serif"/>
          <w:b/>
          <w:color w:val="000000"/>
          <w:sz w:val="22"/>
        </w:rPr>
      </w:pPr>
      <w:r>
        <w:rPr>
          <w:rFonts w:ascii="Arial;sans-serif" w:hAnsi="Arial;sans-serif"/>
          <w:b/>
          <w:color w:val="000000"/>
          <w:sz w:val="22"/>
        </w:rPr>
        <w:t>About Versant Media Group, Inc.</w:t>
      </w:r>
    </w:p>
    <w:p>
      <w:pPr>
        <w:pStyle w:val="TextBody"/>
        <w:bidi w:val="0"/>
        <w:spacing w:lineRule="auto" w:line="360" w:before="180" w:after="283"/>
        <w:jc w:val="left"/>
        <w:rPr/>
      </w:pPr>
      <w:r>
        <w:rPr>
          <w:rFonts w:ascii="Arial;sans-serif" w:hAnsi="Arial;sans-serif"/>
          <w:b w:val="false"/>
          <w:color w:val="000000"/>
          <w:sz w:val="20"/>
        </w:rPr>
        <w:t xml:space="preserve">Versant Media Group, Inc. (Nasdaq: VSNT) is an industry-changing media and entertainment business and home to trusted brands that shape culture, inform audiences, and build lasting connections. It operates in four core markets: political news and opinion; business news and personal finance; golf; and sports and genre entertainment. These markets are served through a powerful portfolio of iconic and innovative brands, including MS NOW, CNBC, USA Network, Golf Channel, E!, SYFY and Oxygen, and complementary digital platforms Fandango, Rotten Tomatoes, GolfNow and GolfPass. Visit </w:t>
      </w:r>
      <w:r>
        <w:rPr>
          <w:rFonts w:ascii="Arial;sans-serif" w:hAnsi="Arial;sans-serif"/>
          <w:b w:val="false"/>
          <w:color w:val="0E32E1"/>
          <w:sz w:val="20"/>
          <w:u w:val="single"/>
        </w:rPr>
        <w:t>www.versantmedia.com</w:t>
      </w:r>
      <w:r>
        <w:rPr>
          <w:color w:val="000000"/>
        </w:rPr>
        <w:t xml:space="preserve"> </w:t>
      </w:r>
      <w:r>
        <w:rPr>
          <w:rFonts w:ascii="Arial;sans-serif" w:hAnsi="Arial;sans-serif"/>
          <w:b w:val="false"/>
          <w:color w:val="000000"/>
          <w:sz w:val="20"/>
        </w:rPr>
        <w:t>for more information.</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2"/>
        <w:gridCol w:w="1251"/>
        <w:gridCol w:w="1257"/>
        <w:gridCol w:w="109"/>
        <w:gridCol w:w="109"/>
        <w:gridCol w:w="168"/>
        <w:gridCol w:w="168"/>
        <w:gridCol w:w="326"/>
        <w:gridCol w:w="999"/>
        <w:gridCol w:w="168"/>
        <w:gridCol w:w="109"/>
        <w:gridCol w:w="109"/>
        <w:gridCol w:w="109"/>
        <w:gridCol w:w="216"/>
        <w:gridCol w:w="663"/>
        <w:gridCol w:w="111"/>
        <w:gridCol w:w="111"/>
        <w:gridCol w:w="111"/>
        <w:gridCol w:w="111"/>
        <w:gridCol w:w="216"/>
        <w:gridCol w:w="663"/>
        <w:gridCol w:w="111"/>
        <w:gridCol w:w="109"/>
        <w:gridCol w:w="109"/>
        <w:gridCol w:w="109"/>
        <w:gridCol w:w="211"/>
        <w:gridCol w:w="646"/>
        <w:gridCol w:w="164"/>
      </w:tblGrid>
      <w:tr>
        <w:trPr/>
        <w:tc>
          <w:tcPr>
            <w:tcW w:w="166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TABLE 1 </w:t>
              <w:br/>
              <w:t>Condensed Consolidated and Combined Statements of Income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348" w:type="dxa"/>
            <w:gridSpan w:val="6"/>
            <w:tcBorders/>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9"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(in millions, except per share data)</w:t>
            </w:r>
          </w:p>
        </w:tc>
        <w:tc>
          <w:tcPr>
            <w:tcW w:w="1348" w:type="dxa"/>
            <w:gridSpan w:val="6"/>
            <w:tcBorders/>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1,644</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3,415</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of revenue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2,505</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and other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323</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ind w:left="0" w:right="0" w:hanging="18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Versant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669</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common share attributable to Versant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 attributable to Versant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97" w:type="dxa"/>
        <w:jc w:val="left"/>
        <w:tblInd w:w="0" w:type="dxa"/>
        <w:tblLayout w:type="fixed"/>
        <w:tblCellMar>
          <w:top w:w="28" w:type="dxa"/>
          <w:left w:w="28" w:type="dxa"/>
          <w:bottom w:w="28" w:type="dxa"/>
          <w:right w:w="28" w:type="dxa"/>
        </w:tblCellMar>
      </w:tblPr>
      <w:tblGrid>
        <w:gridCol w:w="2590"/>
        <w:gridCol w:w="2277"/>
        <w:gridCol w:w="2288"/>
        <w:gridCol w:w="241"/>
        <w:gridCol w:w="738"/>
        <w:gridCol w:w="124"/>
        <w:gridCol w:w="124"/>
        <w:gridCol w:w="124"/>
        <w:gridCol w:w="124"/>
        <w:gridCol w:w="241"/>
        <w:gridCol w:w="550"/>
        <w:gridCol w:w="176"/>
      </w:tblGrid>
      <w:tr>
        <w:trPr/>
        <w:tc>
          <w:tcPr>
            <w:tcW w:w="2590"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TABLE 2</w:t>
              <w:br/>
              <w:t xml:space="preserve">Condensed Consolidated and Combined Statements of Cash Flows </w:t>
              <w:br/>
              <w:t>(Unaudited)</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i/>
                <w:color w:val="000000"/>
                <w:sz w:val="16"/>
              </w:rPr>
            </w:pPr>
            <w:r>
              <w:rPr>
                <w:rFonts w:ascii="Arial;sans-serif" w:hAnsi="Arial;sans-serif"/>
                <w:b/>
                <w:i/>
                <w:color w:val="000000"/>
                <w:sz w:val="16"/>
              </w:rPr>
              <w:t>(in millions)</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Share-based compensation </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investment activity and other</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and noncurrent receivables, net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Content costs, net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assets and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of businesses and investments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business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cash used in investing activities</w:t>
            </w:r>
            <w:r>
              <w:rPr>
                <w:color w:val="000000"/>
              </w:rPr>
              <w:t xml:space="preserve"> </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under repurchase program and employee plans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transfers to Comcast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payment from NBCUniversal</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cash used in financing activities</w:t>
            </w:r>
            <w:r>
              <w:rPr>
                <w:color w:val="000000"/>
              </w:rPr>
              <w:t xml:space="preserve"> </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(1,040)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Increase (decrease) in cash, cash equivalents and restricted cash</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and restricted cash, beginning of year</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1,478</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87"/>
        <w:gridCol w:w="2380"/>
        <w:gridCol w:w="2387"/>
        <w:gridCol w:w="211"/>
        <w:gridCol w:w="751"/>
        <w:gridCol w:w="109"/>
        <w:gridCol w:w="109"/>
        <w:gridCol w:w="109"/>
        <w:gridCol w:w="109"/>
        <w:gridCol w:w="236"/>
        <w:gridCol w:w="842"/>
        <w:gridCol w:w="175"/>
      </w:tblGrid>
      <w:tr>
        <w:trPr/>
        <w:tc>
          <w:tcPr>
            <w:tcW w:w="2787"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55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TABLE 3</w:t>
              <w:br/>
              <w:t>Condensed Consolidated and Combined Balance Sheets</w:t>
              <w:br/>
              <w:t>(Unaudited)</w:t>
            </w:r>
          </w:p>
        </w:tc>
        <w:tc>
          <w:tcPr>
            <w:tcW w:w="107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554"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40" w:before="0" w:after="283"/>
              <w:ind w:left="0" w:right="0" w:hanging="180"/>
              <w:jc w:val="center"/>
              <w:rPr>
                <w:rFonts w:ascii="Arial;sans-serif" w:hAnsi="Arial;sans-serif"/>
                <w:b/>
                <w:i/>
                <w:color w:val="000000"/>
                <w:sz w:val="18"/>
              </w:rPr>
            </w:pPr>
            <w:r>
              <w:rPr>
                <w:rFonts w:ascii="Arial;sans-serif" w:hAnsi="Arial;sans-serif"/>
                <w:b/>
                <w:i/>
                <w:color w:val="000000"/>
                <w:sz w:val="18"/>
              </w:rPr>
              <w:t>(in millions)</w:t>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Restricted cash </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7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Content costs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Property and equipment, net of accumulated depreciation of $632 million and $615 million</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Intangible assets, net of accumulated amortization of $9,163 million and $8,848 million</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7,804 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7,611 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assets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12,333</w:t>
            </w:r>
            <w:r>
              <w:rPr>
                <w:color w:val="000000"/>
              </w:rPr>
              <w:t> </w:t>
            </w:r>
          </w:p>
        </w:tc>
        <w:tc>
          <w:tcPr>
            <w:tcW w:w="17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left w:val="single" w:sz="8" w:space="0" w:color="FFFFFF"/>
              <w:right w:val="single" w:sz="8" w:space="0" w:color="FFFFFF"/>
            </w:tcBorders>
            <w:shd w:fill="FFFF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7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content obligations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employee costs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7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Noncurrent content obligations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07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no par value — authorized 20 million shares; none issued as of June 30, 2026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A common stock, $0.01 par value — authorized 7.5 billion shares; issued and outstanding 138,773,682 shares as of June 30, 2026</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B common stock, $0.01 par value — authorized 75 million shares; issued and outstanding 377,775 shares as of June 30, 2026</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Comcast investment</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10,299 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 attributable to Versant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10,292 </w:t>
            </w:r>
          </w:p>
        </w:tc>
        <w:tc>
          <w:tcPr>
            <w:tcW w:w="17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96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7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10,402 </w:t>
            </w:r>
          </w:p>
        </w:tc>
        <w:tc>
          <w:tcPr>
            <w:tcW w:w="17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liabilities and equity</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FFFFFF"/>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12,333</w:t>
            </w:r>
            <w:r>
              <w:rPr>
                <w:color w:val="000000"/>
              </w:rPr>
              <w:t> </w:t>
            </w:r>
          </w:p>
        </w:tc>
        <w:tc>
          <w:tcPr>
            <w:tcW w:w="175" w:type="dxa"/>
            <w:tcBorders>
              <w:top w:val="single" w:sz="8" w:space="0" w:color="000000"/>
              <w:bottom w:val="double" w:sz="8" w:space="0" w:color="000000"/>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17" w:type="dxa"/>
        <w:jc w:val="left"/>
        <w:tblInd w:w="0" w:type="dxa"/>
        <w:tblLayout w:type="fixed"/>
        <w:tblCellMar>
          <w:top w:w="28" w:type="dxa"/>
          <w:left w:w="28" w:type="dxa"/>
          <w:bottom w:w="28" w:type="dxa"/>
          <w:right w:w="28" w:type="dxa"/>
        </w:tblCellMar>
      </w:tblPr>
      <w:tblGrid>
        <w:gridCol w:w="2374"/>
        <w:gridCol w:w="2086"/>
        <w:gridCol w:w="2095"/>
        <w:gridCol w:w="109"/>
        <w:gridCol w:w="109"/>
        <w:gridCol w:w="109"/>
        <w:gridCol w:w="109"/>
        <w:gridCol w:w="109"/>
        <w:gridCol w:w="109"/>
        <w:gridCol w:w="109"/>
        <w:gridCol w:w="109"/>
        <w:gridCol w:w="109"/>
        <w:gridCol w:w="109"/>
        <w:gridCol w:w="109"/>
        <w:gridCol w:w="109"/>
        <w:gridCol w:w="154"/>
      </w:tblGrid>
      <w:tr>
        <w:trPr/>
        <w:tc>
          <w:tcPr>
            <w:tcW w:w="237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TABLE 4</w:t>
              <w:br/>
              <w:t xml:space="preserve">Supplemental Disclosures Regarding Non-GAAP Financial Measures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Arial;sans-serif" w:hAnsi="Arial;sans-serif"/>
          <w:b w:val="false"/>
          <w:color w:val="000000"/>
          <w:sz w:val="19"/>
        </w:rPr>
      </w:pPr>
      <w:r>
        <w:rPr>
          <w:rFonts w:ascii="Arial;sans-serif" w:hAnsi="Arial;sans-serif"/>
          <w:b w:val="false"/>
          <w:color w:val="000000"/>
          <w:sz w:val="19"/>
        </w:rPr>
        <w:t>We evaluate our operating performance based on several factors, including the following non-GAAP financial measures:</w:t>
      </w:r>
    </w:p>
    <w:p>
      <w:pPr>
        <w:pStyle w:val="TextBody"/>
        <w:bidi w:val="0"/>
        <w:spacing w:lineRule="auto" w:line="276" w:before="180" w:after="283"/>
        <w:jc w:val="left"/>
        <w:rPr>
          <w:rFonts w:ascii="Arial;sans-serif" w:hAnsi="Arial;sans-serif"/>
          <w:b/>
          <w:color w:val="000000"/>
          <w:sz w:val="20"/>
          <w:u w:val="single"/>
        </w:rPr>
      </w:pPr>
      <w:r>
        <w:rPr>
          <w:rFonts w:ascii="Arial;sans-serif" w:hAnsi="Arial;sans-serif"/>
          <w:b/>
          <w:color w:val="000000"/>
          <w:sz w:val="20"/>
          <w:u w:val="single"/>
        </w:rPr>
        <w:t>Adjusted EBITDA</w:t>
      </w:r>
    </w:p>
    <w:p>
      <w:pPr>
        <w:pStyle w:val="TextBody"/>
        <w:bidi w:val="0"/>
        <w:spacing w:lineRule="auto" w:line="276" w:before="80" w:after="283"/>
        <w:jc w:val="left"/>
        <w:rPr>
          <w:rFonts w:ascii="Arial;sans-serif" w:hAnsi="Arial;sans-serif"/>
          <w:b w:val="false"/>
          <w:color w:val="000000"/>
          <w:sz w:val="19"/>
        </w:rPr>
      </w:pPr>
      <w:r>
        <w:rPr>
          <w:rFonts w:ascii="Arial;sans-serif" w:hAnsi="Arial;sans-serif"/>
          <w:b w:val="false"/>
          <w:color w:val="000000"/>
          <w:sz w:val="19"/>
        </w:rPr>
        <w:t>Adjusted EBITDA is a non-GAAP financial measure and is a key measure used to assess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pStyle w:val="TextBody"/>
        <w:bidi w:val="0"/>
        <w:spacing w:lineRule="auto" w:line="276" w:before="120" w:after="283"/>
        <w:jc w:val="left"/>
        <w:rPr>
          <w:rFonts w:ascii="Arial;sans-serif" w:hAnsi="Arial;sans-serif"/>
          <w:b w:val="false"/>
          <w:color w:val="000000"/>
          <w:sz w:val="19"/>
        </w:rPr>
      </w:pPr>
      <w:r>
        <w:rPr>
          <w:rFonts w:ascii="Arial;sans-serif" w:hAnsi="Arial;sans-serif"/>
          <w:b w:val="false"/>
          <w:color w:val="000000"/>
          <w:sz w:val="19"/>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 Reconciliations of Adjusted EBITDA to the nearest GAAP measures for historical periods are presented below. A reconciliation for full-year 2026 outlook cannot be provided without unreasonable efforts because of the inherent difficulty in forecasting certain amounts that are necessary for such reconciliations due to the uncertainty and potential variability of reconciling items, which are dependent on future events and often outside of management’s control and which could be significant. Forward-looking estimates are made in a manner consistent with the relevant definitions noted herein.</w:t>
      </w:r>
    </w:p>
    <w:p>
      <w:pPr>
        <w:pStyle w:val="TextBody"/>
        <w:bidi w:val="0"/>
        <w:spacing w:lineRule="auto" w:line="276" w:before="180" w:after="283"/>
        <w:jc w:val="both"/>
        <w:rPr>
          <w:rFonts w:ascii="Arial;sans-serif" w:hAnsi="Arial;sans-serif"/>
          <w:b/>
          <w:color w:val="000000"/>
          <w:sz w:val="19"/>
          <w:u w:val="single"/>
        </w:rPr>
      </w:pPr>
      <w:r>
        <w:rPr>
          <w:rFonts w:ascii="Arial;sans-serif" w:hAnsi="Arial;sans-serif"/>
          <w:b/>
          <w:color w:val="000000"/>
          <w:sz w:val="19"/>
          <w:u w:val="single"/>
        </w:rPr>
        <w:t>Standalone Adjusted EBITDA</w:t>
      </w:r>
    </w:p>
    <w:p>
      <w:pPr>
        <w:pStyle w:val="TextBody"/>
        <w:bidi w:val="0"/>
        <w:spacing w:lineRule="auto" w:line="276" w:before="80" w:after="283"/>
        <w:jc w:val="left"/>
        <w:rPr>
          <w:rFonts w:ascii="Arial;sans-serif" w:hAnsi="Arial;sans-serif"/>
          <w:b w:val="false"/>
          <w:color w:val="000000"/>
          <w:sz w:val="19"/>
        </w:rPr>
      </w:pPr>
      <w:r>
        <w:rPr>
          <w:rFonts w:ascii="Arial;sans-serif" w:hAnsi="Arial;sans-serif"/>
          <w:b w:val="false"/>
          <w:color w:val="000000"/>
          <w:sz w:val="19"/>
        </w:rPr>
        <w:t xml:space="preserve">Standalone Adjusted EBITDA is a non-GAAP financial measure used in periods prior to the Separation to measure the operational strength and performance of our business as well as to assist in the evaluation of underlying trends in our business. Consistent with Adjusted EBITDA, this measure eliminates noncash depreciation and amortization expense and is unaffected by our capital and tax structures and by our investment activities, as our management excludes these results when evaluating our operating performance. Standalone Adjusted EBITDA also includes estimated incremental costs of operating as a standalone company following the Separation. We use Standalone Adjusted EBITDA and believe this measure is useful to investors because it provides an estimate of our operating performance giving effect to the Separation and related transactions and additional costs that we expect to incur as a standalone company for the periods presented, and is one of the bases for comparing our operating performance with that of other companies in our industries, although our measure of Standalone Adjusted EBITDA may not be directly comparable to similar measures used by other companies. </w:t>
      </w:r>
    </w:p>
    <w:p>
      <w:pPr>
        <w:pStyle w:val="TextBody"/>
        <w:bidi w:val="0"/>
        <w:spacing w:lineRule="auto" w:line="276" w:before="120" w:after="283"/>
        <w:jc w:val="left"/>
        <w:rPr>
          <w:rFonts w:ascii="Arial;sans-serif" w:hAnsi="Arial;sans-serif"/>
          <w:b w:val="false"/>
          <w:color w:val="000000"/>
          <w:sz w:val="19"/>
        </w:rPr>
      </w:pPr>
      <w:r>
        <w:rPr>
          <w:rFonts w:ascii="Arial;sans-serif" w:hAnsi="Arial;sans-serif"/>
          <w:b w:val="false"/>
          <w:color w:val="000000"/>
          <w:sz w:val="19"/>
        </w:rPr>
        <w:t xml:space="preserve">We define Standalone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and further adjusted to give effect to estimated incremental costs of commercial agreements with Comcast and estimated additional costs we expect to incur as a standalone company in certain of our corporate administrative, facilities and support functions. From time to time, we may exclude from Standalone Adjusted EBITDA the impact of certain events, gains, losses or other charges that affect the period-to-period comparability of our operating performance. Standalone Adjusted EBITDA is presented for informational purposes only and does not purport to represent what our results of operations actually would have been had we operated as a standalone company for the periods presented or to project our financial performance for any future period. Standalone Adjusted EBITDA is based on available information, estimates and assumptions, which we believe are reasonable, although actual future results will differ from the amounts presented.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left"/>
        <w:rPr>
          <w:rFonts w:ascii="Arial;sans-serif" w:hAnsi="Arial;sans-serif"/>
          <w:b w:val="false"/>
          <w:color w:val="000000"/>
          <w:sz w:val="19"/>
        </w:rPr>
      </w:pPr>
      <w:r>
        <w:rPr>
          <w:rFonts w:ascii="Arial;sans-serif" w:hAnsi="Arial;sans-serif"/>
          <w:b w:val="false"/>
          <w:color w:val="000000"/>
          <w:sz w:val="19"/>
        </w:rPr>
        <w:t xml:space="preserve">Reconciliations of Adjusted EBITDA to the nearest GAAP measures for historical periods are presented below. </w:t>
      </w:r>
    </w:p>
    <w:tbl>
      <w:tblPr>
        <w:tblW w:w="10205" w:type="dxa"/>
        <w:jc w:val="left"/>
        <w:tblInd w:w="0" w:type="dxa"/>
        <w:tblLayout w:type="fixed"/>
        <w:tblCellMar>
          <w:top w:w="28" w:type="dxa"/>
          <w:left w:w="28" w:type="dxa"/>
          <w:bottom w:w="28" w:type="dxa"/>
          <w:right w:w="28" w:type="dxa"/>
        </w:tblCellMar>
      </w:tblPr>
      <w:tblGrid>
        <w:gridCol w:w="1560"/>
        <w:gridCol w:w="835"/>
        <w:gridCol w:w="631"/>
        <w:gridCol w:w="209"/>
        <w:gridCol w:w="209"/>
        <w:gridCol w:w="209"/>
        <w:gridCol w:w="209"/>
        <w:gridCol w:w="405"/>
        <w:gridCol w:w="924"/>
        <w:gridCol w:w="209"/>
        <w:gridCol w:w="209"/>
        <w:gridCol w:w="209"/>
        <w:gridCol w:w="209"/>
        <w:gridCol w:w="405"/>
        <w:gridCol w:w="924"/>
        <w:gridCol w:w="209"/>
        <w:gridCol w:w="109"/>
        <w:gridCol w:w="109"/>
        <w:gridCol w:w="109"/>
        <w:gridCol w:w="211"/>
        <w:gridCol w:w="646"/>
        <w:gridCol w:w="109"/>
        <w:gridCol w:w="109"/>
        <w:gridCol w:w="109"/>
        <w:gridCol w:w="109"/>
        <w:gridCol w:w="211"/>
        <w:gridCol w:w="646"/>
        <w:gridCol w:w="163"/>
      </w:tblGrid>
      <w:tr>
        <w:trPr/>
        <w:tc>
          <w:tcPr>
            <w:tcW w:w="15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65"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2"/>
              </w:rPr>
            </w:pPr>
            <w:r>
              <w:rPr>
                <w:rFonts w:ascii="Arial;sans-serif" w:hAnsi="Arial;sans-serif"/>
                <w:b/>
                <w:color w:val="000000"/>
                <w:sz w:val="22"/>
              </w:rPr>
              <w:t>Reconciliation from Net Income Attributable to Versant to Adjusted EBITDA and Standalone Adjusted EBITDA (Unaudited)</w:t>
            </w:r>
          </w:p>
        </w:tc>
        <w:tc>
          <w:tcPr>
            <w:tcW w:w="2640" w:type="dxa"/>
            <w:gridSpan w:val="12"/>
            <w:tcBorders/>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5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347" w:type="dxa"/>
            <w:gridSpan w:val="6"/>
            <w:tcBorders/>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14"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(in millions)</w:t>
            </w:r>
          </w:p>
        </w:tc>
        <w:tc>
          <w:tcPr>
            <w:tcW w:w="1347" w:type="dxa"/>
            <w:gridSpan w:val="6"/>
            <w:tcBorders/>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Versant </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669</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and other (income) loss, net</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Adjustments for transaction and transaction-related costs </w:t>
            </w:r>
            <w:r>
              <w:rPr>
                <w:rFonts w:ascii="Arial;sans-serif" w:hAnsi="Arial;sans-serif"/>
                <w:b w:val="false"/>
                <w:color w:val="000000"/>
                <w:sz w:val="13"/>
              </w:rPr>
              <w:t>(1)</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685</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Incremental costs of commercial agreements with Comcast </w:t>
            </w:r>
            <w:r>
              <w:rPr>
                <w:rFonts w:ascii="Arial;sans-serif" w:hAnsi="Arial;sans-serif"/>
                <w:b w:val="false"/>
                <w:color w:val="000000"/>
                <w:sz w:val="13"/>
              </w:rPr>
              <w:t>(2)</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Incremental costs of corporate administrative, facilities and support functions</w:t>
            </w:r>
            <w:r>
              <w:rPr>
                <w:color w:val="000000"/>
              </w:rPr>
              <w:t xml:space="preserve"> </w:t>
            </w:r>
            <w:r>
              <w:rPr>
                <w:rFonts w:ascii="Arial;sans-serif" w:hAnsi="Arial;sans-serif"/>
                <w:b w:val="false"/>
                <w:color w:val="000000"/>
                <w:sz w:val="13"/>
              </w:rPr>
              <w:t>(3)</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Standalone Adjusted EBITDA</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606</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1,278</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8"/>
        </w:rPr>
      </w:pPr>
      <w:r>
        <w:rPr>
          <w:rFonts w:ascii="Arial;sans-serif" w:hAnsi="Arial;sans-serif"/>
          <w:b w:val="false"/>
          <w:color w:val="000000"/>
          <w:sz w:val="8"/>
        </w:rPr>
        <w:t>________________________________________________________________</w:t>
      </w:r>
    </w:p>
    <w:p>
      <w:pPr>
        <w:pStyle w:val="TextBody"/>
        <w:bidi w:val="0"/>
        <w:spacing w:lineRule="auto" w:line="288" w:before="120" w:after="60"/>
        <w:ind w:left="0" w:right="0" w:hanging="270"/>
        <w:jc w:val="left"/>
        <w:rPr/>
      </w:pPr>
      <w:r>
        <w:rPr>
          <w:rFonts w:ascii="Arial;sans-serif" w:hAnsi="Arial;sans-serif"/>
          <w:b w:val="false"/>
          <w:color w:val="000000"/>
          <w:sz w:val="12"/>
        </w:rPr>
        <w:t>(1)</w:t>
      </w:r>
      <w:r>
        <w:rPr>
          <w:rFonts w:ascii="Arial;sans-serif" w:hAnsi="Arial;sans-serif"/>
          <w:b w:val="false"/>
          <w:color w:val="000000"/>
          <w:sz w:val="19"/>
        </w:rPr>
        <w:t xml:space="preserve">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 </w:t>
      </w:r>
    </w:p>
    <w:tbl>
      <w:tblPr>
        <w:tblW w:w="7788" w:type="dxa"/>
        <w:jc w:val="left"/>
        <w:tblInd w:w="0" w:type="dxa"/>
        <w:tblLayout w:type="fixed"/>
        <w:tblCellMar>
          <w:top w:w="28" w:type="dxa"/>
          <w:left w:w="28" w:type="dxa"/>
          <w:bottom w:w="28" w:type="dxa"/>
          <w:right w:w="28" w:type="dxa"/>
        </w:tblCellMar>
      </w:tblPr>
      <w:tblGrid>
        <w:gridCol w:w="868"/>
        <w:gridCol w:w="763"/>
        <w:gridCol w:w="768"/>
        <w:gridCol w:w="316"/>
        <w:gridCol w:w="609"/>
        <w:gridCol w:w="163"/>
        <w:gridCol w:w="163"/>
        <w:gridCol w:w="163"/>
        <w:gridCol w:w="163"/>
        <w:gridCol w:w="316"/>
        <w:gridCol w:w="564"/>
        <w:gridCol w:w="163"/>
        <w:gridCol w:w="109"/>
        <w:gridCol w:w="109"/>
        <w:gridCol w:w="109"/>
        <w:gridCol w:w="311"/>
        <w:gridCol w:w="399"/>
        <w:gridCol w:w="160"/>
        <w:gridCol w:w="160"/>
        <w:gridCol w:w="160"/>
        <w:gridCol w:w="160"/>
        <w:gridCol w:w="311"/>
        <w:gridCol w:w="554"/>
        <w:gridCol w:w="227"/>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(in millions)</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transaction and </w:t>
              <w:br/>
              <w:t>transaction-related costs</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pPr>
      <w:r>
        <w:rPr>
          <w:rFonts w:ascii="Arial;sans-serif" w:hAnsi="Arial;sans-serif"/>
          <w:b w:val="false"/>
          <w:color w:val="000000"/>
          <w:sz w:val="12"/>
        </w:rPr>
        <w:t>(2)</w:t>
      </w:r>
      <w:r>
        <w:rPr>
          <w:rFonts w:ascii="Arial;sans-serif" w:hAnsi="Arial;sans-serif"/>
          <w:b w:val="false"/>
          <w:color w:val="000000"/>
          <w:sz w:val="19"/>
        </w:rPr>
        <w:t>Amounts represent incremental costs of commercial agreements entered into with Comcast in connection with the Separation and primarily relate to the commercial services agreement for the sale and use of our advertising and promotional inventory.</w:t>
      </w:r>
    </w:p>
    <w:p>
      <w:pPr>
        <w:pStyle w:val="TextBody"/>
        <w:bidi w:val="0"/>
        <w:spacing w:lineRule="auto" w:line="288" w:before="180" w:after="283"/>
        <w:ind w:left="0" w:right="0" w:hanging="270"/>
        <w:jc w:val="left"/>
        <w:rPr/>
      </w:pPr>
      <w:r>
        <w:rPr>
          <w:rFonts w:ascii="Arial;sans-serif" w:hAnsi="Arial;sans-serif"/>
          <w:b w:val="false"/>
          <w:color w:val="000000"/>
          <w:sz w:val="12"/>
        </w:rPr>
        <w:t>(3)</w:t>
      </w:r>
      <w:r>
        <w:rPr>
          <w:rFonts w:ascii="Arial;sans-serif" w:hAnsi="Arial;sans-serif"/>
          <w:b w:val="false"/>
          <w:color w:val="000000"/>
          <w:sz w:val="19"/>
        </w:rPr>
        <w:t>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w:t>
      </w:r>
    </w:p>
    <w:p>
      <w:pPr>
        <w:pStyle w:val="TextBody"/>
        <w:bidi w:val="0"/>
        <w:spacing w:before="120" w:after="283"/>
        <w:ind w:left="0" w:right="0" w:firstLine="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Arial;sans-serif" w:hAnsi="Arial;sans-serif"/>
          <w:b/>
          <w:color w:val="000000"/>
          <w:sz w:val="19"/>
          <w:u w:val="single"/>
        </w:rPr>
        <w:t>Free Cash Flow</w:t>
      </w:r>
      <w:r>
        <w:rPr>
          <w:color w:val="000000"/>
        </w:rPr>
        <w:t xml:space="preserve"> </w:t>
      </w:r>
    </w:p>
    <w:p>
      <w:pPr>
        <w:pStyle w:val="TextBody"/>
        <w:bidi w:val="0"/>
        <w:spacing w:before="80" w:after="283"/>
        <w:jc w:val="left"/>
        <w:rPr/>
      </w:pPr>
      <w:r>
        <w:rPr/>
      </w:r>
    </w:p>
    <w:p>
      <w:pPr>
        <w:pStyle w:val="TextBody"/>
        <w:bidi w:val="0"/>
        <w:spacing w:lineRule="auto" w:line="283" w:before="0" w:after="0"/>
        <w:jc w:val="left"/>
        <w:rPr>
          <w:rFonts w:ascii="Arial;sans-serif" w:hAnsi="Arial;sans-serif"/>
          <w:b w:val="false"/>
          <w:color w:val="000000"/>
          <w:sz w:val="19"/>
        </w:rPr>
      </w:pPr>
      <w:r>
        <w:rPr>
          <w:rFonts w:ascii="Arial;sans-serif" w:hAnsi="Arial;sans-serif"/>
          <w:b w:val="false"/>
          <w:color w:val="000000"/>
          <w:sz w:val="19"/>
        </w:rPr>
        <w:t xml:space="preserve">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 </w:t>
      </w:r>
    </w:p>
    <w:p>
      <w:pPr>
        <w:pStyle w:val="TextBody"/>
        <w:bidi w:val="0"/>
        <w:spacing w:before="0" w:after="0"/>
        <w:jc w:val="left"/>
        <w:rPr/>
      </w:pPr>
      <w:r>
        <w:rPr/>
      </w:r>
    </w:p>
    <w:p>
      <w:pPr>
        <w:pStyle w:val="TextBody"/>
        <w:bidi w:val="0"/>
        <w:spacing w:lineRule="auto" w:line="283" w:before="0" w:after="240"/>
        <w:jc w:val="left"/>
        <w:rPr>
          <w:rFonts w:ascii="Arial;sans-serif" w:hAnsi="Arial;sans-serif"/>
          <w:b w:val="false"/>
          <w:color w:val="000000"/>
          <w:sz w:val="19"/>
        </w:rPr>
      </w:pPr>
      <w:r>
        <w:rPr>
          <w:rFonts w:ascii="Arial;sans-serif" w:hAnsi="Arial;sans-serif"/>
          <w:b w:val="false"/>
          <w:color w:val="000000"/>
          <w:sz w:val="19"/>
        </w:rPr>
        <w:t>Free Cash Flow is defined as net cash provided by operating activities, reduced by capital expenditures. From time to time, we may exclude from Free Cash Flow the impact of certain cash receipts or payments that affect comparability. Reconciliations of Free Cash Flow to the nearest GAAP measures for historical periods are presented below. A reconciliation for full-year 2026 outlook cannot be provided without unreasonable efforts because of the inherent difficulty in forecasting certain amounts that are necessary for such reconciliations due to the uncertainty and potential variability of reconciling items, which are dependent on future events and often outside of management’s control and which could be significant. Forward-looking estimates are made in a manner consistent with the relevant definitions noted herein.</w:t>
      </w:r>
    </w:p>
    <w:tbl>
      <w:tblPr>
        <w:tblW w:w="9116" w:type="dxa"/>
        <w:jc w:val="left"/>
        <w:tblInd w:w="0" w:type="dxa"/>
        <w:tblLayout w:type="fixed"/>
        <w:tblCellMar>
          <w:top w:w="28" w:type="dxa"/>
          <w:left w:w="28" w:type="dxa"/>
          <w:bottom w:w="28" w:type="dxa"/>
          <w:right w:w="28" w:type="dxa"/>
        </w:tblCellMar>
      </w:tblPr>
      <w:tblGrid>
        <w:gridCol w:w="1344"/>
        <w:gridCol w:w="1183"/>
        <w:gridCol w:w="1193"/>
        <w:gridCol w:w="691"/>
        <w:gridCol w:w="1576"/>
        <w:gridCol w:w="357"/>
        <w:gridCol w:w="109"/>
        <w:gridCol w:w="109"/>
        <w:gridCol w:w="109"/>
        <w:gridCol w:w="610"/>
        <w:gridCol w:w="1390"/>
        <w:gridCol w:w="445"/>
      </w:tblGrid>
      <w:tr>
        <w:trPr/>
        <w:tc>
          <w:tcPr>
            <w:tcW w:w="134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(in millions)</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4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4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w:t>
            </w:r>
            <w:r>
              <w:rPr>
                <w:color w:val="000000"/>
              </w:rPr>
              <w:t>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908</w:t>
            </w:r>
            <w:r>
              <w:rPr>
                <w:color w:val="000000"/>
              </w:rPr>
              <w:t>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center"/>
        <w:rPr/>
      </w:pPr>
      <w:bookmarkStart w:id="0" w:name="exhibit992-supplementalf.htm"/>
      <w:bookmarkStart w:id="1" w:name="ksexhibit992supplementalf"/>
      <w:bookmarkEnd w:id="0"/>
      <w:bookmarkEnd w:id="1"/>
      <w:r>
        <w:rPr/>
        <w:drawing>
          <wp:inline distT="0" distB="0" distL="0" distR="0">
            <wp:extent cx="9753600" cy="54864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Supplemental Financial Information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Revenue, Adjusted and Standalone Adjusted Costs and Expenses, Excluding Depreciation and Amortization, and Adjusted and Standalone Adjusted EBITDA Q1 Q2 Q1 Q2 Q3 Q4 FY (in millions) 2026 2026 2025 2025 2025 2025 2025 Presented on a standalone basis(1) Revenue Linear distribution $ 1,006 $ 954 $ 1,085 $ 1,017 $ 992 $ 997 $ 4,092 Advertising 368 423 388 425 394 370 1,577 Platforms 192 225 176 223 224 202 826 Platforms (excluding SportsEngine) (1) 159 212 143 194 189 170 696 Content licensing and other 121 43 57 43 54 41 193 Total revenue $ 1,687 $ 1,644 $ 1,706 $ 1,708 $ 1,663 $ 1,610 $ 6,688 Total revenue (excluding SportsEngine) (1) 1,652 1,631 1,672 1,678 1,627 1,576 6,553 Costs Programming and production $ 519 $ 522 $ 547 $ 573 $ 744 $ 582 $ 2,446 Other 119 128 108 127 129 128 491 Total costs of revenue 638 650 654 700 873 710 2,937 Selling, general and administrative (2) 346 369 380 402 410 380 1,572 Total Adjusted and Standalone Adjusted Costs and Expenses, Excluding Depreciation and Amortization (2) $ 983 $ 1,019 $ 1,035 $ 1,102 $ 1,282 $ 1,089 $ 4,509 Adjusted EBITDA and Standalone Adjusted EBITDA (1) $ 704 $ 624 $ 672 $ 606 $ 381 $ 521 $ 2,180 Adjusted EBITDA and Standalone Adjusted EBITDA margin (1) 42 % 38 % 39 % 35 % 23 % 32 % 33 % 1 1. Non-GAAP financial measure, refer to Notes page for additional information and reconciliation to the most comparable GAAP measure. 2. 2026 amounts are adjusted for transaction and transaction-related costs. For 2025, the amounts above are presented on a standalone basis. Both represent Non-GAAP financial measures, refer to Notes page for additional information and reconciliation to the most comparable GAAP measure. See Notes page for basis of presentation and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Notes Basis of Presentation Our consolidated and combined financial statements have been prepared in accordance with GAAP and pursuant to the rules and regulations of the SEC. For the prior year periods presented in the combined financial statements prior to our separation from Comcast on January 2, 2026 (the "Separation") included in this report, the Versant businesses operated as part of Comcast’s Media segment. As such, the prior year combined financial statements were derived from Comcast’s historical accounting records as if Versant operations had been conducted independently from Comcast, and reflect our assets, liabilities, revenues and expenses on a historical cost basis. The prior year historical financial information was prepared using allocations and carve-out methodologies for the periods prior to the Separation, using assumptions that management believed to be reasonable. Accordingly, the financial information for periods prior to the Separation from Comcast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Numerical information is presented on a rounded basis using actual amounts, unless otherwise noted. Minor differences in totals and percentage calculations may exist due to rounding. Non-GAAP Financial Measures In addition to financial measures included in our combined financial statements, we use certain non-GAAP financial measures as defined below. We provide reconciliations of these non-GAAP financial measures to the most directly comparable financial measures prepared in accordance with GAAP in the following pages. Adjusted EBITDA is defined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 Standalone Adjusted EBITDA is defined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and further adjusted to give effect to estimated incremental costs of commercial agreements with Comcast and estimated additional costs we expect to incur as a standalone company in certain of our corporate administrative, facilities and support functions. From time to time, we may exclude from Standalone Adjusted EBITDA the impact of certain events, gains, losses or other charges that affect the period-to-period comparability of our operating performance. Standalone Adjusted EBITDA is presented for informational purposes only and does not purport to represent what our results of operations actually would have been had we operated as a standalone company for the periods presented or to project our financial performance for any future period. Standalone Adjusted EBITDA is based on available information, estimates and assumptions, which we believe are reasonable, although actual future results will differ from the amounts presented.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Notes (Continued) Non-GAAP Financial Measures (Continued) Standalone Adjusted Selling, General and Administrative expense is defined as selling, general and administrative expenses adjusted to give effect to estimated incremental costs of commercial agreements with Comcast and estimated additional costs we expect to incur as a standalone company in certain of our corporate administrative, facilities and support functions, and further adjusted to exclude the impact of transaction and transaction-related costs. Standalone Adjusted Costs and Expenses, Excluding Depreciation and Amortization is defined as the aggregate amount of costs and expenses, excluding depreciation and amortization adjusted to give effect to estimated incremental costs of commercial agreements with Comcast and estimated additional costs we expect to incur as a standalone company in certain of our corporate administrative, facilities and support functions, and further adjusted to exclude the impact of transaction and transaction-related costs. From time to time, we present adjusted information, such as revenue, to exclude the impact of certain transactions, events, gains, losses or other charges. The adjusted information is a non-GAAP financial measure. We believe, among other things, that the adjusted information may help investors evaluate our ongoing operations and can assist in making meaningful period-over-period comparisons. Platforms (excluding SportsEngine) and Total revenue (excluding SportsEngine) in these supplemental schedules are non-GAAP financial measures and have been included for comparative purposes only. Platforms revenue and Total revenue for SportsEngine are as follows: 3 Q1 Q2 Q1 Q2 Q3 Q4 FY (in millions) 2026 2026 2025 2025 2025 2025 2025 SportsEngine platforms revenue $34 $12 $33 $29 $35 $32 $129 SportsEngine total revenue 35 13 35 30 36 34 136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Reconciliation from Net Income Attributable to Versant to Adjusted EBITDA and Standalone Adjusted EBITDA Q1 Q2 Q1 Q2 Q3 Q4 FY (in millions) 2026 2026 2025 2025 2025 2025 2025 Net income attributable to Versant $ 286 $ 211 $ 367 $ 302 $ 80 $ 181 $ 930 Net income (loss) attributable to noncontrolling interests — — — 1 (1) — 1 Income tax expense 112 112 132 106 45 13 297 Investment and other (income) loss, net (8) (9) — 1 39 (9) 31 Interest expense 52 52 — — — 13 13 Depreciation and amortization 256 258 245 244 255 267 1,010 Adjustments for transaction and transaction-related costs (1) 5 — 12 32 27 71 142 Adjusted EBITDA $ 704 $ 624 $ 757 $ 685 $ 445 $ 537 $ 2,425 Incremental costs of commercial agreements with Comcast (2) (45) (43) (46) (51) (186) Incremental costs of corporate administrative, facilities and support functions (3) (40) (36) (19) 36 (59) Standalone Adjusted EBITDA $ 672 $ 606 $ 381 $ 521 $ 2,180 4 1.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 2. Amounts represent incremental costs of commercial agreements entered into with Comcast in connection with the Separation and primarily relate to the commercial services agreement for the sale and use of our advertising and promotional inventory. 3. 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Reconciliations from Reported to Adjusted and Standalone Adjusted Selling, General and Administrative Expenses and Costs and Expenses, Excluding Depreciation and Amortization Q1 Q2 Q1 Q2 Q3 Q4 FY (in millions) 2026 2026 2025 2025 2025 2025 2025 Selling, general and administrative expenses $ 351 $ 369 $ 307 $ 355 $ 372 $ 435 $ 1,469 Transaction and transaction-related costs (1) (5) — (12) (32) (27) (71) (142) Incremental costs of commercial agreements with Comcast (2) — — 45 43 46 51 186 Incremental costs of corporate administrative, facilities and support functions (3) — — 40 36 19 (36) 59 Adjusted Selling, General and Administrative Expenses $ 346 $ 369 Standalone Adjusted Selling, General and Administrative Expenses $ 380 $ 402 $ 410 $ 380 $ 1,572 Costs and expenses, excluding depreciation and amortization $ 989 $ 1,019 $ 961 $ 1,055 $ 1,245 $ 1,145 $ 4,406 Transaction and transaction-related costs (1) (5) — (12) (32) (27) (71) (142) Incremental costs of commercial agreements with Comcast (2) — — 45 43 46 51 186 Incremental costs of corporate administrative, facilities and support functions (3) — — 40 36 19 (36) 59 Adjusted Costs and Expenses, Excluding Depreciation and Amortization $ 983 $ 1,019 Standalone Adjusted Costs and Expenses, Excluding Depreciation and Amortization $ 1,035 $ 1,102 $ 1,282 $ 1,089 $ 4,509 5 1.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 2. Amounts represent incremental costs of commercial agreements entered into with Comcast in connection with the Separation and primarily relate to the commercial services agreement for the sale and use of our advertising and promotional inventory. 3. 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6995</Words>
  <Characters>39727</Characters>
  <CharactersWithSpaces>46416</CharactersWithSpaces>
  <Paragraphs>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exhibit992-supplementalf</dc:title>
</cp:coreProperties>
</file>