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SEC Form 3</w:t>
            </w:r>
          </w:p>
        </w:tc>
        <w:tc>
          <w:tcPr>
            <w:tcW w:w="6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tcPr>
          <w:p>
            <w:pPr>
              <w:ind w:left="660"/>
              <w:spacing w:after="0"/>
              <w:rPr>
                <w:sz w:val="20"/>
                <w:szCs w:val="20"/>
                <w:color w:val="auto"/>
              </w:rPr>
            </w:pPr>
            <w:r>
              <w:rPr>
                <w:rFonts w:ascii="Arial" w:cs="Arial" w:eastAsia="Arial" w:hAnsi="Arial"/>
                <w:sz w:val="22"/>
                <w:szCs w:val="22"/>
                <w:b w:val="1"/>
                <w:bCs w:val="1"/>
                <w:color w:val="auto"/>
              </w:rPr>
              <w:t>FORM 3</w:t>
            </w:r>
          </w:p>
        </w:tc>
        <w:tc>
          <w:tcPr>
            <w:tcW w:w="6660" w:type="dxa"/>
            <w:vAlign w:val="bottom"/>
          </w:tcPr>
          <w:p>
            <w:pPr>
              <w:jc w:val="center"/>
              <w:ind w:left="16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660" w:type="dxa"/>
            <w:vAlign w:val="bottom"/>
            <w:vMerge w:val="restart"/>
          </w:tcPr>
          <w:p>
            <w:pPr>
              <w:jc w:val="center"/>
              <w:ind w:left="186"/>
              <w:spacing w:after="0"/>
              <w:rPr>
                <w:sz w:val="20"/>
                <w:szCs w:val="20"/>
                <w:color w:val="auto"/>
              </w:rPr>
            </w:pPr>
            <w:r>
              <w:rPr>
                <w:rFonts w:ascii="Arial" w:cs="Arial" w:eastAsia="Arial" w:hAnsi="Arial"/>
                <w:sz w:val="19"/>
                <w:szCs w:val="19"/>
                <w:b w:val="1"/>
                <w:bCs w:val="1"/>
                <w:color w:val="auto"/>
              </w:rPr>
              <w:t>INITIAL STATEMENT OF BENEFICIAL OWNERSHIP OF SECURITIES</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restart"/>
          </w:tcPr>
          <w:p>
            <w:pPr>
              <w:jc w:val="center"/>
              <w:ind w:left="14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4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-744855</wp:posOffset>
            </wp:positionV>
            <wp:extent cx="6732905" cy="439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39293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820" w:type="dxa"/>
            <w:vAlign w:val="bottom"/>
          </w:tcPr>
          <w:p>
            <w:pPr>
              <w:ind w:left="420"/>
              <w:spacing w:after="0"/>
              <w:rPr>
                <w:sz w:val="20"/>
                <w:szCs w:val="20"/>
                <w:color w:val="auto"/>
              </w:rPr>
            </w:pPr>
            <w:r>
              <w:rPr>
                <w:rFonts w:ascii="Arial" w:cs="Arial" w:eastAsia="Arial" w:hAnsi="Arial"/>
                <w:sz w:val="12"/>
                <w:szCs w:val="12"/>
                <w:color w:val="auto"/>
                <w:w w:val="98"/>
              </w:rPr>
              <w:t>2. Date of Event Requiring</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300" w:type="dxa"/>
            <w:vAlign w:val="bottom"/>
            <w:vMerge w:val="restart"/>
          </w:tcPr>
          <w:p>
            <w:pPr>
              <w:spacing w:after="0"/>
              <w:rPr>
                <w:rFonts w:ascii="Times New Roman" w:cs="Times New Roman" w:eastAsia="Times New Roman" w:hAnsi="Times New Roman"/>
                <w:sz w:val="19"/>
                <w:szCs w:val="19"/>
                <w:color w:val="0000EE"/>
                <w:w w:val="98"/>
              </w:rPr>
            </w:pPr>
            <w:hyperlink r:id="rId9">
              <w:r>
                <w:rPr>
                  <w:rFonts w:ascii="Times New Roman" w:cs="Times New Roman" w:eastAsia="Times New Roman" w:hAnsi="Times New Roman"/>
                  <w:sz w:val="19"/>
                  <w:szCs w:val="19"/>
                  <w:color w:val="0000EE"/>
                  <w:w w:val="98"/>
                </w:rPr>
                <w:t>Armstrong Jason</w:t>
              </w:r>
            </w:hyperlink>
          </w:p>
        </w:tc>
        <w:tc>
          <w:tcPr>
            <w:tcW w:w="1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2"/>
                <w:szCs w:val="12"/>
                <w:color w:val="auto"/>
              </w:rPr>
              <w:t>Statement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300" w:type="dxa"/>
            <w:vAlign w:val="bottom"/>
            <w:tcBorders>
              <w:bottom w:val="single" w:sz="8" w:color="0000EE"/>
            </w:tcBorders>
            <w:vMerge w:val="continue"/>
          </w:tcPr>
          <w:p>
            <w:pPr>
              <w:spacing w:after="0"/>
              <w:rPr>
                <w:sz w:val="8"/>
                <w:szCs w:val="8"/>
                <w:color w:val="auto"/>
              </w:rPr>
            </w:pPr>
          </w:p>
        </w:tc>
        <w:tc>
          <w:tcPr>
            <w:tcW w:w="1400" w:type="dxa"/>
            <w:vAlign w:val="bottom"/>
            <w:vMerge w:val="restart"/>
          </w:tcPr>
          <w:p>
            <w:pPr>
              <w:spacing w:after="0"/>
              <w:rPr>
                <w:sz w:val="8"/>
                <w:szCs w:val="8"/>
                <w:color w:val="auto"/>
              </w:rPr>
            </w:pPr>
          </w:p>
        </w:tc>
        <w:tc>
          <w:tcPr>
            <w:tcW w:w="1820" w:type="dxa"/>
            <w:vAlign w:val="bottom"/>
            <w:vMerge w:val="restart"/>
          </w:tcPr>
          <w:p>
            <w:pPr>
              <w:ind w:left="420"/>
              <w:spacing w:after="0"/>
              <w:rPr>
                <w:sz w:val="20"/>
                <w:szCs w:val="20"/>
                <w:color w:val="auto"/>
              </w:rPr>
            </w:pPr>
            <w:r>
              <w:rPr>
                <w:rFonts w:ascii="Arial" w:cs="Arial" w:eastAsia="Arial" w:hAnsi="Arial"/>
                <w:sz w:val="12"/>
                <w:szCs w:val="12"/>
                <w:color w:val="auto"/>
              </w:rPr>
              <w:t>(Month/Day/Year)</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0">
        <w:r>
          <w:rPr>
            <w:rFonts w:ascii="Times New Roman" w:cs="Times New Roman" w:eastAsia="Times New Roman" w:hAnsi="Times New Roman"/>
            <w:sz w:val="19"/>
            <w:szCs w:val="19"/>
            <w:u w:val="single" w:color="auto"/>
            <w:color w:val="0000EE"/>
          </w:rPr>
          <w:t>Versant Media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VSNT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88" w:lineRule="exact"/>
        <w:rPr>
          <w:sz w:val="24"/>
          <w:szCs w:val="24"/>
          <w:color w:val="auto"/>
        </w:rPr>
      </w:pPr>
    </w:p>
    <w:p>
      <w:pPr>
        <w:sectPr>
          <w:pgSz w:w="11900" w:h="16840" w:orient="portrait"/>
          <w:cols w:equalWidth="0" w:num="2">
            <w:col w:w="4640" w:space="160"/>
            <w:col w:w="5760"/>
          </w:cols>
          <w:pgMar w:left="660" w:top="556" w:right="680" w:bottom="1440" w:gutter="0" w:footer="0" w:header="0"/>
          <w:type w:val="continuous"/>
        </w:sectPr>
      </w:pPr>
    </w:p>
    <w:tbl>
      <w:tblPr>
        <w:tblLayout w:type="fixed"/>
        <w:tblInd w:w="100" w:type="dxa"/>
        <w:tblCellMar>
          <w:top w:w="0" w:type="dxa"/>
          <w:left w:w="0" w:type="dxa"/>
          <w:bottom w:w="0" w:type="dxa"/>
          <w:right w:w="0" w:type="dxa"/>
        </w:tblCellMar>
      </w:tblPr>
      <w:tr>
        <w:trPr>
          <w:trHeight w:val="118"/>
        </w:trPr>
        <w:tc>
          <w:tcPr>
            <w:tcW w:w="66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1320" w:type="dxa"/>
            <w:vAlign w:val="bottom"/>
            <w:tcBorders>
              <w:bottom w:val="single" w:sz="8" w:color="EEEEEE"/>
            </w:tcBorders>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12/06/2025</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1020" w:type="dxa"/>
            <w:vAlign w:val="bottom"/>
          </w:tcPr>
          <w:p>
            <w:pPr>
              <w:ind w:left="360"/>
              <w:spacing w:after="0"/>
              <w:rPr>
                <w:sz w:val="20"/>
                <w:szCs w:val="20"/>
                <w:color w:val="auto"/>
              </w:rPr>
            </w:pPr>
            <w:r>
              <w:rPr>
                <w:rFonts w:ascii="Arial" w:cs="Arial" w:eastAsia="Arial" w:hAnsi="Arial"/>
                <w:sz w:val="12"/>
                <w:szCs w:val="12"/>
                <w:color w:val="auto"/>
              </w:rPr>
              <w:t>(First)</w:t>
            </w:r>
          </w:p>
        </w:tc>
        <w:tc>
          <w:tcPr>
            <w:tcW w:w="2160" w:type="dxa"/>
            <w:vAlign w:val="bottom"/>
            <w:gridSpan w:val="2"/>
          </w:tcPr>
          <w:p>
            <w:pPr>
              <w:jc w:val="right"/>
              <w:ind w:right="1302"/>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COMCAST CORPORATION</w:t>
      </w:r>
    </w:p>
    <w:p>
      <w:pPr>
        <w:spacing w:after="0" w:line="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COMCAST CENTER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1760" w:type="dxa"/>
            <w:vAlign w:val="bottom"/>
          </w:tcPr>
          <w:p>
            <w:pPr>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r>
      <w:tr>
        <w:trPr>
          <w:trHeight w:val="224"/>
        </w:trPr>
        <w:tc>
          <w:tcPr>
            <w:tcW w:w="1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19103</w:t>
            </w: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220" w:firstLine="7"/>
        <w:spacing w:after="0" w:line="302"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1"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4" w:right="52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79" w:lineRule="exact"/>
        <w:rPr>
          <w:rFonts w:ascii="Arial" w:cs="Arial" w:eastAsia="Arial" w:hAnsi="Arial"/>
          <w:sz w:val="12"/>
          <w:szCs w:val="12"/>
          <w:color w:val="auto"/>
        </w:rPr>
      </w:pPr>
    </w:p>
    <w:p>
      <w:pPr>
        <w:ind w:left="-4" w:right="44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7" w:lineRule="exact"/>
        <w:rPr>
          <w:sz w:val="24"/>
          <w:szCs w:val="24"/>
          <w:color w:val="auto"/>
        </w:rPr>
      </w:pPr>
    </w:p>
    <w:p>
      <w:pPr>
        <w:ind w:left="436"/>
        <w:spacing w:after="0"/>
        <w:rPr>
          <w:sz w:val="20"/>
          <w:szCs w:val="20"/>
          <w:color w:val="auto"/>
        </w:rPr>
      </w:pPr>
      <w:r>
        <w:rPr>
          <w:rFonts w:ascii="Arial" w:cs="Arial" w:eastAsia="Arial" w:hAnsi="Arial"/>
          <w:sz w:val="11"/>
          <w:szCs w:val="11"/>
          <w:color w:val="auto"/>
        </w:rPr>
        <w:t>Form filed by One Reporting Person</w:t>
      </w:r>
    </w:p>
    <w:p>
      <w:pPr>
        <w:spacing w:after="0" w:line="90" w:lineRule="exact"/>
        <w:rPr>
          <w:sz w:val="24"/>
          <w:szCs w:val="24"/>
          <w:color w:val="auto"/>
        </w:rPr>
      </w:pPr>
    </w:p>
    <w:p>
      <w:pPr>
        <w:ind w:left="436" w:right="640"/>
        <w:spacing w:after="0" w:line="307" w:lineRule="auto"/>
        <w:rPr>
          <w:sz w:val="20"/>
          <w:szCs w:val="20"/>
          <w:color w:val="auto"/>
        </w:rPr>
      </w:pPr>
      <w:r>
        <w:rPr>
          <w:rFonts w:ascii="Arial" w:cs="Arial" w:eastAsia="Arial" w:hAnsi="Arial"/>
          <w:sz w:val="12"/>
          <w:szCs w:val="12"/>
          <w:color w:val="auto"/>
        </w:rPr>
        <w:t>Form filed by More than One Reporting Person</w:t>
      </w:r>
    </w:p>
    <w:p>
      <w:pPr>
        <w:spacing w:after="0" w:line="337" w:lineRule="exact"/>
        <w:rPr>
          <w:sz w:val="24"/>
          <w:szCs w:val="24"/>
          <w:color w:val="auto"/>
        </w:rPr>
      </w:pPr>
    </w:p>
    <w:p>
      <w:pPr>
        <w:sectPr>
          <w:pgSz w:w="11900" w:h="16840" w:orient="portrait"/>
          <w:cols w:equalWidth="0" w:num="3">
            <w:col w:w="4087" w:space="720"/>
            <w:col w:w="2753" w:space="404"/>
            <w:col w:w="2596"/>
          </w:cols>
          <w:pgMar w:left="660" w:top="556" w:right="680" w:bottom="1440" w:gutter="0" w:footer="0" w:header="0"/>
          <w:type w:val="continuous"/>
        </w:sectPr>
      </w:pPr>
    </w:p>
    <w:p>
      <w:pPr>
        <w:spacing w:after="0" w:line="77" w:lineRule="exact"/>
        <w:rPr>
          <w:sz w:val="24"/>
          <w:szCs w:val="24"/>
          <w:color w:val="auto"/>
        </w:rPr>
      </w:pPr>
    </w:p>
    <w:p>
      <w:pPr>
        <w:ind w:left="120"/>
        <w:spacing w:after="0"/>
        <w:tabs>
          <w:tab w:leader="none" w:pos="1100" w:val="left"/>
          <w:tab w:leader="none" w:pos="21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4)</w:t>
            </w: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2. Amount of Securities</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 Ownership</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4. Nature of Indirect Beneficial Ownership</w:t>
            </w:r>
          </w:p>
        </w:tc>
      </w:tr>
      <w:tr>
        <w:trPr>
          <w:trHeight w:val="156"/>
        </w:trPr>
        <w:tc>
          <w:tcPr>
            <w:tcW w:w="3160" w:type="dxa"/>
            <w:vAlign w:val="bottom"/>
          </w:tcPr>
          <w:p>
            <w:pPr>
              <w:spacing w:after="0"/>
              <w:rPr>
                <w:sz w:val="13"/>
                <w:szCs w:val="13"/>
                <w:color w:val="auto"/>
              </w:rPr>
            </w:pP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Beneficially Owned (Instr. 4)</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Form: Direct (D)</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(Instr. 5)</w:t>
            </w:r>
          </w:p>
        </w:tc>
      </w:tr>
      <w:tr>
        <w:trPr>
          <w:trHeight w:val="156"/>
        </w:trPr>
        <w:tc>
          <w:tcPr>
            <w:tcW w:w="3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or Indirect (I)</w:t>
            </w:r>
          </w:p>
        </w:tc>
        <w:tc>
          <w:tcPr>
            <w:tcW w:w="2800" w:type="dxa"/>
            <w:vAlign w:val="bottom"/>
          </w:tcPr>
          <w:p>
            <w:pPr>
              <w:spacing w:after="0"/>
              <w:rPr>
                <w:sz w:val="13"/>
                <w:szCs w:val="13"/>
                <w:color w:val="auto"/>
              </w:rPr>
            </w:pPr>
          </w:p>
        </w:tc>
      </w:tr>
      <w:tr>
        <w:trPr>
          <w:trHeight w:val="165"/>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(Instr. 5)</w:t>
            </w:r>
          </w:p>
        </w:tc>
        <w:tc>
          <w:tcPr>
            <w:tcW w:w="2800" w:type="dxa"/>
            <w:vAlign w:val="bottom"/>
          </w:tcPr>
          <w:p>
            <w:pPr>
              <w:spacing w:after="0"/>
              <w:rPr>
                <w:sz w:val="14"/>
                <w:szCs w:val="14"/>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ind w:left="80"/>
              <w:spacing w:after="0"/>
              <w:rPr>
                <w:sz w:val="20"/>
                <w:szCs w:val="20"/>
                <w:color w:val="auto"/>
              </w:rPr>
            </w:pPr>
            <w:r>
              <w:rPr>
                <w:rFonts w:ascii="Arial" w:cs="Arial" w:eastAsia="Arial" w:hAnsi="Arial"/>
                <w:sz w:val="12"/>
                <w:szCs w:val="12"/>
                <w:b w:val="1"/>
                <w:bCs w:val="1"/>
                <w:color w:val="auto"/>
              </w:rPr>
              <w:t>1. Title of Derivative Security (Instr. 4)</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Expiration Date</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 Derivative Security (Instr. 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Ownership</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or Exercise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 Direct</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49"/>
        </w:trPr>
        <w:tc>
          <w:tcPr>
            <w:tcW w:w="34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Remarks: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No securities are beneficially owned.</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Elizabeth Wideman,</w:t>
            </w:r>
          </w:p>
        </w:tc>
        <w:tc>
          <w:tcPr>
            <w:tcW w:w="400" w:type="dxa"/>
            <w:vAlign w:val="bottom"/>
          </w:tcPr>
          <w:p>
            <w:pPr>
              <w:spacing w:after="0"/>
              <w:rPr>
                <w:sz w:val="19"/>
                <w:szCs w:val="19"/>
                <w:color w:val="auto"/>
              </w:rPr>
            </w:pPr>
          </w:p>
        </w:tc>
        <w:tc>
          <w:tcPr>
            <w:tcW w:w="23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0000FF"/>
              </w:rPr>
              <w:t>12/08/2025</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authorized signatory</w:t>
            </w:r>
          </w:p>
        </w:tc>
        <w:tc>
          <w:tcPr>
            <w:tcW w:w="580" w:type="dxa"/>
            <w:vAlign w:val="bottom"/>
            <w:gridSpan w:val="2"/>
            <w:vMerge w:val="restart"/>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8"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Know all by these presents, that the undersigned hereby constitutes and appoints Elizabeth Wideman as the undersigned’s true and lawful attorney-in-fact to:</w:t>
      </w:r>
    </w:p>
    <w:p>
      <w:pPr>
        <w:spacing w:after="0" w:line="143" w:lineRule="exact"/>
        <w:rPr>
          <w:sz w:val="20"/>
          <w:szCs w:val="20"/>
          <w:color w:val="auto"/>
        </w:rPr>
      </w:pPr>
    </w:p>
    <w:p>
      <w:pPr>
        <w:ind w:right="500" w:firstLine="574"/>
        <w:spacing w:after="0" w:line="247"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for and on behalf of the undersigned, in the undersigned’s capacity as a reporting person pursuant to Section 16 of the Securities Exchange Act of 1934, as amended (the “Exchange Act”), and the rules thereunder of Versant Media Group, Inc., a Pennsylvania corporation (the “Company”), Forms 3, 4 and 5, including any amendments thereto, in accordance with Section 16(a) of the Exchange Act;</w:t>
      </w:r>
    </w:p>
    <w:p>
      <w:pPr>
        <w:spacing w:after="0" w:line="152" w:lineRule="exact"/>
        <w:rPr>
          <w:rFonts w:ascii="Times New Roman" w:cs="Times New Roman" w:eastAsia="Times New Roman" w:hAnsi="Times New Roman"/>
          <w:sz w:val="16"/>
          <w:szCs w:val="16"/>
          <w:color w:val="auto"/>
        </w:rPr>
      </w:pPr>
    </w:p>
    <w:p>
      <w:pPr>
        <w:jc w:val="both"/>
        <w:ind w:right="20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155" w:lineRule="exact"/>
        <w:rPr>
          <w:rFonts w:ascii="Times New Roman" w:cs="Times New Roman" w:eastAsia="Times New Roman" w:hAnsi="Times New Roman"/>
          <w:sz w:val="16"/>
          <w:szCs w:val="16"/>
          <w:color w:val="auto"/>
        </w:rPr>
      </w:pPr>
    </w:p>
    <w:p>
      <w:pPr>
        <w:ind w:right="340" w:firstLine="574"/>
        <w:spacing w:after="0" w:line="299" w:lineRule="auto"/>
        <w:tabs>
          <w:tab w:leader="none" w:pos="1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118" w:lineRule="exact"/>
        <w:rPr>
          <w:rFonts w:ascii="Times New Roman" w:cs="Times New Roman" w:eastAsia="Times New Roman" w:hAnsi="Times New Roman"/>
          <w:sz w:val="14"/>
          <w:szCs w:val="14"/>
          <w:color w:val="auto"/>
        </w:rPr>
      </w:pPr>
    </w:p>
    <w:p>
      <w:pPr>
        <w:ind w:right="18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the discretion of any of such attorney-in-fact; and</w:t>
      </w:r>
    </w:p>
    <w:p>
      <w:pPr>
        <w:spacing w:after="0" w:line="155"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attorney-in- fact, or the substitute or substitutes or delegee or delegees of any of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ind w:right="380" w:firstLine="576"/>
        <w:spacing w:after="0" w:line="243"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312420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w:t>
      </w:r>
      <w:r>
        <w:rPr>
          <w:rFonts w:ascii="Times New Roman" w:cs="Times New Roman" w:eastAsia="Times New Roman" w:hAnsi="Times New Roman"/>
          <w:sz w:val="16"/>
          <w:szCs w:val="16"/>
          <w:u w:val="single" w:color="auto"/>
          <w:color w:val="auto"/>
        </w:rPr>
        <w:t>21st</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November</w:t>
      </w:r>
      <w:r>
        <w:rPr>
          <w:rFonts w:ascii="Times New Roman" w:cs="Times New Roman" w:eastAsia="Times New Roman" w:hAnsi="Times New Roman"/>
          <w:sz w:val="16"/>
          <w:szCs w:val="16"/>
          <w:color w:val="auto"/>
        </w:rPr>
        <w:t xml:space="preserve"> ,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Jason Armstrong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Jason Armstrong</w:t>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10500"/>
      </w:cols>
      <w:pgMar w:left="740" w:top="555"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cgi-bin/browse-edgar?action=getcompany&amp;CIK=0001958909" TargetMode="External"/><Relationship Id="rId10"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2025-12-08T15:30:20Z</dcterms:created>
  <dcterms:modified xsi:type="dcterms:W3CDTF">2025-12-08T15:30:20Z</dcterms:modified>
</cp:coreProperties>
</file>