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Campbell Rebecca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Versant Media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18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VERSANT MEDIA GROUP,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01/09/2026</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900 SYLVAN AVENUE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line="318" w:lineRule="exact"/>
              <w:rPr>
                <w:sz w:val="20"/>
                <w:szCs w:val="20"/>
                <w:color w:val="auto"/>
              </w:rPr>
            </w:pPr>
            <w:r>
              <w:rPr>
                <w:rFonts w:ascii="Times New Roman" w:cs="Times New Roman" w:eastAsia="Times New Roman" w:hAnsi="Times New Roman"/>
                <w:sz w:val="17"/>
                <w:szCs w:val="17"/>
                <w:color w:val="0000FF"/>
              </w:rPr>
              <w:t xml:space="preserve">ENGLEWOOD </w:t>
            </w:r>
            <w:r>
              <w:rPr>
                <w:rFonts w:ascii="Times New Roman" w:cs="Times New Roman" w:eastAsia="Times New Roman" w:hAnsi="Times New Roman"/>
                <w:sz w:val="34"/>
                <w:szCs w:val="34"/>
                <w:color w:val="0000FF"/>
                <w:vertAlign w:val="subscript"/>
              </w:rPr>
              <w:t>NJ</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07632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CLIFFS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gridSpan w:val="2"/>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8"/>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2026, Comcast Corporation ("Comcast") completed a pro-rata spinoff distribution ("Distribution") of all of its shares of Versant Media Group, Inc. ("Versant") Class A common stock, par value $0.01 per share ("Versant Class A Common Stock") and Versant Class B common stock, par value $0.01 per share ("Versant Class B Common Stock") to the holders of record of Comcast Class A common stock, par value $0.01 per share ("Comcast Class A Common Stock") and Comcast Class B common stock, par value $0.01 per share ("Comcast Class B Common Stock"), respectively, as of December 16, 2025, the record date for the Distribution ("Record Date").</w:t>
      </w:r>
    </w:p>
    <w:p>
      <w:pPr>
        <w:spacing w:after="0" w:line="24"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Reporting Person's appointment as a non-employee director on Versant's board of directors, on January 9, 2026, the Reporting Person was granted restricted stock units with respect to shares of Versant Class A Common Stock ("Versant RSUs") pursuant to the Versant Omnibus Equity Incentive Plan. The Versant RSUs will vest in full on the date of the next regularly scheduled annual general meeting of Versant's shareholders following the date of grant, subject to the Reporting Person's continued service as a non-employee director through such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4993"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2026-01-12T18:24:28Z</dcterms:created>
  <dcterms:modified xsi:type="dcterms:W3CDTF">2026-01-12T18:24:28Z</dcterms:modified>
</cp:coreProperties>
</file>